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8E" w:rsidRDefault="00313C8E" w:rsidP="00313C8E">
      <w:pPr>
        <w:spacing w:after="120" w:line="253" w:lineRule="atLeast"/>
        <w:jc w:val="center"/>
        <w:rPr>
          <w:b/>
          <w:sz w:val="26"/>
          <w:szCs w:val="26"/>
        </w:rPr>
      </w:pPr>
      <w:bookmarkStart w:id="0" w:name="_GoBack"/>
      <w:bookmarkEnd w:id="0"/>
      <w:r>
        <w:rPr>
          <w:b/>
          <w:noProof/>
          <w:sz w:val="26"/>
          <w:szCs w:val="26"/>
          <w:lang w:val="en-US" w:eastAsia="zh-CN"/>
        </w:rPr>
        <w:drawing>
          <wp:inline distT="0" distB="0" distL="0" distR="0">
            <wp:extent cx="714375" cy="14192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14375" cy="1419225"/>
                    </a:xfrm>
                    <a:prstGeom prst="rect">
                      <a:avLst/>
                    </a:prstGeom>
                    <a:noFill/>
                    <a:ln w="9525">
                      <a:noFill/>
                      <a:miter lim="800000"/>
                      <a:headEnd/>
                      <a:tailEnd/>
                    </a:ln>
                  </pic:spPr>
                </pic:pic>
              </a:graphicData>
            </a:graphic>
          </wp:inline>
        </w:drawing>
      </w:r>
      <w:r w:rsidRPr="00313C8E">
        <w:rPr>
          <w:b/>
          <w:sz w:val="26"/>
          <w:szCs w:val="26"/>
        </w:rPr>
        <w:t xml:space="preserve"> </w:t>
      </w:r>
    </w:p>
    <w:p w:rsidR="00313C8E" w:rsidRDefault="00313C8E" w:rsidP="00313C8E">
      <w:pPr>
        <w:spacing w:after="120" w:line="253" w:lineRule="atLeast"/>
        <w:jc w:val="center"/>
        <w:rPr>
          <w:b/>
          <w:sz w:val="26"/>
          <w:szCs w:val="26"/>
        </w:rPr>
      </w:pPr>
    </w:p>
    <w:p w:rsidR="00313C8E" w:rsidRDefault="00313C8E" w:rsidP="00313C8E">
      <w:pPr>
        <w:spacing w:after="120" w:line="253" w:lineRule="atLeast"/>
        <w:jc w:val="center"/>
        <w:rPr>
          <w:b/>
          <w:sz w:val="26"/>
          <w:szCs w:val="26"/>
        </w:rPr>
      </w:pPr>
    </w:p>
    <w:p w:rsidR="00313C8E" w:rsidRPr="000047D4" w:rsidRDefault="00313C8E" w:rsidP="00313C8E">
      <w:pPr>
        <w:spacing w:after="120" w:line="253" w:lineRule="atLeast"/>
        <w:jc w:val="center"/>
        <w:rPr>
          <w:rFonts w:ascii="Arial Black" w:hAnsi="Arial Black"/>
          <w:b/>
          <w:sz w:val="26"/>
          <w:szCs w:val="26"/>
        </w:rPr>
      </w:pPr>
    </w:p>
    <w:p w:rsidR="00313C8E" w:rsidRPr="000047D4" w:rsidRDefault="00313C8E" w:rsidP="00313C8E">
      <w:pPr>
        <w:widowControl w:val="0"/>
        <w:overflowPunct w:val="0"/>
        <w:autoSpaceDE w:val="0"/>
        <w:autoSpaceDN w:val="0"/>
        <w:adjustRightInd w:val="0"/>
        <w:jc w:val="center"/>
        <w:rPr>
          <w:rFonts w:ascii="Arial Black" w:hAnsi="Arial Black"/>
          <w:b/>
          <w:bCs/>
          <w:kern w:val="28"/>
          <w:sz w:val="36"/>
          <w:szCs w:val="36"/>
          <w:lang w:val="en-US"/>
        </w:rPr>
      </w:pPr>
      <w:r w:rsidRPr="000047D4">
        <w:rPr>
          <w:rFonts w:ascii="Arial Black" w:hAnsi="Arial Black"/>
          <w:b/>
          <w:bCs/>
          <w:kern w:val="28"/>
          <w:sz w:val="36"/>
          <w:szCs w:val="36"/>
          <w:lang w:val="en-US"/>
        </w:rPr>
        <w:t xml:space="preserve">Evaluation of the project </w:t>
      </w:r>
    </w:p>
    <w:p w:rsidR="00313C8E" w:rsidRPr="000047D4" w:rsidRDefault="004D60A7" w:rsidP="00313C8E">
      <w:pPr>
        <w:spacing w:after="120" w:line="253" w:lineRule="atLeast"/>
        <w:jc w:val="center"/>
        <w:rPr>
          <w:rFonts w:ascii="Arial Black" w:hAnsi="Arial Black"/>
          <w:b/>
          <w:bCs/>
          <w:kern w:val="28"/>
          <w:sz w:val="36"/>
          <w:szCs w:val="36"/>
          <w:lang w:val="en-US"/>
        </w:rPr>
      </w:pPr>
      <w:r w:rsidRPr="000047D4">
        <w:rPr>
          <w:rFonts w:ascii="Arial Black" w:hAnsi="Arial Black"/>
          <w:b/>
          <w:bCs/>
          <w:kern w:val="28"/>
          <w:sz w:val="36"/>
          <w:szCs w:val="36"/>
          <w:lang w:val="en-US"/>
        </w:rPr>
        <w:t>“</w:t>
      </w:r>
      <w:r w:rsidR="00313C8E" w:rsidRPr="000047D4">
        <w:rPr>
          <w:rFonts w:ascii="Arial Black" w:hAnsi="Arial Black"/>
          <w:b/>
          <w:bCs/>
          <w:kern w:val="28"/>
          <w:sz w:val="36"/>
          <w:szCs w:val="36"/>
          <w:lang w:val="en-US"/>
        </w:rPr>
        <w:t>Support to Service Delivery Improvement System</w:t>
      </w:r>
      <w:r w:rsidRPr="000047D4">
        <w:rPr>
          <w:rFonts w:ascii="Arial Black" w:hAnsi="Arial Black"/>
          <w:b/>
          <w:bCs/>
          <w:kern w:val="28"/>
          <w:sz w:val="36"/>
          <w:szCs w:val="36"/>
          <w:lang w:val="en-US"/>
        </w:rPr>
        <w:t>”</w:t>
      </w: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Default="00313C8E" w:rsidP="00313C8E">
      <w:pPr>
        <w:spacing w:after="120" w:line="253" w:lineRule="atLeast"/>
        <w:jc w:val="center"/>
        <w:rPr>
          <w:rFonts w:ascii="Palatino Linotype" w:hAnsi="Palatino Linotype"/>
          <w:b/>
          <w:bCs/>
          <w:kern w:val="28"/>
          <w:sz w:val="36"/>
          <w:szCs w:val="36"/>
          <w:lang w:val="en-US"/>
        </w:rPr>
      </w:pPr>
    </w:p>
    <w:p w:rsidR="00313C8E" w:rsidRPr="000047D4" w:rsidRDefault="00313C8E" w:rsidP="00313C8E">
      <w:pPr>
        <w:spacing w:after="120" w:line="253" w:lineRule="atLeast"/>
        <w:jc w:val="center"/>
        <w:rPr>
          <w:rFonts w:ascii="Arial" w:hAnsi="Arial" w:cs="Arial"/>
          <w:b/>
          <w:bCs/>
          <w:kern w:val="28"/>
          <w:sz w:val="32"/>
          <w:szCs w:val="32"/>
          <w:lang w:val="en-US"/>
        </w:rPr>
      </w:pPr>
      <w:r w:rsidRPr="000047D4">
        <w:rPr>
          <w:rFonts w:ascii="Arial" w:hAnsi="Arial" w:cs="Arial"/>
          <w:b/>
          <w:bCs/>
          <w:kern w:val="28"/>
          <w:sz w:val="32"/>
          <w:szCs w:val="32"/>
          <w:lang w:val="en-US"/>
        </w:rPr>
        <w:t>Draft Evaluation Report</w:t>
      </w:r>
    </w:p>
    <w:p w:rsidR="00313C8E" w:rsidRPr="000047D4" w:rsidRDefault="00313C8E" w:rsidP="00313C8E">
      <w:pPr>
        <w:spacing w:after="120" w:line="253" w:lineRule="atLeast"/>
        <w:jc w:val="center"/>
        <w:rPr>
          <w:rFonts w:ascii="Arial" w:hAnsi="Arial" w:cs="Arial"/>
          <w:b/>
          <w:bCs/>
          <w:kern w:val="28"/>
          <w:sz w:val="36"/>
          <w:szCs w:val="36"/>
          <w:lang w:val="en-US"/>
        </w:rPr>
      </w:pPr>
    </w:p>
    <w:p w:rsidR="00313C8E" w:rsidRPr="000047D4" w:rsidRDefault="00313C8E" w:rsidP="00313C8E">
      <w:pPr>
        <w:spacing w:after="120" w:line="253" w:lineRule="atLeast"/>
        <w:jc w:val="center"/>
        <w:rPr>
          <w:rFonts w:ascii="Arial" w:hAnsi="Arial" w:cs="Arial"/>
          <w:b/>
          <w:bCs/>
          <w:kern w:val="28"/>
          <w:sz w:val="36"/>
          <w:szCs w:val="36"/>
          <w:lang w:val="en-US"/>
        </w:rPr>
      </w:pPr>
    </w:p>
    <w:p w:rsidR="00313C8E" w:rsidRPr="000047D4" w:rsidRDefault="00313C8E" w:rsidP="00313C8E">
      <w:pPr>
        <w:spacing w:after="120" w:line="253" w:lineRule="atLeast"/>
        <w:jc w:val="center"/>
        <w:rPr>
          <w:rFonts w:ascii="Arial" w:hAnsi="Arial" w:cs="Arial"/>
          <w:b/>
          <w:sz w:val="32"/>
          <w:szCs w:val="32"/>
        </w:rPr>
      </w:pPr>
      <w:r w:rsidRPr="000047D4">
        <w:rPr>
          <w:rFonts w:ascii="Arial" w:hAnsi="Arial" w:cs="Arial"/>
          <w:b/>
          <w:bCs/>
          <w:kern w:val="28"/>
          <w:sz w:val="32"/>
          <w:szCs w:val="32"/>
          <w:lang w:val="en-US"/>
        </w:rPr>
        <w:t>September 2010</w:t>
      </w:r>
      <w:r w:rsidRPr="000047D4">
        <w:rPr>
          <w:rFonts w:ascii="Arial" w:hAnsi="Arial" w:cs="Arial"/>
          <w:b/>
          <w:sz w:val="32"/>
          <w:szCs w:val="32"/>
        </w:rPr>
        <w:t xml:space="preserve"> </w:t>
      </w:r>
    </w:p>
    <w:p w:rsidR="00313C8E" w:rsidRDefault="00313C8E" w:rsidP="00313C8E">
      <w:pPr>
        <w:spacing w:after="120" w:line="253" w:lineRule="atLeast"/>
        <w:jc w:val="center"/>
        <w:rPr>
          <w:b/>
          <w:sz w:val="32"/>
          <w:szCs w:val="32"/>
        </w:rPr>
      </w:pPr>
    </w:p>
    <w:p w:rsidR="00313C8E" w:rsidRDefault="00313C8E" w:rsidP="00313C8E">
      <w:pPr>
        <w:spacing w:after="120" w:line="253" w:lineRule="atLeast"/>
        <w:jc w:val="center"/>
        <w:rPr>
          <w:b/>
          <w:sz w:val="32"/>
          <w:szCs w:val="32"/>
        </w:rPr>
      </w:pPr>
    </w:p>
    <w:p w:rsidR="00313C8E" w:rsidRPr="000047D4" w:rsidRDefault="00313C8E" w:rsidP="00313C8E">
      <w:pPr>
        <w:spacing w:after="120" w:line="253" w:lineRule="atLeast"/>
        <w:jc w:val="left"/>
        <w:rPr>
          <w:rFonts w:ascii="Arial" w:hAnsi="Arial" w:cs="Arial"/>
          <w:b/>
          <w:sz w:val="32"/>
          <w:szCs w:val="32"/>
        </w:rPr>
      </w:pPr>
      <w:r w:rsidRPr="000047D4">
        <w:rPr>
          <w:rFonts w:ascii="Arial" w:hAnsi="Arial" w:cs="Arial"/>
          <w:b/>
          <w:sz w:val="32"/>
          <w:szCs w:val="32"/>
        </w:rPr>
        <w:t>Donata Maccelli</w:t>
      </w:r>
      <w:r w:rsidRPr="000047D4">
        <w:rPr>
          <w:rFonts w:ascii="Arial" w:hAnsi="Arial" w:cs="Arial"/>
          <w:b/>
          <w:sz w:val="32"/>
          <w:szCs w:val="32"/>
        </w:rPr>
        <w:br w:type="page"/>
      </w:r>
    </w:p>
    <w:p w:rsidR="008D5436" w:rsidRPr="00100AF5" w:rsidRDefault="008D5436" w:rsidP="008D5436">
      <w:pPr>
        <w:pStyle w:val="TOC1"/>
        <w:tabs>
          <w:tab w:val="right" w:leader="dot" w:pos="9350"/>
        </w:tabs>
        <w:jc w:val="center"/>
        <w:rPr>
          <w:b/>
          <w:sz w:val="26"/>
          <w:szCs w:val="26"/>
        </w:rPr>
      </w:pPr>
      <w:r w:rsidRPr="00100AF5">
        <w:rPr>
          <w:b/>
          <w:sz w:val="26"/>
          <w:szCs w:val="26"/>
        </w:rPr>
        <w:lastRenderedPageBreak/>
        <w:t>Table of Contents</w:t>
      </w:r>
    </w:p>
    <w:p w:rsidR="008D5436" w:rsidRPr="00100AF5" w:rsidRDefault="008D5436" w:rsidP="008D5436"/>
    <w:p w:rsidR="008D5436" w:rsidRPr="00100AF5" w:rsidRDefault="008D5436" w:rsidP="008D5436"/>
    <w:p w:rsidR="003130AA" w:rsidRDefault="00391A9F">
      <w:pPr>
        <w:pStyle w:val="TOC1"/>
        <w:tabs>
          <w:tab w:val="right" w:leader="dot" w:pos="9350"/>
        </w:tabs>
        <w:rPr>
          <w:rFonts w:asciiTheme="minorHAnsi" w:eastAsiaTheme="minorEastAsia" w:hAnsiTheme="minorHAnsi" w:cstheme="minorBidi"/>
          <w:noProof/>
          <w:sz w:val="22"/>
          <w:szCs w:val="22"/>
          <w:lang w:val="en-US"/>
        </w:rPr>
      </w:pPr>
      <w:r w:rsidRPr="00100AF5">
        <w:rPr>
          <w:b/>
          <w:bCs/>
        </w:rPr>
        <w:fldChar w:fldCharType="begin"/>
      </w:r>
      <w:r w:rsidR="00E71402" w:rsidRPr="00100AF5">
        <w:rPr>
          <w:b/>
          <w:bCs/>
        </w:rPr>
        <w:instrText xml:space="preserve"> TOC \o "1-4" \h \z \u </w:instrText>
      </w:r>
      <w:r w:rsidRPr="00100AF5">
        <w:rPr>
          <w:b/>
          <w:bCs/>
        </w:rPr>
        <w:fldChar w:fldCharType="separate"/>
      </w:r>
      <w:hyperlink w:anchor="_Toc276461219" w:history="1">
        <w:r w:rsidR="003130AA" w:rsidRPr="00CF3AD1">
          <w:rPr>
            <w:rStyle w:val="Hyperlink"/>
            <w:noProof/>
          </w:rPr>
          <w:t>List of acronyms and abbreviations</w:t>
        </w:r>
        <w:r w:rsidR="003130AA">
          <w:rPr>
            <w:noProof/>
            <w:webHidden/>
          </w:rPr>
          <w:tab/>
        </w:r>
        <w:r>
          <w:rPr>
            <w:noProof/>
            <w:webHidden/>
          </w:rPr>
          <w:fldChar w:fldCharType="begin"/>
        </w:r>
        <w:r w:rsidR="003130AA">
          <w:rPr>
            <w:noProof/>
            <w:webHidden/>
          </w:rPr>
          <w:instrText xml:space="preserve"> PAGEREF _Toc276461219 \h </w:instrText>
        </w:r>
        <w:r>
          <w:rPr>
            <w:noProof/>
            <w:webHidden/>
          </w:rPr>
        </w:r>
        <w:r>
          <w:rPr>
            <w:noProof/>
            <w:webHidden/>
          </w:rPr>
          <w:fldChar w:fldCharType="separate"/>
        </w:r>
        <w:r w:rsidR="003130AA">
          <w:rPr>
            <w:noProof/>
            <w:webHidden/>
          </w:rPr>
          <w:t>6</w:t>
        </w:r>
        <w:r>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20" w:history="1">
        <w:r w:rsidR="003130AA" w:rsidRPr="00CF3AD1">
          <w:rPr>
            <w:rStyle w:val="Hyperlink"/>
            <w:noProof/>
          </w:rPr>
          <w:t>1</w:t>
        </w:r>
        <w:r w:rsidR="003130AA">
          <w:rPr>
            <w:rFonts w:asciiTheme="minorHAnsi" w:eastAsiaTheme="minorEastAsia" w:hAnsiTheme="minorHAnsi" w:cstheme="minorBidi"/>
            <w:noProof/>
            <w:sz w:val="22"/>
            <w:szCs w:val="22"/>
            <w:lang w:val="en-US"/>
          </w:rPr>
          <w:tab/>
        </w:r>
        <w:r w:rsidR="003130AA" w:rsidRPr="00CF3AD1">
          <w:rPr>
            <w:rStyle w:val="Hyperlink"/>
            <w:noProof/>
          </w:rPr>
          <w:t>Executive Summary</w:t>
        </w:r>
        <w:r w:rsidR="003130AA">
          <w:rPr>
            <w:noProof/>
            <w:webHidden/>
          </w:rPr>
          <w:tab/>
        </w:r>
        <w:r w:rsidR="00391A9F">
          <w:rPr>
            <w:noProof/>
            <w:webHidden/>
          </w:rPr>
          <w:fldChar w:fldCharType="begin"/>
        </w:r>
        <w:r w:rsidR="003130AA">
          <w:rPr>
            <w:noProof/>
            <w:webHidden/>
          </w:rPr>
          <w:instrText xml:space="preserve"> PAGEREF _Toc276461220 \h </w:instrText>
        </w:r>
        <w:r w:rsidR="00391A9F">
          <w:rPr>
            <w:noProof/>
            <w:webHidden/>
          </w:rPr>
        </w:r>
        <w:r w:rsidR="00391A9F">
          <w:rPr>
            <w:noProof/>
            <w:webHidden/>
          </w:rPr>
          <w:fldChar w:fldCharType="separate"/>
        </w:r>
        <w:r w:rsidR="003130AA">
          <w:rPr>
            <w:noProof/>
            <w:webHidden/>
          </w:rPr>
          <w:t>7</w:t>
        </w:r>
        <w:r w:rsidR="00391A9F">
          <w:rPr>
            <w:noProof/>
            <w:webHidden/>
          </w:rPr>
          <w:fldChar w:fldCharType="end"/>
        </w:r>
      </w:hyperlink>
    </w:p>
    <w:p w:rsidR="003130AA" w:rsidRDefault="000D61CE">
      <w:pPr>
        <w:pStyle w:val="TOC2"/>
        <w:tabs>
          <w:tab w:val="right" w:leader="dot" w:pos="9350"/>
        </w:tabs>
        <w:rPr>
          <w:rFonts w:asciiTheme="minorHAnsi" w:eastAsiaTheme="minorEastAsia" w:hAnsiTheme="minorHAnsi" w:cstheme="minorBidi"/>
          <w:noProof/>
          <w:sz w:val="22"/>
          <w:szCs w:val="22"/>
          <w:lang w:val="en-US"/>
        </w:rPr>
      </w:pPr>
      <w:hyperlink w:anchor="_Toc276461221" w:history="1">
        <w:r w:rsidR="003130AA" w:rsidRPr="00CF3AD1">
          <w:rPr>
            <w:rStyle w:val="Hyperlink"/>
            <w:noProof/>
          </w:rPr>
          <w:t>Project management</w:t>
        </w:r>
        <w:r w:rsidR="003130AA">
          <w:rPr>
            <w:noProof/>
            <w:webHidden/>
          </w:rPr>
          <w:tab/>
        </w:r>
        <w:r w:rsidR="00391A9F">
          <w:rPr>
            <w:noProof/>
            <w:webHidden/>
          </w:rPr>
          <w:fldChar w:fldCharType="begin"/>
        </w:r>
        <w:r w:rsidR="003130AA">
          <w:rPr>
            <w:noProof/>
            <w:webHidden/>
          </w:rPr>
          <w:instrText xml:space="preserve"> PAGEREF _Toc276461221 \h </w:instrText>
        </w:r>
        <w:r w:rsidR="00391A9F">
          <w:rPr>
            <w:noProof/>
            <w:webHidden/>
          </w:rPr>
        </w:r>
        <w:r w:rsidR="00391A9F">
          <w:rPr>
            <w:noProof/>
            <w:webHidden/>
          </w:rPr>
          <w:fldChar w:fldCharType="separate"/>
        </w:r>
        <w:r w:rsidR="003130AA">
          <w:rPr>
            <w:noProof/>
            <w:webHidden/>
          </w:rPr>
          <w:t>7</w:t>
        </w:r>
        <w:r w:rsidR="00391A9F">
          <w:rPr>
            <w:noProof/>
            <w:webHidden/>
          </w:rPr>
          <w:fldChar w:fldCharType="end"/>
        </w:r>
      </w:hyperlink>
    </w:p>
    <w:p w:rsidR="003130AA" w:rsidRDefault="000D61CE">
      <w:pPr>
        <w:pStyle w:val="TOC2"/>
        <w:tabs>
          <w:tab w:val="right" w:leader="dot" w:pos="9350"/>
        </w:tabs>
        <w:rPr>
          <w:rFonts w:asciiTheme="minorHAnsi" w:eastAsiaTheme="minorEastAsia" w:hAnsiTheme="minorHAnsi" w:cstheme="minorBidi"/>
          <w:noProof/>
          <w:sz w:val="22"/>
          <w:szCs w:val="22"/>
          <w:lang w:val="en-US"/>
        </w:rPr>
      </w:pPr>
      <w:hyperlink w:anchor="_Toc276461222" w:history="1">
        <w:r w:rsidR="003130AA" w:rsidRPr="00CF3AD1">
          <w:rPr>
            <w:rStyle w:val="Hyperlink"/>
            <w:noProof/>
          </w:rPr>
          <w:t>Relevance and appropriateness</w:t>
        </w:r>
        <w:r w:rsidR="003130AA">
          <w:rPr>
            <w:noProof/>
            <w:webHidden/>
          </w:rPr>
          <w:tab/>
        </w:r>
        <w:r w:rsidR="00391A9F">
          <w:rPr>
            <w:noProof/>
            <w:webHidden/>
          </w:rPr>
          <w:fldChar w:fldCharType="begin"/>
        </w:r>
        <w:r w:rsidR="003130AA">
          <w:rPr>
            <w:noProof/>
            <w:webHidden/>
          </w:rPr>
          <w:instrText xml:space="preserve"> PAGEREF _Toc276461222 \h </w:instrText>
        </w:r>
        <w:r w:rsidR="00391A9F">
          <w:rPr>
            <w:noProof/>
            <w:webHidden/>
          </w:rPr>
        </w:r>
        <w:r w:rsidR="00391A9F">
          <w:rPr>
            <w:noProof/>
            <w:webHidden/>
          </w:rPr>
          <w:fldChar w:fldCharType="separate"/>
        </w:r>
        <w:r w:rsidR="003130AA">
          <w:rPr>
            <w:noProof/>
            <w:webHidden/>
          </w:rPr>
          <w:t>7</w:t>
        </w:r>
        <w:r w:rsidR="00391A9F">
          <w:rPr>
            <w:noProof/>
            <w:webHidden/>
          </w:rPr>
          <w:fldChar w:fldCharType="end"/>
        </w:r>
      </w:hyperlink>
    </w:p>
    <w:p w:rsidR="003130AA" w:rsidRDefault="000D61CE">
      <w:pPr>
        <w:pStyle w:val="TOC2"/>
        <w:tabs>
          <w:tab w:val="right" w:leader="dot" w:pos="9350"/>
        </w:tabs>
        <w:rPr>
          <w:rFonts w:asciiTheme="minorHAnsi" w:eastAsiaTheme="minorEastAsia" w:hAnsiTheme="minorHAnsi" w:cstheme="minorBidi"/>
          <w:noProof/>
          <w:sz w:val="22"/>
          <w:szCs w:val="22"/>
          <w:lang w:val="en-US"/>
        </w:rPr>
      </w:pPr>
      <w:hyperlink w:anchor="_Toc276461223" w:history="1">
        <w:r w:rsidR="003130AA" w:rsidRPr="00CF3AD1">
          <w:rPr>
            <w:rStyle w:val="Hyperlink"/>
            <w:noProof/>
          </w:rPr>
          <w:t>Effectiveness and efficiency</w:t>
        </w:r>
        <w:r w:rsidR="003130AA">
          <w:rPr>
            <w:noProof/>
            <w:webHidden/>
          </w:rPr>
          <w:tab/>
        </w:r>
        <w:r w:rsidR="00391A9F">
          <w:rPr>
            <w:noProof/>
            <w:webHidden/>
          </w:rPr>
          <w:fldChar w:fldCharType="begin"/>
        </w:r>
        <w:r w:rsidR="003130AA">
          <w:rPr>
            <w:noProof/>
            <w:webHidden/>
          </w:rPr>
          <w:instrText xml:space="preserve"> PAGEREF _Toc276461223 \h </w:instrText>
        </w:r>
        <w:r w:rsidR="00391A9F">
          <w:rPr>
            <w:noProof/>
            <w:webHidden/>
          </w:rPr>
        </w:r>
        <w:r w:rsidR="00391A9F">
          <w:rPr>
            <w:noProof/>
            <w:webHidden/>
          </w:rPr>
          <w:fldChar w:fldCharType="separate"/>
        </w:r>
        <w:r w:rsidR="003130AA">
          <w:rPr>
            <w:noProof/>
            <w:webHidden/>
          </w:rPr>
          <w:t>7</w:t>
        </w:r>
        <w:r w:rsidR="00391A9F">
          <w:rPr>
            <w:noProof/>
            <w:webHidden/>
          </w:rPr>
          <w:fldChar w:fldCharType="end"/>
        </w:r>
      </w:hyperlink>
    </w:p>
    <w:p w:rsidR="003130AA" w:rsidRDefault="000D61CE">
      <w:pPr>
        <w:pStyle w:val="TOC2"/>
        <w:tabs>
          <w:tab w:val="right" w:leader="dot" w:pos="9350"/>
        </w:tabs>
        <w:rPr>
          <w:rFonts w:asciiTheme="minorHAnsi" w:eastAsiaTheme="minorEastAsia" w:hAnsiTheme="minorHAnsi" w:cstheme="minorBidi"/>
          <w:noProof/>
          <w:sz w:val="22"/>
          <w:szCs w:val="22"/>
          <w:lang w:val="en-US"/>
        </w:rPr>
      </w:pPr>
      <w:hyperlink w:anchor="_Toc276461224" w:history="1">
        <w:r w:rsidR="003130AA" w:rsidRPr="00CF3AD1">
          <w:rPr>
            <w:rStyle w:val="Hyperlink"/>
            <w:noProof/>
          </w:rPr>
          <w:t>Impact and sustainability</w:t>
        </w:r>
        <w:r w:rsidR="003130AA">
          <w:rPr>
            <w:noProof/>
            <w:webHidden/>
          </w:rPr>
          <w:tab/>
        </w:r>
        <w:r w:rsidR="00391A9F">
          <w:rPr>
            <w:noProof/>
            <w:webHidden/>
          </w:rPr>
          <w:fldChar w:fldCharType="begin"/>
        </w:r>
        <w:r w:rsidR="003130AA">
          <w:rPr>
            <w:noProof/>
            <w:webHidden/>
          </w:rPr>
          <w:instrText xml:space="preserve"> PAGEREF _Toc276461224 \h </w:instrText>
        </w:r>
        <w:r w:rsidR="00391A9F">
          <w:rPr>
            <w:noProof/>
            <w:webHidden/>
          </w:rPr>
        </w:r>
        <w:r w:rsidR="00391A9F">
          <w:rPr>
            <w:noProof/>
            <w:webHidden/>
          </w:rPr>
          <w:fldChar w:fldCharType="separate"/>
        </w:r>
        <w:r w:rsidR="003130AA">
          <w:rPr>
            <w:noProof/>
            <w:webHidden/>
          </w:rPr>
          <w:t>7</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25" w:history="1">
        <w:r w:rsidR="003130AA" w:rsidRPr="00CF3AD1">
          <w:rPr>
            <w:rStyle w:val="Hyperlink"/>
            <w:noProof/>
          </w:rPr>
          <w:t>2</w:t>
        </w:r>
        <w:r w:rsidR="003130AA">
          <w:rPr>
            <w:rFonts w:asciiTheme="minorHAnsi" w:eastAsiaTheme="minorEastAsia" w:hAnsiTheme="minorHAnsi" w:cstheme="minorBidi"/>
            <w:noProof/>
            <w:sz w:val="22"/>
            <w:szCs w:val="22"/>
            <w:lang w:val="en-US"/>
          </w:rPr>
          <w:tab/>
        </w:r>
        <w:r w:rsidR="003130AA" w:rsidRPr="00CF3AD1">
          <w:rPr>
            <w:rStyle w:val="Hyperlink"/>
            <w:noProof/>
          </w:rPr>
          <w:t>Introduction: background and context of the programme</w:t>
        </w:r>
        <w:r w:rsidR="003130AA">
          <w:rPr>
            <w:noProof/>
            <w:webHidden/>
          </w:rPr>
          <w:tab/>
        </w:r>
        <w:r w:rsidR="00391A9F">
          <w:rPr>
            <w:noProof/>
            <w:webHidden/>
          </w:rPr>
          <w:fldChar w:fldCharType="begin"/>
        </w:r>
        <w:r w:rsidR="003130AA">
          <w:rPr>
            <w:noProof/>
            <w:webHidden/>
          </w:rPr>
          <w:instrText xml:space="preserve"> PAGEREF _Toc276461225 \h </w:instrText>
        </w:r>
        <w:r w:rsidR="00391A9F">
          <w:rPr>
            <w:noProof/>
            <w:webHidden/>
          </w:rPr>
        </w:r>
        <w:r w:rsidR="00391A9F">
          <w:rPr>
            <w:noProof/>
            <w:webHidden/>
          </w:rPr>
          <w:fldChar w:fldCharType="separate"/>
        </w:r>
        <w:r w:rsidR="003130AA">
          <w:rPr>
            <w:noProof/>
            <w:webHidden/>
          </w:rPr>
          <w:t>9</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26" w:history="1">
        <w:r w:rsidR="003130AA" w:rsidRPr="00CF3AD1">
          <w:rPr>
            <w:rStyle w:val="Hyperlink"/>
            <w:noProof/>
          </w:rPr>
          <w:t>2.1</w:t>
        </w:r>
        <w:r w:rsidR="003130AA">
          <w:rPr>
            <w:rFonts w:asciiTheme="minorHAnsi" w:eastAsiaTheme="minorEastAsia" w:hAnsiTheme="minorHAnsi" w:cstheme="minorBidi"/>
            <w:noProof/>
            <w:sz w:val="22"/>
            <w:szCs w:val="22"/>
            <w:lang w:val="en-US"/>
          </w:rPr>
          <w:tab/>
        </w:r>
        <w:r w:rsidR="003130AA" w:rsidRPr="00CF3AD1">
          <w:rPr>
            <w:rStyle w:val="Hyperlink"/>
            <w:noProof/>
          </w:rPr>
          <w:t>Context of the Project</w:t>
        </w:r>
        <w:r w:rsidR="003130AA">
          <w:rPr>
            <w:noProof/>
            <w:webHidden/>
          </w:rPr>
          <w:tab/>
        </w:r>
        <w:r w:rsidR="00391A9F">
          <w:rPr>
            <w:noProof/>
            <w:webHidden/>
          </w:rPr>
          <w:fldChar w:fldCharType="begin"/>
        </w:r>
        <w:r w:rsidR="003130AA">
          <w:rPr>
            <w:noProof/>
            <w:webHidden/>
          </w:rPr>
          <w:instrText xml:space="preserve"> PAGEREF _Toc276461226 \h </w:instrText>
        </w:r>
        <w:r w:rsidR="00391A9F">
          <w:rPr>
            <w:noProof/>
            <w:webHidden/>
          </w:rPr>
        </w:r>
        <w:r w:rsidR="00391A9F">
          <w:rPr>
            <w:noProof/>
            <w:webHidden/>
          </w:rPr>
          <w:fldChar w:fldCharType="separate"/>
        </w:r>
        <w:r w:rsidR="003130AA">
          <w:rPr>
            <w:noProof/>
            <w:webHidden/>
          </w:rPr>
          <w:t>9</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27" w:history="1">
        <w:r w:rsidR="003130AA" w:rsidRPr="00CF3AD1">
          <w:rPr>
            <w:rStyle w:val="Hyperlink"/>
            <w:noProof/>
          </w:rPr>
          <w:t>2.2</w:t>
        </w:r>
        <w:r w:rsidR="003130AA">
          <w:rPr>
            <w:rFonts w:asciiTheme="minorHAnsi" w:eastAsiaTheme="minorEastAsia" w:hAnsiTheme="minorHAnsi" w:cstheme="minorBidi"/>
            <w:noProof/>
            <w:sz w:val="22"/>
            <w:szCs w:val="22"/>
            <w:lang w:val="en-US"/>
          </w:rPr>
          <w:tab/>
        </w:r>
        <w:r w:rsidR="003130AA" w:rsidRPr="00CF3AD1">
          <w:rPr>
            <w:rStyle w:val="Hyperlink"/>
            <w:noProof/>
          </w:rPr>
          <w:t>Jordan economic developments</w:t>
        </w:r>
        <w:r w:rsidR="003130AA">
          <w:rPr>
            <w:noProof/>
            <w:webHidden/>
          </w:rPr>
          <w:tab/>
        </w:r>
        <w:r w:rsidR="00391A9F">
          <w:rPr>
            <w:noProof/>
            <w:webHidden/>
          </w:rPr>
          <w:fldChar w:fldCharType="begin"/>
        </w:r>
        <w:r w:rsidR="003130AA">
          <w:rPr>
            <w:noProof/>
            <w:webHidden/>
          </w:rPr>
          <w:instrText xml:space="preserve"> PAGEREF _Toc276461227 \h </w:instrText>
        </w:r>
        <w:r w:rsidR="00391A9F">
          <w:rPr>
            <w:noProof/>
            <w:webHidden/>
          </w:rPr>
        </w:r>
        <w:r w:rsidR="00391A9F">
          <w:rPr>
            <w:noProof/>
            <w:webHidden/>
          </w:rPr>
          <w:fldChar w:fldCharType="separate"/>
        </w:r>
        <w:r w:rsidR="003130AA">
          <w:rPr>
            <w:noProof/>
            <w:webHidden/>
          </w:rPr>
          <w:t>9</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28" w:history="1">
        <w:r w:rsidR="003130AA" w:rsidRPr="00CF3AD1">
          <w:rPr>
            <w:rStyle w:val="Hyperlink"/>
            <w:noProof/>
          </w:rPr>
          <w:t>2.3</w:t>
        </w:r>
        <w:r w:rsidR="003130AA">
          <w:rPr>
            <w:rFonts w:asciiTheme="minorHAnsi" w:eastAsiaTheme="minorEastAsia" w:hAnsiTheme="minorHAnsi" w:cstheme="minorBidi"/>
            <w:noProof/>
            <w:sz w:val="22"/>
            <w:szCs w:val="22"/>
            <w:lang w:val="en-US"/>
          </w:rPr>
          <w:tab/>
        </w:r>
        <w:r w:rsidR="003130AA" w:rsidRPr="00CF3AD1">
          <w:rPr>
            <w:rStyle w:val="Hyperlink"/>
            <w:noProof/>
          </w:rPr>
          <w:t>Public Sector Reform in Jordan</w:t>
        </w:r>
        <w:r w:rsidR="003130AA">
          <w:rPr>
            <w:noProof/>
            <w:webHidden/>
          </w:rPr>
          <w:tab/>
        </w:r>
        <w:r w:rsidR="00391A9F">
          <w:rPr>
            <w:noProof/>
            <w:webHidden/>
          </w:rPr>
          <w:fldChar w:fldCharType="begin"/>
        </w:r>
        <w:r w:rsidR="003130AA">
          <w:rPr>
            <w:noProof/>
            <w:webHidden/>
          </w:rPr>
          <w:instrText xml:space="preserve"> PAGEREF _Toc276461228 \h </w:instrText>
        </w:r>
        <w:r w:rsidR="00391A9F">
          <w:rPr>
            <w:noProof/>
            <w:webHidden/>
          </w:rPr>
        </w:r>
        <w:r w:rsidR="00391A9F">
          <w:rPr>
            <w:noProof/>
            <w:webHidden/>
          </w:rPr>
          <w:fldChar w:fldCharType="separate"/>
        </w:r>
        <w:r w:rsidR="003130AA">
          <w:rPr>
            <w:noProof/>
            <w:webHidden/>
          </w:rPr>
          <w:t>13</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29" w:history="1">
        <w:r w:rsidR="003130AA" w:rsidRPr="00CF3AD1">
          <w:rPr>
            <w:rStyle w:val="Hyperlink"/>
            <w:noProof/>
          </w:rPr>
          <w:t>2.3.1</w:t>
        </w:r>
        <w:r w:rsidR="003130AA">
          <w:rPr>
            <w:rFonts w:asciiTheme="minorHAnsi" w:eastAsiaTheme="minorEastAsia" w:hAnsiTheme="minorHAnsi" w:cstheme="minorBidi"/>
            <w:noProof/>
            <w:sz w:val="22"/>
            <w:szCs w:val="22"/>
            <w:lang w:val="en-US"/>
          </w:rPr>
          <w:tab/>
        </w:r>
        <w:r w:rsidR="003130AA" w:rsidRPr="00CF3AD1">
          <w:rPr>
            <w:rStyle w:val="Hyperlink"/>
            <w:noProof/>
          </w:rPr>
          <w:t>Progress of the reform during this decade</w:t>
        </w:r>
        <w:r w:rsidR="003130AA">
          <w:rPr>
            <w:noProof/>
            <w:webHidden/>
          </w:rPr>
          <w:tab/>
        </w:r>
        <w:r w:rsidR="00391A9F">
          <w:rPr>
            <w:noProof/>
            <w:webHidden/>
          </w:rPr>
          <w:fldChar w:fldCharType="begin"/>
        </w:r>
        <w:r w:rsidR="003130AA">
          <w:rPr>
            <w:noProof/>
            <w:webHidden/>
          </w:rPr>
          <w:instrText xml:space="preserve"> PAGEREF _Toc276461229 \h </w:instrText>
        </w:r>
        <w:r w:rsidR="00391A9F">
          <w:rPr>
            <w:noProof/>
            <w:webHidden/>
          </w:rPr>
        </w:r>
        <w:r w:rsidR="00391A9F">
          <w:rPr>
            <w:noProof/>
            <w:webHidden/>
          </w:rPr>
          <w:fldChar w:fldCharType="separate"/>
        </w:r>
        <w:r w:rsidR="003130AA">
          <w:rPr>
            <w:noProof/>
            <w:webHidden/>
          </w:rPr>
          <w:t>13</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30" w:history="1">
        <w:r w:rsidR="003130AA" w:rsidRPr="00CF3AD1">
          <w:rPr>
            <w:rStyle w:val="Hyperlink"/>
            <w:rFonts w:eastAsiaTheme="minorHAnsi"/>
            <w:noProof/>
          </w:rPr>
          <w:t>2.3.2</w:t>
        </w:r>
        <w:r w:rsidR="003130AA">
          <w:rPr>
            <w:rFonts w:asciiTheme="minorHAnsi" w:eastAsiaTheme="minorEastAsia" w:hAnsiTheme="minorHAnsi" w:cstheme="minorBidi"/>
            <w:noProof/>
            <w:sz w:val="22"/>
            <w:szCs w:val="22"/>
            <w:lang w:val="en-US"/>
          </w:rPr>
          <w:tab/>
        </w:r>
        <w:r w:rsidR="003130AA" w:rsidRPr="00CF3AD1">
          <w:rPr>
            <w:rStyle w:val="Hyperlink"/>
            <w:rFonts w:eastAsiaTheme="minorHAnsi"/>
            <w:noProof/>
          </w:rPr>
          <w:t>Service delivery</w:t>
        </w:r>
        <w:r w:rsidR="003130AA">
          <w:rPr>
            <w:noProof/>
            <w:webHidden/>
          </w:rPr>
          <w:tab/>
        </w:r>
        <w:r w:rsidR="00391A9F">
          <w:rPr>
            <w:noProof/>
            <w:webHidden/>
          </w:rPr>
          <w:fldChar w:fldCharType="begin"/>
        </w:r>
        <w:r w:rsidR="003130AA">
          <w:rPr>
            <w:noProof/>
            <w:webHidden/>
          </w:rPr>
          <w:instrText xml:space="preserve"> PAGEREF _Toc276461230 \h </w:instrText>
        </w:r>
        <w:r w:rsidR="00391A9F">
          <w:rPr>
            <w:noProof/>
            <w:webHidden/>
          </w:rPr>
        </w:r>
        <w:r w:rsidR="00391A9F">
          <w:rPr>
            <w:noProof/>
            <w:webHidden/>
          </w:rPr>
          <w:fldChar w:fldCharType="separate"/>
        </w:r>
        <w:r w:rsidR="003130AA">
          <w:rPr>
            <w:noProof/>
            <w:webHidden/>
          </w:rPr>
          <w:t>17</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31" w:history="1">
        <w:r w:rsidR="003130AA" w:rsidRPr="00CF3AD1">
          <w:rPr>
            <w:rStyle w:val="Hyperlink"/>
            <w:noProof/>
          </w:rPr>
          <w:t>2.3.3</w:t>
        </w:r>
        <w:r w:rsidR="003130AA">
          <w:rPr>
            <w:rFonts w:asciiTheme="minorHAnsi" w:eastAsiaTheme="minorEastAsia" w:hAnsiTheme="minorHAnsi" w:cstheme="minorBidi"/>
            <w:noProof/>
            <w:sz w:val="22"/>
            <w:szCs w:val="22"/>
            <w:lang w:val="en-US"/>
          </w:rPr>
          <w:tab/>
        </w:r>
        <w:r w:rsidR="003130AA" w:rsidRPr="00CF3AD1">
          <w:rPr>
            <w:rStyle w:val="Hyperlink"/>
            <w:noProof/>
          </w:rPr>
          <w:t>Human resources</w:t>
        </w:r>
        <w:r w:rsidR="003130AA">
          <w:rPr>
            <w:noProof/>
            <w:webHidden/>
          </w:rPr>
          <w:tab/>
        </w:r>
        <w:r w:rsidR="00391A9F">
          <w:rPr>
            <w:noProof/>
            <w:webHidden/>
          </w:rPr>
          <w:fldChar w:fldCharType="begin"/>
        </w:r>
        <w:r w:rsidR="003130AA">
          <w:rPr>
            <w:noProof/>
            <w:webHidden/>
          </w:rPr>
          <w:instrText xml:space="preserve"> PAGEREF _Toc276461231 \h </w:instrText>
        </w:r>
        <w:r w:rsidR="00391A9F">
          <w:rPr>
            <w:noProof/>
            <w:webHidden/>
          </w:rPr>
        </w:r>
        <w:r w:rsidR="00391A9F">
          <w:rPr>
            <w:noProof/>
            <w:webHidden/>
          </w:rPr>
          <w:fldChar w:fldCharType="separate"/>
        </w:r>
        <w:r w:rsidR="003130AA">
          <w:rPr>
            <w:noProof/>
            <w:webHidden/>
          </w:rPr>
          <w:t>17</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32" w:history="1">
        <w:r w:rsidR="003130AA" w:rsidRPr="00CF3AD1">
          <w:rPr>
            <w:rStyle w:val="Hyperlink"/>
            <w:noProof/>
          </w:rPr>
          <w:t>2.3.4</w:t>
        </w:r>
        <w:r w:rsidR="003130AA">
          <w:rPr>
            <w:rFonts w:asciiTheme="minorHAnsi" w:eastAsiaTheme="minorEastAsia" w:hAnsiTheme="minorHAnsi" w:cstheme="minorBidi"/>
            <w:noProof/>
            <w:sz w:val="22"/>
            <w:szCs w:val="22"/>
            <w:lang w:val="en-US"/>
          </w:rPr>
          <w:tab/>
        </w:r>
        <w:r w:rsidR="003130AA" w:rsidRPr="00CF3AD1">
          <w:rPr>
            <w:rStyle w:val="Hyperlink"/>
            <w:noProof/>
          </w:rPr>
          <w:t>Decentralization</w:t>
        </w:r>
        <w:r w:rsidR="003130AA">
          <w:rPr>
            <w:noProof/>
            <w:webHidden/>
          </w:rPr>
          <w:tab/>
        </w:r>
        <w:r w:rsidR="00391A9F">
          <w:rPr>
            <w:noProof/>
            <w:webHidden/>
          </w:rPr>
          <w:fldChar w:fldCharType="begin"/>
        </w:r>
        <w:r w:rsidR="003130AA">
          <w:rPr>
            <w:noProof/>
            <w:webHidden/>
          </w:rPr>
          <w:instrText xml:space="preserve"> PAGEREF _Toc276461232 \h </w:instrText>
        </w:r>
        <w:r w:rsidR="00391A9F">
          <w:rPr>
            <w:noProof/>
            <w:webHidden/>
          </w:rPr>
        </w:r>
        <w:r w:rsidR="00391A9F">
          <w:rPr>
            <w:noProof/>
            <w:webHidden/>
          </w:rPr>
          <w:fldChar w:fldCharType="separate"/>
        </w:r>
        <w:r w:rsidR="003130AA">
          <w:rPr>
            <w:noProof/>
            <w:webHidden/>
          </w:rPr>
          <w:t>17</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33" w:history="1">
        <w:r w:rsidR="003130AA" w:rsidRPr="00CF3AD1">
          <w:rPr>
            <w:rStyle w:val="Hyperlink"/>
            <w:noProof/>
          </w:rPr>
          <w:t>2.4</w:t>
        </w:r>
        <w:r w:rsidR="003130AA">
          <w:rPr>
            <w:rFonts w:asciiTheme="minorHAnsi" w:eastAsiaTheme="minorEastAsia" w:hAnsiTheme="minorHAnsi" w:cstheme="minorBidi"/>
            <w:noProof/>
            <w:sz w:val="22"/>
            <w:szCs w:val="22"/>
            <w:lang w:val="en-US"/>
          </w:rPr>
          <w:tab/>
        </w:r>
        <w:r w:rsidR="003130AA" w:rsidRPr="00CF3AD1">
          <w:rPr>
            <w:rStyle w:val="Hyperlink"/>
            <w:noProof/>
          </w:rPr>
          <w:t>The MoPSD</w:t>
        </w:r>
        <w:r w:rsidR="003130AA">
          <w:rPr>
            <w:noProof/>
            <w:webHidden/>
          </w:rPr>
          <w:tab/>
        </w:r>
        <w:r w:rsidR="00391A9F">
          <w:rPr>
            <w:noProof/>
            <w:webHidden/>
          </w:rPr>
          <w:fldChar w:fldCharType="begin"/>
        </w:r>
        <w:r w:rsidR="003130AA">
          <w:rPr>
            <w:noProof/>
            <w:webHidden/>
          </w:rPr>
          <w:instrText xml:space="preserve"> PAGEREF _Toc276461233 \h </w:instrText>
        </w:r>
        <w:r w:rsidR="00391A9F">
          <w:rPr>
            <w:noProof/>
            <w:webHidden/>
          </w:rPr>
        </w:r>
        <w:r w:rsidR="00391A9F">
          <w:rPr>
            <w:noProof/>
            <w:webHidden/>
          </w:rPr>
          <w:fldChar w:fldCharType="separate"/>
        </w:r>
        <w:r w:rsidR="003130AA">
          <w:rPr>
            <w:noProof/>
            <w:webHidden/>
          </w:rPr>
          <w:t>18</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34" w:history="1">
        <w:r w:rsidR="003130AA" w:rsidRPr="00CF3AD1">
          <w:rPr>
            <w:rStyle w:val="Hyperlink"/>
            <w:noProof/>
          </w:rPr>
          <w:t>3</w:t>
        </w:r>
        <w:r w:rsidR="003130AA">
          <w:rPr>
            <w:rFonts w:asciiTheme="minorHAnsi" w:eastAsiaTheme="minorEastAsia" w:hAnsiTheme="minorHAnsi" w:cstheme="minorBidi"/>
            <w:noProof/>
            <w:sz w:val="22"/>
            <w:szCs w:val="22"/>
            <w:lang w:val="en-US"/>
          </w:rPr>
          <w:tab/>
        </w:r>
        <w:r w:rsidR="003130AA" w:rsidRPr="00CF3AD1">
          <w:rPr>
            <w:rStyle w:val="Hyperlink"/>
            <w:noProof/>
          </w:rPr>
          <w:t>Description of the program – its logic theory, results framework and external factors likely to affect success</w:t>
        </w:r>
        <w:r w:rsidR="003130AA">
          <w:rPr>
            <w:noProof/>
            <w:webHidden/>
          </w:rPr>
          <w:tab/>
        </w:r>
        <w:r w:rsidR="00391A9F">
          <w:rPr>
            <w:noProof/>
            <w:webHidden/>
          </w:rPr>
          <w:fldChar w:fldCharType="begin"/>
        </w:r>
        <w:r w:rsidR="003130AA">
          <w:rPr>
            <w:noProof/>
            <w:webHidden/>
          </w:rPr>
          <w:instrText xml:space="preserve"> PAGEREF _Toc276461234 \h </w:instrText>
        </w:r>
        <w:r w:rsidR="00391A9F">
          <w:rPr>
            <w:noProof/>
            <w:webHidden/>
          </w:rPr>
        </w:r>
        <w:r w:rsidR="00391A9F">
          <w:rPr>
            <w:noProof/>
            <w:webHidden/>
          </w:rPr>
          <w:fldChar w:fldCharType="separate"/>
        </w:r>
        <w:r w:rsidR="003130AA">
          <w:rPr>
            <w:noProof/>
            <w:webHidden/>
          </w:rPr>
          <w:t>20</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35" w:history="1">
        <w:r w:rsidR="003130AA" w:rsidRPr="00CF3AD1">
          <w:rPr>
            <w:rStyle w:val="Hyperlink"/>
            <w:noProof/>
          </w:rPr>
          <w:t>3.1</w:t>
        </w:r>
        <w:r w:rsidR="003130AA">
          <w:rPr>
            <w:rFonts w:asciiTheme="minorHAnsi" w:eastAsiaTheme="minorEastAsia" w:hAnsiTheme="minorHAnsi" w:cstheme="minorBidi"/>
            <w:noProof/>
            <w:sz w:val="22"/>
            <w:szCs w:val="22"/>
            <w:lang w:val="en-US"/>
          </w:rPr>
          <w:tab/>
        </w:r>
        <w:r w:rsidR="003130AA" w:rsidRPr="00CF3AD1">
          <w:rPr>
            <w:rStyle w:val="Hyperlink"/>
            <w:noProof/>
          </w:rPr>
          <w:t>Logic Theory</w:t>
        </w:r>
        <w:r w:rsidR="003130AA">
          <w:rPr>
            <w:noProof/>
            <w:webHidden/>
          </w:rPr>
          <w:tab/>
        </w:r>
        <w:r w:rsidR="00391A9F">
          <w:rPr>
            <w:noProof/>
            <w:webHidden/>
          </w:rPr>
          <w:fldChar w:fldCharType="begin"/>
        </w:r>
        <w:r w:rsidR="003130AA">
          <w:rPr>
            <w:noProof/>
            <w:webHidden/>
          </w:rPr>
          <w:instrText xml:space="preserve"> PAGEREF _Toc276461235 \h </w:instrText>
        </w:r>
        <w:r w:rsidR="00391A9F">
          <w:rPr>
            <w:noProof/>
            <w:webHidden/>
          </w:rPr>
        </w:r>
        <w:r w:rsidR="00391A9F">
          <w:rPr>
            <w:noProof/>
            <w:webHidden/>
          </w:rPr>
          <w:fldChar w:fldCharType="separate"/>
        </w:r>
        <w:r w:rsidR="003130AA">
          <w:rPr>
            <w:noProof/>
            <w:webHidden/>
          </w:rPr>
          <w:t>20</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36" w:history="1">
        <w:r w:rsidR="003130AA" w:rsidRPr="00CF3AD1">
          <w:rPr>
            <w:rStyle w:val="Hyperlink"/>
            <w:noProof/>
            <w:lang w:eastAsia="it-IT"/>
          </w:rPr>
          <w:t>3.1.1</w:t>
        </w:r>
        <w:r w:rsidR="003130AA">
          <w:rPr>
            <w:rFonts w:asciiTheme="minorHAnsi" w:eastAsiaTheme="minorEastAsia" w:hAnsiTheme="minorHAnsi" w:cstheme="minorBidi"/>
            <w:noProof/>
            <w:sz w:val="22"/>
            <w:szCs w:val="22"/>
            <w:lang w:val="en-US"/>
          </w:rPr>
          <w:tab/>
        </w:r>
        <w:r w:rsidR="003130AA" w:rsidRPr="00CF3AD1">
          <w:rPr>
            <w:rStyle w:val="Hyperlink"/>
            <w:noProof/>
          </w:rPr>
          <w:t>Intervention logic and strategy</w:t>
        </w:r>
        <w:r w:rsidR="003130AA">
          <w:rPr>
            <w:noProof/>
            <w:webHidden/>
          </w:rPr>
          <w:tab/>
        </w:r>
        <w:r w:rsidR="00391A9F">
          <w:rPr>
            <w:noProof/>
            <w:webHidden/>
          </w:rPr>
          <w:fldChar w:fldCharType="begin"/>
        </w:r>
        <w:r w:rsidR="003130AA">
          <w:rPr>
            <w:noProof/>
            <w:webHidden/>
          </w:rPr>
          <w:instrText xml:space="preserve"> PAGEREF _Toc276461236 \h </w:instrText>
        </w:r>
        <w:r w:rsidR="00391A9F">
          <w:rPr>
            <w:noProof/>
            <w:webHidden/>
          </w:rPr>
        </w:r>
        <w:r w:rsidR="00391A9F">
          <w:rPr>
            <w:noProof/>
            <w:webHidden/>
          </w:rPr>
          <w:fldChar w:fldCharType="separate"/>
        </w:r>
        <w:r w:rsidR="003130AA">
          <w:rPr>
            <w:noProof/>
            <w:webHidden/>
          </w:rPr>
          <w:t>21</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37" w:history="1">
        <w:r w:rsidR="003130AA" w:rsidRPr="00CF3AD1">
          <w:rPr>
            <w:rStyle w:val="Hyperlink"/>
            <w:noProof/>
          </w:rPr>
          <w:t>3.2</w:t>
        </w:r>
        <w:r w:rsidR="003130AA">
          <w:rPr>
            <w:rFonts w:asciiTheme="minorHAnsi" w:eastAsiaTheme="minorEastAsia" w:hAnsiTheme="minorHAnsi" w:cstheme="minorBidi"/>
            <w:noProof/>
            <w:sz w:val="22"/>
            <w:szCs w:val="22"/>
            <w:lang w:val="en-US"/>
          </w:rPr>
          <w:tab/>
        </w:r>
        <w:r w:rsidR="003130AA" w:rsidRPr="00CF3AD1">
          <w:rPr>
            <w:rStyle w:val="Hyperlink"/>
            <w:noProof/>
          </w:rPr>
          <w:t>Results Framework</w:t>
        </w:r>
        <w:r w:rsidR="003130AA">
          <w:rPr>
            <w:noProof/>
            <w:webHidden/>
          </w:rPr>
          <w:tab/>
        </w:r>
        <w:r w:rsidR="00391A9F">
          <w:rPr>
            <w:noProof/>
            <w:webHidden/>
          </w:rPr>
          <w:fldChar w:fldCharType="begin"/>
        </w:r>
        <w:r w:rsidR="003130AA">
          <w:rPr>
            <w:noProof/>
            <w:webHidden/>
          </w:rPr>
          <w:instrText xml:space="preserve"> PAGEREF _Toc276461237 \h </w:instrText>
        </w:r>
        <w:r w:rsidR="00391A9F">
          <w:rPr>
            <w:noProof/>
            <w:webHidden/>
          </w:rPr>
        </w:r>
        <w:r w:rsidR="00391A9F">
          <w:rPr>
            <w:noProof/>
            <w:webHidden/>
          </w:rPr>
          <w:fldChar w:fldCharType="separate"/>
        </w:r>
        <w:r w:rsidR="003130AA">
          <w:rPr>
            <w:noProof/>
            <w:webHidden/>
          </w:rPr>
          <w:t>21</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38" w:history="1">
        <w:r w:rsidR="003130AA" w:rsidRPr="00CF3AD1">
          <w:rPr>
            <w:rStyle w:val="Hyperlink"/>
            <w:noProof/>
          </w:rPr>
          <w:t>3.3</w:t>
        </w:r>
        <w:r w:rsidR="003130AA">
          <w:rPr>
            <w:rFonts w:asciiTheme="minorHAnsi" w:eastAsiaTheme="minorEastAsia" w:hAnsiTheme="minorHAnsi" w:cstheme="minorBidi"/>
            <w:noProof/>
            <w:sz w:val="22"/>
            <w:szCs w:val="22"/>
            <w:lang w:val="en-US"/>
          </w:rPr>
          <w:tab/>
        </w:r>
        <w:r w:rsidR="003130AA" w:rsidRPr="00CF3AD1">
          <w:rPr>
            <w:rStyle w:val="Hyperlink"/>
            <w:noProof/>
          </w:rPr>
          <w:t>External factors</w:t>
        </w:r>
        <w:r w:rsidR="003130AA">
          <w:rPr>
            <w:noProof/>
            <w:webHidden/>
          </w:rPr>
          <w:tab/>
        </w:r>
        <w:r w:rsidR="00391A9F">
          <w:rPr>
            <w:noProof/>
            <w:webHidden/>
          </w:rPr>
          <w:fldChar w:fldCharType="begin"/>
        </w:r>
        <w:r w:rsidR="003130AA">
          <w:rPr>
            <w:noProof/>
            <w:webHidden/>
          </w:rPr>
          <w:instrText xml:space="preserve"> PAGEREF _Toc276461238 \h </w:instrText>
        </w:r>
        <w:r w:rsidR="00391A9F">
          <w:rPr>
            <w:noProof/>
            <w:webHidden/>
          </w:rPr>
        </w:r>
        <w:r w:rsidR="00391A9F">
          <w:rPr>
            <w:noProof/>
            <w:webHidden/>
          </w:rPr>
          <w:fldChar w:fldCharType="separate"/>
        </w:r>
        <w:r w:rsidR="003130AA">
          <w:rPr>
            <w:noProof/>
            <w:webHidden/>
          </w:rPr>
          <w:t>22</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39" w:history="1">
        <w:r w:rsidR="003130AA" w:rsidRPr="00CF3AD1">
          <w:rPr>
            <w:rStyle w:val="Hyperlink"/>
            <w:noProof/>
          </w:rPr>
          <w:t>4</w:t>
        </w:r>
        <w:r w:rsidR="003130AA">
          <w:rPr>
            <w:rFonts w:asciiTheme="minorHAnsi" w:eastAsiaTheme="minorEastAsia" w:hAnsiTheme="minorHAnsi" w:cstheme="minorBidi"/>
            <w:noProof/>
            <w:sz w:val="22"/>
            <w:szCs w:val="22"/>
            <w:lang w:val="en-US"/>
          </w:rPr>
          <w:tab/>
        </w:r>
        <w:r w:rsidR="003130AA" w:rsidRPr="00CF3AD1">
          <w:rPr>
            <w:rStyle w:val="Hyperlink"/>
            <w:noProof/>
          </w:rPr>
          <w:t>Purpose of the evaluation</w:t>
        </w:r>
        <w:r w:rsidR="003130AA">
          <w:rPr>
            <w:noProof/>
            <w:webHidden/>
          </w:rPr>
          <w:tab/>
        </w:r>
        <w:r w:rsidR="00391A9F">
          <w:rPr>
            <w:noProof/>
            <w:webHidden/>
          </w:rPr>
          <w:fldChar w:fldCharType="begin"/>
        </w:r>
        <w:r w:rsidR="003130AA">
          <w:rPr>
            <w:noProof/>
            <w:webHidden/>
          </w:rPr>
          <w:instrText xml:space="preserve"> PAGEREF _Toc276461239 \h </w:instrText>
        </w:r>
        <w:r w:rsidR="00391A9F">
          <w:rPr>
            <w:noProof/>
            <w:webHidden/>
          </w:rPr>
        </w:r>
        <w:r w:rsidR="00391A9F">
          <w:rPr>
            <w:noProof/>
            <w:webHidden/>
          </w:rPr>
          <w:fldChar w:fldCharType="separate"/>
        </w:r>
        <w:r w:rsidR="003130AA">
          <w:rPr>
            <w:noProof/>
            <w:webHidden/>
          </w:rPr>
          <w:t>22</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40" w:history="1">
        <w:r w:rsidR="003130AA" w:rsidRPr="00CF3AD1">
          <w:rPr>
            <w:rStyle w:val="Hyperlink"/>
            <w:noProof/>
          </w:rPr>
          <w:t>5</w:t>
        </w:r>
        <w:r w:rsidR="003130AA">
          <w:rPr>
            <w:rFonts w:asciiTheme="minorHAnsi" w:eastAsiaTheme="minorEastAsia" w:hAnsiTheme="minorHAnsi" w:cstheme="minorBidi"/>
            <w:noProof/>
            <w:sz w:val="22"/>
            <w:szCs w:val="22"/>
            <w:lang w:val="en-US"/>
          </w:rPr>
          <w:tab/>
        </w:r>
        <w:r w:rsidR="003130AA" w:rsidRPr="00CF3AD1">
          <w:rPr>
            <w:rStyle w:val="Hyperlink"/>
            <w:noProof/>
          </w:rPr>
          <w:t>Key questions and scope of the evaluation - information on limitations and de-limitations</w:t>
        </w:r>
        <w:r w:rsidR="003130AA">
          <w:rPr>
            <w:noProof/>
            <w:webHidden/>
          </w:rPr>
          <w:tab/>
        </w:r>
        <w:r w:rsidR="00391A9F">
          <w:rPr>
            <w:noProof/>
            <w:webHidden/>
          </w:rPr>
          <w:fldChar w:fldCharType="begin"/>
        </w:r>
        <w:r w:rsidR="003130AA">
          <w:rPr>
            <w:noProof/>
            <w:webHidden/>
          </w:rPr>
          <w:instrText xml:space="preserve"> PAGEREF _Toc276461240 \h </w:instrText>
        </w:r>
        <w:r w:rsidR="00391A9F">
          <w:rPr>
            <w:noProof/>
            <w:webHidden/>
          </w:rPr>
        </w:r>
        <w:r w:rsidR="00391A9F">
          <w:rPr>
            <w:noProof/>
            <w:webHidden/>
          </w:rPr>
          <w:fldChar w:fldCharType="separate"/>
        </w:r>
        <w:r w:rsidR="003130AA">
          <w:rPr>
            <w:noProof/>
            <w:webHidden/>
          </w:rPr>
          <w:t>22</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41" w:history="1">
        <w:r w:rsidR="003130AA" w:rsidRPr="00CF3AD1">
          <w:rPr>
            <w:rStyle w:val="Hyperlink"/>
            <w:noProof/>
          </w:rPr>
          <w:t>5.1</w:t>
        </w:r>
        <w:r w:rsidR="003130AA">
          <w:rPr>
            <w:rFonts w:asciiTheme="minorHAnsi" w:eastAsiaTheme="minorEastAsia" w:hAnsiTheme="minorHAnsi" w:cstheme="minorBidi"/>
            <w:noProof/>
            <w:sz w:val="22"/>
            <w:szCs w:val="22"/>
            <w:lang w:val="en-US"/>
          </w:rPr>
          <w:tab/>
        </w:r>
        <w:r w:rsidR="003130AA" w:rsidRPr="00CF3AD1">
          <w:rPr>
            <w:rStyle w:val="Hyperlink"/>
            <w:noProof/>
          </w:rPr>
          <w:t>Key Evaluation Questions</w:t>
        </w:r>
        <w:r w:rsidR="003130AA">
          <w:rPr>
            <w:noProof/>
            <w:webHidden/>
          </w:rPr>
          <w:tab/>
        </w:r>
        <w:r w:rsidR="00391A9F">
          <w:rPr>
            <w:noProof/>
            <w:webHidden/>
          </w:rPr>
          <w:fldChar w:fldCharType="begin"/>
        </w:r>
        <w:r w:rsidR="003130AA">
          <w:rPr>
            <w:noProof/>
            <w:webHidden/>
          </w:rPr>
          <w:instrText xml:space="preserve"> PAGEREF _Toc276461241 \h </w:instrText>
        </w:r>
        <w:r w:rsidR="00391A9F">
          <w:rPr>
            <w:noProof/>
            <w:webHidden/>
          </w:rPr>
        </w:r>
        <w:r w:rsidR="00391A9F">
          <w:rPr>
            <w:noProof/>
            <w:webHidden/>
          </w:rPr>
          <w:fldChar w:fldCharType="separate"/>
        </w:r>
        <w:r w:rsidR="003130AA">
          <w:rPr>
            <w:noProof/>
            <w:webHidden/>
          </w:rPr>
          <w:t>23</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42" w:history="1">
        <w:r w:rsidR="003130AA" w:rsidRPr="00CF3AD1">
          <w:rPr>
            <w:rStyle w:val="Hyperlink"/>
            <w:noProof/>
          </w:rPr>
          <w:t>6</w:t>
        </w:r>
        <w:r w:rsidR="003130AA">
          <w:rPr>
            <w:rFonts w:asciiTheme="minorHAnsi" w:eastAsiaTheme="minorEastAsia" w:hAnsiTheme="minorHAnsi" w:cstheme="minorBidi"/>
            <w:noProof/>
            <w:sz w:val="22"/>
            <w:szCs w:val="22"/>
            <w:lang w:val="en-US"/>
          </w:rPr>
          <w:tab/>
        </w:r>
        <w:r w:rsidR="003130AA" w:rsidRPr="00CF3AD1">
          <w:rPr>
            <w:rStyle w:val="Hyperlink"/>
            <w:noProof/>
          </w:rPr>
          <w:t>Approach and methodology</w:t>
        </w:r>
        <w:r w:rsidR="003130AA">
          <w:rPr>
            <w:noProof/>
            <w:webHidden/>
          </w:rPr>
          <w:tab/>
        </w:r>
        <w:r w:rsidR="00391A9F">
          <w:rPr>
            <w:noProof/>
            <w:webHidden/>
          </w:rPr>
          <w:fldChar w:fldCharType="begin"/>
        </w:r>
        <w:r w:rsidR="003130AA">
          <w:rPr>
            <w:noProof/>
            <w:webHidden/>
          </w:rPr>
          <w:instrText xml:space="preserve"> PAGEREF _Toc276461242 \h </w:instrText>
        </w:r>
        <w:r w:rsidR="00391A9F">
          <w:rPr>
            <w:noProof/>
            <w:webHidden/>
          </w:rPr>
        </w:r>
        <w:r w:rsidR="00391A9F">
          <w:rPr>
            <w:noProof/>
            <w:webHidden/>
          </w:rPr>
          <w:fldChar w:fldCharType="separate"/>
        </w:r>
        <w:r w:rsidR="003130AA">
          <w:rPr>
            <w:noProof/>
            <w:webHidden/>
          </w:rPr>
          <w:t>24</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43" w:history="1">
        <w:r w:rsidR="003130AA" w:rsidRPr="00CF3AD1">
          <w:rPr>
            <w:rStyle w:val="Hyperlink"/>
            <w:noProof/>
          </w:rPr>
          <w:t>6.1</w:t>
        </w:r>
        <w:r w:rsidR="003130AA">
          <w:rPr>
            <w:rFonts w:asciiTheme="minorHAnsi" w:eastAsiaTheme="minorEastAsia" w:hAnsiTheme="minorHAnsi" w:cstheme="minorBidi"/>
            <w:noProof/>
            <w:sz w:val="22"/>
            <w:szCs w:val="22"/>
            <w:lang w:val="en-US"/>
          </w:rPr>
          <w:tab/>
        </w:r>
        <w:r w:rsidR="003130AA" w:rsidRPr="00CF3AD1">
          <w:rPr>
            <w:rStyle w:val="Hyperlink"/>
            <w:noProof/>
          </w:rPr>
          <w:t>Approach, Structure and Reporting</w:t>
        </w:r>
        <w:r w:rsidR="003130AA">
          <w:rPr>
            <w:noProof/>
            <w:webHidden/>
          </w:rPr>
          <w:tab/>
        </w:r>
        <w:r w:rsidR="00391A9F">
          <w:rPr>
            <w:noProof/>
            <w:webHidden/>
          </w:rPr>
          <w:fldChar w:fldCharType="begin"/>
        </w:r>
        <w:r w:rsidR="003130AA">
          <w:rPr>
            <w:noProof/>
            <w:webHidden/>
          </w:rPr>
          <w:instrText xml:space="preserve"> PAGEREF _Toc276461243 \h </w:instrText>
        </w:r>
        <w:r w:rsidR="00391A9F">
          <w:rPr>
            <w:noProof/>
            <w:webHidden/>
          </w:rPr>
        </w:r>
        <w:r w:rsidR="00391A9F">
          <w:rPr>
            <w:noProof/>
            <w:webHidden/>
          </w:rPr>
          <w:fldChar w:fldCharType="separate"/>
        </w:r>
        <w:r w:rsidR="003130AA">
          <w:rPr>
            <w:noProof/>
            <w:webHidden/>
          </w:rPr>
          <w:t>24</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44" w:history="1">
        <w:r w:rsidR="003130AA" w:rsidRPr="00CF3AD1">
          <w:rPr>
            <w:rStyle w:val="Hyperlink"/>
            <w:noProof/>
          </w:rPr>
          <w:t>6.2</w:t>
        </w:r>
        <w:r w:rsidR="003130AA">
          <w:rPr>
            <w:rFonts w:asciiTheme="minorHAnsi" w:eastAsiaTheme="minorEastAsia" w:hAnsiTheme="minorHAnsi" w:cstheme="minorBidi"/>
            <w:noProof/>
            <w:sz w:val="22"/>
            <w:szCs w:val="22"/>
            <w:lang w:val="en-US"/>
          </w:rPr>
          <w:tab/>
        </w:r>
        <w:r w:rsidR="003130AA" w:rsidRPr="00CF3AD1">
          <w:rPr>
            <w:rStyle w:val="Hyperlink"/>
            <w:noProof/>
          </w:rPr>
          <w:t>Methodology</w:t>
        </w:r>
        <w:r w:rsidR="003130AA">
          <w:rPr>
            <w:noProof/>
            <w:webHidden/>
          </w:rPr>
          <w:tab/>
        </w:r>
        <w:r w:rsidR="00391A9F">
          <w:rPr>
            <w:noProof/>
            <w:webHidden/>
          </w:rPr>
          <w:fldChar w:fldCharType="begin"/>
        </w:r>
        <w:r w:rsidR="003130AA">
          <w:rPr>
            <w:noProof/>
            <w:webHidden/>
          </w:rPr>
          <w:instrText xml:space="preserve"> PAGEREF _Toc276461244 \h </w:instrText>
        </w:r>
        <w:r w:rsidR="00391A9F">
          <w:rPr>
            <w:noProof/>
            <w:webHidden/>
          </w:rPr>
        </w:r>
        <w:r w:rsidR="00391A9F">
          <w:rPr>
            <w:noProof/>
            <w:webHidden/>
          </w:rPr>
          <w:fldChar w:fldCharType="separate"/>
        </w:r>
        <w:r w:rsidR="003130AA">
          <w:rPr>
            <w:noProof/>
            <w:webHidden/>
          </w:rPr>
          <w:t>24</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45" w:history="1">
        <w:r w:rsidR="003130AA" w:rsidRPr="00CF3AD1">
          <w:rPr>
            <w:rStyle w:val="Hyperlink"/>
            <w:noProof/>
          </w:rPr>
          <w:t>6.2.1</w:t>
        </w:r>
        <w:r w:rsidR="003130AA">
          <w:rPr>
            <w:rFonts w:asciiTheme="minorHAnsi" w:eastAsiaTheme="minorEastAsia" w:hAnsiTheme="minorHAnsi" w:cstheme="minorBidi"/>
            <w:noProof/>
            <w:sz w:val="22"/>
            <w:szCs w:val="22"/>
            <w:lang w:val="en-US"/>
          </w:rPr>
          <w:tab/>
        </w:r>
        <w:r w:rsidR="003130AA" w:rsidRPr="00CF3AD1">
          <w:rPr>
            <w:rStyle w:val="Hyperlink"/>
            <w:noProof/>
          </w:rPr>
          <w:t>Data Collection and Analysis</w:t>
        </w:r>
        <w:r w:rsidR="003130AA">
          <w:rPr>
            <w:noProof/>
            <w:webHidden/>
          </w:rPr>
          <w:tab/>
        </w:r>
        <w:r w:rsidR="00391A9F">
          <w:rPr>
            <w:noProof/>
            <w:webHidden/>
          </w:rPr>
          <w:fldChar w:fldCharType="begin"/>
        </w:r>
        <w:r w:rsidR="003130AA">
          <w:rPr>
            <w:noProof/>
            <w:webHidden/>
          </w:rPr>
          <w:instrText xml:space="preserve"> PAGEREF _Toc276461245 \h </w:instrText>
        </w:r>
        <w:r w:rsidR="00391A9F">
          <w:rPr>
            <w:noProof/>
            <w:webHidden/>
          </w:rPr>
        </w:r>
        <w:r w:rsidR="00391A9F">
          <w:rPr>
            <w:noProof/>
            <w:webHidden/>
          </w:rPr>
          <w:fldChar w:fldCharType="separate"/>
        </w:r>
        <w:r w:rsidR="003130AA">
          <w:rPr>
            <w:noProof/>
            <w:webHidden/>
          </w:rPr>
          <w:t>24</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46" w:history="1">
        <w:r w:rsidR="003130AA" w:rsidRPr="00CF3AD1">
          <w:rPr>
            <w:rStyle w:val="Hyperlink"/>
            <w:noProof/>
          </w:rPr>
          <w:t>6.2.2</w:t>
        </w:r>
        <w:r w:rsidR="003130AA">
          <w:rPr>
            <w:rFonts w:asciiTheme="minorHAnsi" w:eastAsiaTheme="minorEastAsia" w:hAnsiTheme="minorHAnsi" w:cstheme="minorBidi"/>
            <w:noProof/>
            <w:sz w:val="22"/>
            <w:szCs w:val="22"/>
            <w:lang w:val="en-US"/>
          </w:rPr>
          <w:tab/>
        </w:r>
        <w:r w:rsidR="003130AA" w:rsidRPr="00CF3AD1">
          <w:rPr>
            <w:rStyle w:val="Hyperlink"/>
            <w:noProof/>
          </w:rPr>
          <w:t>Case Studies</w:t>
        </w:r>
        <w:r w:rsidR="003130AA">
          <w:rPr>
            <w:noProof/>
            <w:webHidden/>
          </w:rPr>
          <w:tab/>
        </w:r>
        <w:r w:rsidR="00391A9F">
          <w:rPr>
            <w:noProof/>
            <w:webHidden/>
          </w:rPr>
          <w:fldChar w:fldCharType="begin"/>
        </w:r>
        <w:r w:rsidR="003130AA">
          <w:rPr>
            <w:noProof/>
            <w:webHidden/>
          </w:rPr>
          <w:instrText xml:space="preserve"> PAGEREF _Toc276461246 \h </w:instrText>
        </w:r>
        <w:r w:rsidR="00391A9F">
          <w:rPr>
            <w:noProof/>
            <w:webHidden/>
          </w:rPr>
        </w:r>
        <w:r w:rsidR="00391A9F">
          <w:rPr>
            <w:noProof/>
            <w:webHidden/>
          </w:rPr>
          <w:fldChar w:fldCharType="separate"/>
        </w:r>
        <w:r w:rsidR="003130AA">
          <w:rPr>
            <w:noProof/>
            <w:webHidden/>
          </w:rPr>
          <w:t>24</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47" w:history="1">
        <w:r w:rsidR="003130AA" w:rsidRPr="00CF3AD1">
          <w:rPr>
            <w:rStyle w:val="Hyperlink"/>
            <w:noProof/>
          </w:rPr>
          <w:t>6.2.3</w:t>
        </w:r>
        <w:r w:rsidR="003130AA">
          <w:rPr>
            <w:rFonts w:asciiTheme="minorHAnsi" w:eastAsiaTheme="minorEastAsia" w:hAnsiTheme="minorHAnsi" w:cstheme="minorBidi"/>
            <w:noProof/>
            <w:sz w:val="22"/>
            <w:szCs w:val="22"/>
            <w:lang w:val="en-US"/>
          </w:rPr>
          <w:tab/>
        </w:r>
        <w:r w:rsidR="003130AA" w:rsidRPr="00CF3AD1">
          <w:rPr>
            <w:rStyle w:val="Hyperlink"/>
            <w:noProof/>
          </w:rPr>
          <w:t>Analysis and Reporting Phase</w:t>
        </w:r>
        <w:r w:rsidR="003130AA">
          <w:rPr>
            <w:noProof/>
            <w:webHidden/>
          </w:rPr>
          <w:tab/>
        </w:r>
        <w:r w:rsidR="00391A9F">
          <w:rPr>
            <w:noProof/>
            <w:webHidden/>
          </w:rPr>
          <w:fldChar w:fldCharType="begin"/>
        </w:r>
        <w:r w:rsidR="003130AA">
          <w:rPr>
            <w:noProof/>
            <w:webHidden/>
          </w:rPr>
          <w:instrText xml:space="preserve"> PAGEREF _Toc276461247 \h </w:instrText>
        </w:r>
        <w:r w:rsidR="00391A9F">
          <w:rPr>
            <w:noProof/>
            <w:webHidden/>
          </w:rPr>
        </w:r>
        <w:r w:rsidR="00391A9F">
          <w:rPr>
            <w:noProof/>
            <w:webHidden/>
          </w:rPr>
          <w:fldChar w:fldCharType="separate"/>
        </w:r>
        <w:r w:rsidR="003130AA">
          <w:rPr>
            <w:noProof/>
            <w:webHidden/>
          </w:rPr>
          <w:t>25</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48" w:history="1">
        <w:r w:rsidR="003130AA" w:rsidRPr="00CF3AD1">
          <w:rPr>
            <w:rStyle w:val="Hyperlink"/>
            <w:noProof/>
          </w:rPr>
          <w:t>6.3</w:t>
        </w:r>
        <w:r w:rsidR="003130AA">
          <w:rPr>
            <w:rFonts w:asciiTheme="minorHAnsi" w:eastAsiaTheme="minorEastAsia" w:hAnsiTheme="minorHAnsi" w:cstheme="minorBidi"/>
            <w:noProof/>
            <w:sz w:val="22"/>
            <w:szCs w:val="22"/>
            <w:lang w:val="en-US"/>
          </w:rPr>
          <w:tab/>
        </w:r>
        <w:r w:rsidR="003130AA" w:rsidRPr="00CF3AD1">
          <w:rPr>
            <w:rStyle w:val="Hyperlink"/>
            <w:noProof/>
          </w:rPr>
          <w:t>Basis of Judgement and Interpretation of Findings</w:t>
        </w:r>
        <w:r w:rsidR="003130AA">
          <w:rPr>
            <w:noProof/>
            <w:webHidden/>
          </w:rPr>
          <w:tab/>
        </w:r>
        <w:r w:rsidR="00391A9F">
          <w:rPr>
            <w:noProof/>
            <w:webHidden/>
          </w:rPr>
          <w:fldChar w:fldCharType="begin"/>
        </w:r>
        <w:r w:rsidR="003130AA">
          <w:rPr>
            <w:noProof/>
            <w:webHidden/>
          </w:rPr>
          <w:instrText xml:space="preserve"> PAGEREF _Toc276461248 \h </w:instrText>
        </w:r>
        <w:r w:rsidR="00391A9F">
          <w:rPr>
            <w:noProof/>
            <w:webHidden/>
          </w:rPr>
        </w:r>
        <w:r w:rsidR="00391A9F">
          <w:rPr>
            <w:noProof/>
            <w:webHidden/>
          </w:rPr>
          <w:fldChar w:fldCharType="separate"/>
        </w:r>
        <w:r w:rsidR="003130AA">
          <w:rPr>
            <w:noProof/>
            <w:webHidden/>
          </w:rPr>
          <w:t>25</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49" w:history="1">
        <w:r w:rsidR="003130AA" w:rsidRPr="00CF3AD1">
          <w:rPr>
            <w:rStyle w:val="Hyperlink"/>
            <w:noProof/>
          </w:rPr>
          <w:t>7</w:t>
        </w:r>
        <w:r w:rsidR="003130AA">
          <w:rPr>
            <w:rFonts w:asciiTheme="minorHAnsi" w:eastAsiaTheme="minorEastAsia" w:hAnsiTheme="minorHAnsi" w:cstheme="minorBidi"/>
            <w:noProof/>
            <w:sz w:val="22"/>
            <w:szCs w:val="22"/>
            <w:lang w:val="en-US"/>
          </w:rPr>
          <w:tab/>
        </w:r>
        <w:r w:rsidR="003130AA" w:rsidRPr="00CF3AD1">
          <w:rPr>
            <w:rStyle w:val="Hyperlink"/>
            <w:noProof/>
          </w:rPr>
          <w:t>Findings</w:t>
        </w:r>
        <w:r w:rsidR="003130AA">
          <w:rPr>
            <w:noProof/>
            <w:webHidden/>
          </w:rPr>
          <w:tab/>
        </w:r>
        <w:r w:rsidR="00391A9F">
          <w:rPr>
            <w:noProof/>
            <w:webHidden/>
          </w:rPr>
          <w:fldChar w:fldCharType="begin"/>
        </w:r>
        <w:r w:rsidR="003130AA">
          <w:rPr>
            <w:noProof/>
            <w:webHidden/>
          </w:rPr>
          <w:instrText xml:space="preserve"> PAGEREF _Toc276461249 \h </w:instrText>
        </w:r>
        <w:r w:rsidR="00391A9F">
          <w:rPr>
            <w:noProof/>
            <w:webHidden/>
          </w:rPr>
        </w:r>
        <w:r w:rsidR="00391A9F">
          <w:rPr>
            <w:noProof/>
            <w:webHidden/>
          </w:rPr>
          <w:fldChar w:fldCharType="separate"/>
        </w:r>
        <w:r w:rsidR="003130AA">
          <w:rPr>
            <w:noProof/>
            <w:webHidden/>
          </w:rPr>
          <w:t>25</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50" w:history="1">
        <w:r w:rsidR="003130AA" w:rsidRPr="00CF3AD1">
          <w:rPr>
            <w:rStyle w:val="Hyperlink"/>
            <w:noProof/>
          </w:rPr>
          <w:t>7.1</w:t>
        </w:r>
        <w:r w:rsidR="003130AA">
          <w:rPr>
            <w:rFonts w:asciiTheme="minorHAnsi" w:eastAsiaTheme="minorEastAsia" w:hAnsiTheme="minorHAnsi" w:cstheme="minorBidi"/>
            <w:noProof/>
            <w:sz w:val="22"/>
            <w:szCs w:val="22"/>
            <w:lang w:val="en-US"/>
          </w:rPr>
          <w:tab/>
        </w:r>
        <w:r w:rsidR="003130AA" w:rsidRPr="00CF3AD1">
          <w:rPr>
            <w:rStyle w:val="Hyperlink"/>
            <w:noProof/>
          </w:rPr>
          <w:t>Project management</w:t>
        </w:r>
        <w:r w:rsidR="003130AA">
          <w:rPr>
            <w:noProof/>
            <w:webHidden/>
          </w:rPr>
          <w:tab/>
        </w:r>
        <w:r w:rsidR="00391A9F">
          <w:rPr>
            <w:noProof/>
            <w:webHidden/>
          </w:rPr>
          <w:fldChar w:fldCharType="begin"/>
        </w:r>
        <w:r w:rsidR="003130AA">
          <w:rPr>
            <w:noProof/>
            <w:webHidden/>
          </w:rPr>
          <w:instrText xml:space="preserve"> PAGEREF _Toc276461250 \h </w:instrText>
        </w:r>
        <w:r w:rsidR="00391A9F">
          <w:rPr>
            <w:noProof/>
            <w:webHidden/>
          </w:rPr>
        </w:r>
        <w:r w:rsidR="00391A9F">
          <w:rPr>
            <w:noProof/>
            <w:webHidden/>
          </w:rPr>
          <w:fldChar w:fldCharType="separate"/>
        </w:r>
        <w:r w:rsidR="003130AA">
          <w:rPr>
            <w:noProof/>
            <w:webHidden/>
          </w:rPr>
          <w:t>25</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1" w:history="1">
        <w:r w:rsidR="003130AA" w:rsidRPr="00CF3AD1">
          <w:rPr>
            <w:rStyle w:val="Hyperlink"/>
            <w:noProof/>
          </w:rPr>
          <w:t>7.1.1</w:t>
        </w:r>
        <w:r w:rsidR="003130AA">
          <w:rPr>
            <w:rFonts w:asciiTheme="minorHAnsi" w:eastAsiaTheme="minorEastAsia" w:hAnsiTheme="minorHAnsi" w:cstheme="minorBidi"/>
            <w:noProof/>
            <w:sz w:val="22"/>
            <w:szCs w:val="22"/>
            <w:lang w:val="en-US"/>
          </w:rPr>
          <w:tab/>
        </w:r>
        <w:r w:rsidR="003130AA" w:rsidRPr="00CF3AD1">
          <w:rPr>
            <w:rStyle w:val="Hyperlink"/>
            <w:noProof/>
          </w:rPr>
          <w:t>Steering Committee</w:t>
        </w:r>
        <w:r w:rsidR="003130AA">
          <w:rPr>
            <w:noProof/>
            <w:webHidden/>
          </w:rPr>
          <w:tab/>
        </w:r>
        <w:r w:rsidR="00391A9F">
          <w:rPr>
            <w:noProof/>
            <w:webHidden/>
          </w:rPr>
          <w:fldChar w:fldCharType="begin"/>
        </w:r>
        <w:r w:rsidR="003130AA">
          <w:rPr>
            <w:noProof/>
            <w:webHidden/>
          </w:rPr>
          <w:instrText xml:space="preserve"> PAGEREF _Toc276461251 \h </w:instrText>
        </w:r>
        <w:r w:rsidR="00391A9F">
          <w:rPr>
            <w:noProof/>
            <w:webHidden/>
          </w:rPr>
        </w:r>
        <w:r w:rsidR="00391A9F">
          <w:rPr>
            <w:noProof/>
            <w:webHidden/>
          </w:rPr>
          <w:fldChar w:fldCharType="separate"/>
        </w:r>
        <w:r w:rsidR="003130AA">
          <w:rPr>
            <w:noProof/>
            <w:webHidden/>
          </w:rPr>
          <w:t>26</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2" w:history="1">
        <w:r w:rsidR="003130AA" w:rsidRPr="00CF3AD1">
          <w:rPr>
            <w:rStyle w:val="Hyperlink"/>
            <w:noProof/>
          </w:rPr>
          <w:t>7.1.2</w:t>
        </w:r>
        <w:r w:rsidR="003130AA">
          <w:rPr>
            <w:rFonts w:asciiTheme="minorHAnsi" w:eastAsiaTheme="minorEastAsia" w:hAnsiTheme="minorHAnsi" w:cstheme="minorBidi"/>
            <w:noProof/>
            <w:sz w:val="22"/>
            <w:szCs w:val="22"/>
            <w:lang w:val="en-US"/>
          </w:rPr>
          <w:tab/>
        </w:r>
        <w:r w:rsidR="003130AA" w:rsidRPr="00CF3AD1">
          <w:rPr>
            <w:rStyle w:val="Hyperlink"/>
            <w:noProof/>
          </w:rPr>
          <w:t>Reporting arrangements</w:t>
        </w:r>
        <w:r w:rsidR="003130AA">
          <w:rPr>
            <w:noProof/>
            <w:webHidden/>
          </w:rPr>
          <w:tab/>
        </w:r>
        <w:r w:rsidR="00391A9F">
          <w:rPr>
            <w:noProof/>
            <w:webHidden/>
          </w:rPr>
          <w:fldChar w:fldCharType="begin"/>
        </w:r>
        <w:r w:rsidR="003130AA">
          <w:rPr>
            <w:noProof/>
            <w:webHidden/>
          </w:rPr>
          <w:instrText xml:space="preserve"> PAGEREF _Toc276461252 \h </w:instrText>
        </w:r>
        <w:r w:rsidR="00391A9F">
          <w:rPr>
            <w:noProof/>
            <w:webHidden/>
          </w:rPr>
        </w:r>
        <w:r w:rsidR="00391A9F">
          <w:rPr>
            <w:noProof/>
            <w:webHidden/>
          </w:rPr>
          <w:fldChar w:fldCharType="separate"/>
        </w:r>
        <w:r w:rsidR="003130AA">
          <w:rPr>
            <w:noProof/>
            <w:webHidden/>
          </w:rPr>
          <w:t>26</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3" w:history="1">
        <w:r w:rsidR="003130AA" w:rsidRPr="00CF3AD1">
          <w:rPr>
            <w:rStyle w:val="Hyperlink"/>
            <w:noProof/>
          </w:rPr>
          <w:t>7.1.3</w:t>
        </w:r>
        <w:r w:rsidR="003130AA">
          <w:rPr>
            <w:rFonts w:asciiTheme="minorHAnsi" w:eastAsiaTheme="minorEastAsia" w:hAnsiTheme="minorHAnsi" w:cstheme="minorBidi"/>
            <w:noProof/>
            <w:sz w:val="22"/>
            <w:szCs w:val="22"/>
            <w:lang w:val="en-US"/>
          </w:rPr>
          <w:tab/>
        </w:r>
        <w:r w:rsidR="003130AA" w:rsidRPr="00CF3AD1">
          <w:rPr>
            <w:rStyle w:val="Hyperlink"/>
            <w:noProof/>
          </w:rPr>
          <w:t>Conclusion</w:t>
        </w:r>
        <w:r w:rsidR="003130AA">
          <w:rPr>
            <w:noProof/>
            <w:webHidden/>
          </w:rPr>
          <w:tab/>
        </w:r>
        <w:r w:rsidR="00391A9F">
          <w:rPr>
            <w:noProof/>
            <w:webHidden/>
          </w:rPr>
          <w:fldChar w:fldCharType="begin"/>
        </w:r>
        <w:r w:rsidR="003130AA">
          <w:rPr>
            <w:noProof/>
            <w:webHidden/>
          </w:rPr>
          <w:instrText xml:space="preserve"> PAGEREF _Toc276461253 \h </w:instrText>
        </w:r>
        <w:r w:rsidR="00391A9F">
          <w:rPr>
            <w:noProof/>
            <w:webHidden/>
          </w:rPr>
        </w:r>
        <w:r w:rsidR="00391A9F">
          <w:rPr>
            <w:noProof/>
            <w:webHidden/>
          </w:rPr>
          <w:fldChar w:fldCharType="separate"/>
        </w:r>
        <w:r w:rsidR="003130AA">
          <w:rPr>
            <w:noProof/>
            <w:webHidden/>
          </w:rPr>
          <w:t>27</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54" w:history="1">
        <w:r w:rsidR="003130AA" w:rsidRPr="00CF3AD1">
          <w:rPr>
            <w:rStyle w:val="Hyperlink"/>
            <w:noProof/>
          </w:rPr>
          <w:t>7.2</w:t>
        </w:r>
        <w:r w:rsidR="003130AA">
          <w:rPr>
            <w:rFonts w:asciiTheme="minorHAnsi" w:eastAsiaTheme="minorEastAsia" w:hAnsiTheme="minorHAnsi" w:cstheme="minorBidi"/>
            <w:noProof/>
            <w:sz w:val="22"/>
            <w:szCs w:val="22"/>
            <w:lang w:val="en-US"/>
          </w:rPr>
          <w:tab/>
        </w:r>
        <w:r w:rsidR="003130AA" w:rsidRPr="00CF3AD1">
          <w:rPr>
            <w:rStyle w:val="Hyperlink"/>
            <w:noProof/>
          </w:rPr>
          <w:t>Project design</w:t>
        </w:r>
        <w:r w:rsidR="003130AA">
          <w:rPr>
            <w:noProof/>
            <w:webHidden/>
          </w:rPr>
          <w:tab/>
        </w:r>
        <w:r w:rsidR="00391A9F">
          <w:rPr>
            <w:noProof/>
            <w:webHidden/>
          </w:rPr>
          <w:fldChar w:fldCharType="begin"/>
        </w:r>
        <w:r w:rsidR="003130AA">
          <w:rPr>
            <w:noProof/>
            <w:webHidden/>
          </w:rPr>
          <w:instrText xml:space="preserve"> PAGEREF _Toc276461254 \h </w:instrText>
        </w:r>
        <w:r w:rsidR="00391A9F">
          <w:rPr>
            <w:noProof/>
            <w:webHidden/>
          </w:rPr>
        </w:r>
        <w:r w:rsidR="00391A9F">
          <w:rPr>
            <w:noProof/>
            <w:webHidden/>
          </w:rPr>
          <w:fldChar w:fldCharType="separate"/>
        </w:r>
        <w:r w:rsidR="003130AA">
          <w:rPr>
            <w:noProof/>
            <w:webHidden/>
          </w:rPr>
          <w:t>28</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5" w:history="1">
        <w:r w:rsidR="003130AA" w:rsidRPr="00CF3AD1">
          <w:rPr>
            <w:rStyle w:val="Hyperlink"/>
            <w:noProof/>
          </w:rPr>
          <w:t>7.2.1</w:t>
        </w:r>
        <w:r w:rsidR="003130AA">
          <w:rPr>
            <w:rFonts w:asciiTheme="minorHAnsi" w:eastAsiaTheme="minorEastAsia" w:hAnsiTheme="minorHAnsi" w:cstheme="minorBidi"/>
            <w:noProof/>
            <w:sz w:val="22"/>
            <w:szCs w:val="22"/>
            <w:lang w:val="en-US"/>
          </w:rPr>
          <w:tab/>
        </w:r>
        <w:r w:rsidR="003130AA" w:rsidRPr="00CF3AD1">
          <w:rPr>
            <w:rStyle w:val="Hyperlink"/>
            <w:noProof/>
          </w:rPr>
          <w:t>Design of the Project vis-à-vis its goals</w:t>
        </w:r>
        <w:r w:rsidR="003130AA">
          <w:rPr>
            <w:noProof/>
            <w:webHidden/>
          </w:rPr>
          <w:tab/>
        </w:r>
        <w:r w:rsidR="00391A9F">
          <w:rPr>
            <w:noProof/>
            <w:webHidden/>
          </w:rPr>
          <w:fldChar w:fldCharType="begin"/>
        </w:r>
        <w:r w:rsidR="003130AA">
          <w:rPr>
            <w:noProof/>
            <w:webHidden/>
          </w:rPr>
          <w:instrText xml:space="preserve"> PAGEREF _Toc276461255 \h </w:instrText>
        </w:r>
        <w:r w:rsidR="00391A9F">
          <w:rPr>
            <w:noProof/>
            <w:webHidden/>
          </w:rPr>
        </w:r>
        <w:r w:rsidR="00391A9F">
          <w:rPr>
            <w:noProof/>
            <w:webHidden/>
          </w:rPr>
          <w:fldChar w:fldCharType="separate"/>
        </w:r>
        <w:r w:rsidR="003130AA">
          <w:rPr>
            <w:noProof/>
            <w:webHidden/>
          </w:rPr>
          <w:t>28</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6" w:history="1">
        <w:r w:rsidR="003130AA" w:rsidRPr="00CF3AD1">
          <w:rPr>
            <w:rStyle w:val="Hyperlink"/>
            <w:noProof/>
          </w:rPr>
          <w:t>7.2.2</w:t>
        </w:r>
        <w:r w:rsidR="003130AA">
          <w:rPr>
            <w:rFonts w:asciiTheme="minorHAnsi" w:eastAsiaTheme="minorEastAsia" w:hAnsiTheme="minorHAnsi" w:cstheme="minorBidi"/>
            <w:noProof/>
            <w:sz w:val="22"/>
            <w:szCs w:val="22"/>
            <w:lang w:val="en-US"/>
          </w:rPr>
          <w:tab/>
        </w:r>
        <w:r w:rsidR="003130AA" w:rsidRPr="00CF3AD1">
          <w:rPr>
            <w:rStyle w:val="Hyperlink"/>
            <w:noProof/>
          </w:rPr>
          <w:t>Analysis</w:t>
        </w:r>
        <w:r w:rsidR="003130AA">
          <w:rPr>
            <w:noProof/>
            <w:webHidden/>
          </w:rPr>
          <w:tab/>
        </w:r>
        <w:r w:rsidR="00391A9F">
          <w:rPr>
            <w:noProof/>
            <w:webHidden/>
          </w:rPr>
          <w:fldChar w:fldCharType="begin"/>
        </w:r>
        <w:r w:rsidR="003130AA">
          <w:rPr>
            <w:noProof/>
            <w:webHidden/>
          </w:rPr>
          <w:instrText xml:space="preserve"> PAGEREF _Toc276461256 \h </w:instrText>
        </w:r>
        <w:r w:rsidR="00391A9F">
          <w:rPr>
            <w:noProof/>
            <w:webHidden/>
          </w:rPr>
        </w:r>
        <w:r w:rsidR="00391A9F">
          <w:rPr>
            <w:noProof/>
            <w:webHidden/>
          </w:rPr>
          <w:fldChar w:fldCharType="separate"/>
        </w:r>
        <w:r w:rsidR="003130AA">
          <w:rPr>
            <w:noProof/>
            <w:webHidden/>
          </w:rPr>
          <w:t>29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57" w:history="1">
        <w:r w:rsidR="003130AA" w:rsidRPr="00CF3AD1">
          <w:rPr>
            <w:rStyle w:val="Hyperlink"/>
            <w:noProof/>
            <w:lang w:eastAsia="it-IT"/>
          </w:rPr>
          <w:t>7.2.3</w:t>
        </w:r>
        <w:r w:rsidR="003130AA">
          <w:rPr>
            <w:rFonts w:asciiTheme="minorHAnsi" w:eastAsiaTheme="minorEastAsia" w:hAnsiTheme="minorHAnsi" w:cstheme="minorBidi"/>
            <w:noProof/>
            <w:sz w:val="22"/>
            <w:szCs w:val="22"/>
            <w:lang w:val="en-US"/>
          </w:rPr>
          <w:tab/>
        </w:r>
        <w:r w:rsidR="003130AA" w:rsidRPr="00CF3AD1">
          <w:rPr>
            <w:rStyle w:val="Hyperlink"/>
            <w:noProof/>
          </w:rPr>
          <w:t>Problem Analysis and Project Intervention’s Logic</w:t>
        </w:r>
        <w:r w:rsidR="003130AA">
          <w:rPr>
            <w:noProof/>
            <w:webHidden/>
          </w:rPr>
          <w:tab/>
        </w:r>
        <w:r w:rsidR="00391A9F">
          <w:rPr>
            <w:noProof/>
            <w:webHidden/>
          </w:rPr>
          <w:fldChar w:fldCharType="begin"/>
        </w:r>
        <w:r w:rsidR="003130AA">
          <w:rPr>
            <w:noProof/>
            <w:webHidden/>
          </w:rPr>
          <w:instrText xml:space="preserve"> PAGEREF _Toc276461257 \h </w:instrText>
        </w:r>
        <w:r w:rsidR="00391A9F">
          <w:rPr>
            <w:noProof/>
            <w:webHidden/>
          </w:rPr>
        </w:r>
        <w:r w:rsidR="00391A9F">
          <w:rPr>
            <w:noProof/>
            <w:webHidden/>
          </w:rPr>
          <w:fldChar w:fldCharType="separate"/>
        </w:r>
        <w:r w:rsidR="003130AA">
          <w:rPr>
            <w:noProof/>
            <w:webHidden/>
          </w:rPr>
          <w:t>29</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58" w:history="1">
        <w:r w:rsidR="003130AA" w:rsidRPr="00CF3AD1">
          <w:rPr>
            <w:rStyle w:val="Hyperlink"/>
            <w:noProof/>
          </w:rPr>
          <w:t>7.2.3.1</w:t>
        </w:r>
        <w:r w:rsidR="003130AA">
          <w:rPr>
            <w:rFonts w:asciiTheme="minorHAnsi" w:eastAsiaTheme="minorEastAsia" w:hAnsiTheme="minorHAnsi" w:cstheme="minorBidi"/>
            <w:noProof/>
            <w:sz w:val="22"/>
            <w:szCs w:val="22"/>
            <w:lang w:val="en-US"/>
          </w:rPr>
          <w:tab/>
        </w:r>
        <w:r w:rsidR="003130AA" w:rsidRPr="00CF3AD1">
          <w:rPr>
            <w:rStyle w:val="Hyperlink"/>
            <w:noProof/>
          </w:rPr>
          <w:t>Baseline situation analysis/Stakeholders analysis</w:t>
        </w:r>
        <w:r w:rsidR="003130AA">
          <w:rPr>
            <w:noProof/>
            <w:webHidden/>
          </w:rPr>
          <w:tab/>
        </w:r>
        <w:r w:rsidR="00391A9F">
          <w:rPr>
            <w:noProof/>
            <w:webHidden/>
          </w:rPr>
          <w:fldChar w:fldCharType="begin"/>
        </w:r>
        <w:r w:rsidR="003130AA">
          <w:rPr>
            <w:noProof/>
            <w:webHidden/>
          </w:rPr>
          <w:instrText xml:space="preserve"> PAGEREF _Toc276461258 \h </w:instrText>
        </w:r>
        <w:r w:rsidR="00391A9F">
          <w:rPr>
            <w:noProof/>
            <w:webHidden/>
          </w:rPr>
        </w:r>
        <w:r w:rsidR="00391A9F">
          <w:rPr>
            <w:noProof/>
            <w:webHidden/>
          </w:rPr>
          <w:fldChar w:fldCharType="separate"/>
        </w:r>
        <w:r w:rsidR="003130AA">
          <w:rPr>
            <w:noProof/>
            <w:webHidden/>
          </w:rPr>
          <w:t>29</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59" w:history="1">
        <w:r w:rsidR="003130AA" w:rsidRPr="00CF3AD1">
          <w:rPr>
            <w:rStyle w:val="Hyperlink"/>
            <w:noProof/>
          </w:rPr>
          <w:t>7.2.3.2</w:t>
        </w:r>
        <w:r w:rsidR="003130AA">
          <w:rPr>
            <w:rFonts w:asciiTheme="minorHAnsi" w:eastAsiaTheme="minorEastAsia" w:hAnsiTheme="minorHAnsi" w:cstheme="minorBidi"/>
            <w:noProof/>
            <w:sz w:val="22"/>
            <w:szCs w:val="22"/>
            <w:lang w:val="en-US"/>
          </w:rPr>
          <w:tab/>
        </w:r>
        <w:r w:rsidR="003130AA" w:rsidRPr="00CF3AD1">
          <w:rPr>
            <w:rStyle w:val="Hyperlink"/>
            <w:noProof/>
          </w:rPr>
          <w:t>Problem analysis</w:t>
        </w:r>
        <w:r w:rsidR="003130AA">
          <w:rPr>
            <w:noProof/>
            <w:webHidden/>
          </w:rPr>
          <w:tab/>
        </w:r>
        <w:r w:rsidR="00391A9F">
          <w:rPr>
            <w:noProof/>
            <w:webHidden/>
          </w:rPr>
          <w:fldChar w:fldCharType="begin"/>
        </w:r>
        <w:r w:rsidR="003130AA">
          <w:rPr>
            <w:noProof/>
            <w:webHidden/>
          </w:rPr>
          <w:instrText xml:space="preserve"> PAGEREF _Toc276461259 \h </w:instrText>
        </w:r>
        <w:r w:rsidR="00391A9F">
          <w:rPr>
            <w:noProof/>
            <w:webHidden/>
          </w:rPr>
        </w:r>
        <w:r w:rsidR="00391A9F">
          <w:rPr>
            <w:noProof/>
            <w:webHidden/>
          </w:rPr>
          <w:fldChar w:fldCharType="separate"/>
        </w:r>
        <w:r w:rsidR="003130AA">
          <w:rPr>
            <w:noProof/>
            <w:webHidden/>
          </w:rPr>
          <w:t>29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0" w:history="1">
        <w:r w:rsidR="003130AA" w:rsidRPr="00CF3AD1">
          <w:rPr>
            <w:rStyle w:val="Hyperlink"/>
            <w:noProof/>
          </w:rPr>
          <w:t>7.2.4</w:t>
        </w:r>
        <w:r w:rsidR="003130AA">
          <w:rPr>
            <w:rFonts w:asciiTheme="minorHAnsi" w:eastAsiaTheme="minorEastAsia" w:hAnsiTheme="minorHAnsi" w:cstheme="minorBidi"/>
            <w:noProof/>
            <w:sz w:val="22"/>
            <w:szCs w:val="22"/>
            <w:lang w:val="en-US"/>
          </w:rPr>
          <w:tab/>
        </w:r>
        <w:r w:rsidR="003130AA" w:rsidRPr="00CF3AD1">
          <w:rPr>
            <w:rStyle w:val="Hyperlink"/>
            <w:noProof/>
          </w:rPr>
          <w:t>Strategy</w:t>
        </w:r>
        <w:r w:rsidR="003130AA">
          <w:rPr>
            <w:noProof/>
            <w:webHidden/>
          </w:rPr>
          <w:tab/>
        </w:r>
        <w:r w:rsidR="00391A9F">
          <w:rPr>
            <w:noProof/>
            <w:webHidden/>
          </w:rPr>
          <w:fldChar w:fldCharType="begin"/>
        </w:r>
        <w:r w:rsidR="003130AA">
          <w:rPr>
            <w:noProof/>
            <w:webHidden/>
          </w:rPr>
          <w:instrText xml:space="preserve"> PAGEREF _Toc276461260 \h </w:instrText>
        </w:r>
        <w:r w:rsidR="00391A9F">
          <w:rPr>
            <w:noProof/>
            <w:webHidden/>
          </w:rPr>
        </w:r>
        <w:r w:rsidR="00391A9F">
          <w:rPr>
            <w:noProof/>
            <w:webHidden/>
          </w:rPr>
          <w:fldChar w:fldCharType="separate"/>
        </w:r>
        <w:r w:rsidR="003130AA">
          <w:rPr>
            <w:noProof/>
            <w:webHidden/>
          </w:rPr>
          <w:t>29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1" w:history="1">
        <w:r w:rsidR="003130AA" w:rsidRPr="00CF3AD1">
          <w:rPr>
            <w:rStyle w:val="Hyperlink"/>
            <w:noProof/>
          </w:rPr>
          <w:t>7.2.5</w:t>
        </w:r>
        <w:r w:rsidR="003130AA">
          <w:rPr>
            <w:rFonts w:asciiTheme="minorHAnsi" w:eastAsiaTheme="minorEastAsia" w:hAnsiTheme="minorHAnsi" w:cstheme="minorBidi"/>
            <w:noProof/>
            <w:sz w:val="22"/>
            <w:szCs w:val="22"/>
            <w:lang w:val="en-US"/>
          </w:rPr>
          <w:tab/>
        </w:r>
        <w:r w:rsidR="003130AA" w:rsidRPr="00CF3AD1">
          <w:rPr>
            <w:rStyle w:val="Hyperlink"/>
            <w:noProof/>
          </w:rPr>
          <w:t>Indicators</w:t>
        </w:r>
        <w:r w:rsidR="003130AA">
          <w:rPr>
            <w:noProof/>
            <w:webHidden/>
          </w:rPr>
          <w:tab/>
        </w:r>
        <w:r w:rsidR="00391A9F">
          <w:rPr>
            <w:noProof/>
            <w:webHidden/>
          </w:rPr>
          <w:fldChar w:fldCharType="begin"/>
        </w:r>
        <w:r w:rsidR="003130AA">
          <w:rPr>
            <w:noProof/>
            <w:webHidden/>
          </w:rPr>
          <w:instrText xml:space="preserve"> PAGEREF _Toc276461261 \h </w:instrText>
        </w:r>
        <w:r w:rsidR="00391A9F">
          <w:rPr>
            <w:noProof/>
            <w:webHidden/>
          </w:rPr>
        </w:r>
        <w:r w:rsidR="00391A9F">
          <w:rPr>
            <w:noProof/>
            <w:webHidden/>
          </w:rPr>
          <w:fldChar w:fldCharType="separate"/>
        </w:r>
        <w:r w:rsidR="003130AA">
          <w:rPr>
            <w:noProof/>
            <w:webHidden/>
          </w:rPr>
          <w:t>31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2" w:history="1">
        <w:r w:rsidR="003130AA" w:rsidRPr="00CF3AD1">
          <w:rPr>
            <w:rStyle w:val="Hyperlink"/>
            <w:noProof/>
          </w:rPr>
          <w:t>7.2.6</w:t>
        </w:r>
        <w:r w:rsidR="003130AA">
          <w:rPr>
            <w:rFonts w:asciiTheme="minorHAnsi" w:eastAsiaTheme="minorEastAsia" w:hAnsiTheme="minorHAnsi" w:cstheme="minorBidi"/>
            <w:noProof/>
            <w:sz w:val="22"/>
            <w:szCs w:val="22"/>
            <w:lang w:val="en-US"/>
          </w:rPr>
          <w:tab/>
        </w:r>
        <w:r w:rsidR="003130AA" w:rsidRPr="00CF3AD1">
          <w:rPr>
            <w:rStyle w:val="Hyperlink"/>
            <w:noProof/>
          </w:rPr>
          <w:t>Participation</w:t>
        </w:r>
        <w:r w:rsidR="003130AA">
          <w:rPr>
            <w:noProof/>
            <w:webHidden/>
          </w:rPr>
          <w:tab/>
        </w:r>
        <w:r w:rsidR="00391A9F">
          <w:rPr>
            <w:noProof/>
            <w:webHidden/>
          </w:rPr>
          <w:fldChar w:fldCharType="begin"/>
        </w:r>
        <w:r w:rsidR="003130AA">
          <w:rPr>
            <w:noProof/>
            <w:webHidden/>
          </w:rPr>
          <w:instrText xml:space="preserve"> PAGEREF _Toc276461262 \h </w:instrText>
        </w:r>
        <w:r w:rsidR="00391A9F">
          <w:rPr>
            <w:noProof/>
            <w:webHidden/>
          </w:rPr>
        </w:r>
        <w:r w:rsidR="00391A9F">
          <w:rPr>
            <w:noProof/>
            <w:webHidden/>
          </w:rPr>
          <w:fldChar w:fldCharType="separate"/>
        </w:r>
        <w:r w:rsidR="003130AA">
          <w:rPr>
            <w:noProof/>
            <w:webHidden/>
          </w:rPr>
          <w:t>31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3" w:history="1">
        <w:r w:rsidR="003130AA" w:rsidRPr="00CF3AD1">
          <w:rPr>
            <w:rStyle w:val="Hyperlink"/>
            <w:noProof/>
          </w:rPr>
          <w:t>7.2.7</w:t>
        </w:r>
        <w:r w:rsidR="003130AA">
          <w:rPr>
            <w:rFonts w:asciiTheme="minorHAnsi" w:eastAsiaTheme="minorEastAsia" w:hAnsiTheme="minorHAnsi" w:cstheme="minorBidi"/>
            <w:noProof/>
            <w:sz w:val="22"/>
            <w:szCs w:val="22"/>
            <w:lang w:val="en-US"/>
          </w:rPr>
          <w:tab/>
        </w:r>
        <w:r w:rsidR="003130AA" w:rsidRPr="00CF3AD1">
          <w:rPr>
            <w:rStyle w:val="Hyperlink"/>
            <w:noProof/>
          </w:rPr>
          <w:t>Conclusions</w:t>
        </w:r>
        <w:r w:rsidR="003130AA">
          <w:rPr>
            <w:noProof/>
            <w:webHidden/>
          </w:rPr>
          <w:tab/>
        </w:r>
        <w:r w:rsidR="00391A9F">
          <w:rPr>
            <w:noProof/>
            <w:webHidden/>
          </w:rPr>
          <w:fldChar w:fldCharType="begin"/>
        </w:r>
        <w:r w:rsidR="003130AA">
          <w:rPr>
            <w:noProof/>
            <w:webHidden/>
          </w:rPr>
          <w:instrText xml:space="preserve"> PAGEREF _Toc276461263 \h </w:instrText>
        </w:r>
        <w:r w:rsidR="00391A9F">
          <w:rPr>
            <w:noProof/>
            <w:webHidden/>
          </w:rPr>
        </w:r>
        <w:r w:rsidR="00391A9F">
          <w:rPr>
            <w:noProof/>
            <w:webHidden/>
          </w:rPr>
          <w:fldChar w:fldCharType="separate"/>
        </w:r>
        <w:r w:rsidR="003130AA">
          <w:rPr>
            <w:noProof/>
            <w:webHidden/>
          </w:rPr>
          <w:t>31</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64" w:history="1">
        <w:r w:rsidR="003130AA" w:rsidRPr="00CF3AD1">
          <w:rPr>
            <w:rStyle w:val="Hyperlink"/>
            <w:noProof/>
          </w:rPr>
          <w:t>7.3</w:t>
        </w:r>
        <w:r w:rsidR="003130AA">
          <w:rPr>
            <w:rFonts w:asciiTheme="minorHAnsi" w:eastAsiaTheme="minorEastAsia" w:hAnsiTheme="minorHAnsi" w:cstheme="minorBidi"/>
            <w:noProof/>
            <w:sz w:val="22"/>
            <w:szCs w:val="22"/>
            <w:lang w:val="en-US"/>
          </w:rPr>
          <w:tab/>
        </w:r>
        <w:r w:rsidR="003130AA" w:rsidRPr="00CF3AD1">
          <w:rPr>
            <w:rStyle w:val="Hyperlink"/>
            <w:noProof/>
          </w:rPr>
          <w:t>Relevance and appropriateness</w:t>
        </w:r>
        <w:r w:rsidR="003130AA">
          <w:rPr>
            <w:noProof/>
            <w:webHidden/>
          </w:rPr>
          <w:tab/>
        </w:r>
        <w:r w:rsidR="00391A9F">
          <w:rPr>
            <w:noProof/>
            <w:webHidden/>
          </w:rPr>
          <w:fldChar w:fldCharType="begin"/>
        </w:r>
        <w:r w:rsidR="003130AA">
          <w:rPr>
            <w:noProof/>
            <w:webHidden/>
          </w:rPr>
          <w:instrText xml:space="preserve"> PAGEREF _Toc276461264 \h </w:instrText>
        </w:r>
        <w:r w:rsidR="00391A9F">
          <w:rPr>
            <w:noProof/>
            <w:webHidden/>
          </w:rPr>
        </w:r>
        <w:r w:rsidR="00391A9F">
          <w:rPr>
            <w:noProof/>
            <w:webHidden/>
          </w:rPr>
          <w:fldChar w:fldCharType="separate"/>
        </w:r>
        <w:r w:rsidR="003130AA">
          <w:rPr>
            <w:noProof/>
            <w:webHidden/>
          </w:rPr>
          <w:t>31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5" w:history="1">
        <w:r w:rsidR="003130AA" w:rsidRPr="00CF3AD1">
          <w:rPr>
            <w:rStyle w:val="Hyperlink"/>
            <w:noProof/>
          </w:rPr>
          <w:t>7.3.1</w:t>
        </w:r>
        <w:r w:rsidR="003130AA">
          <w:rPr>
            <w:rFonts w:asciiTheme="minorHAnsi" w:eastAsiaTheme="minorEastAsia" w:hAnsiTheme="minorHAnsi" w:cstheme="minorBidi"/>
            <w:noProof/>
            <w:sz w:val="22"/>
            <w:szCs w:val="22"/>
            <w:lang w:val="en-US"/>
          </w:rPr>
          <w:tab/>
        </w:r>
        <w:r w:rsidR="003130AA" w:rsidRPr="00CF3AD1">
          <w:rPr>
            <w:rStyle w:val="Hyperlink"/>
            <w:noProof/>
          </w:rPr>
          <w:t>Relevance to national goals and challenges</w:t>
        </w:r>
        <w:r w:rsidR="003130AA">
          <w:rPr>
            <w:noProof/>
            <w:webHidden/>
          </w:rPr>
          <w:tab/>
        </w:r>
        <w:r w:rsidR="00391A9F">
          <w:rPr>
            <w:noProof/>
            <w:webHidden/>
          </w:rPr>
          <w:fldChar w:fldCharType="begin"/>
        </w:r>
        <w:r w:rsidR="003130AA">
          <w:rPr>
            <w:noProof/>
            <w:webHidden/>
          </w:rPr>
          <w:instrText xml:space="preserve"> PAGEREF _Toc276461265 \h </w:instrText>
        </w:r>
        <w:r w:rsidR="00391A9F">
          <w:rPr>
            <w:noProof/>
            <w:webHidden/>
          </w:rPr>
        </w:r>
        <w:r w:rsidR="00391A9F">
          <w:rPr>
            <w:noProof/>
            <w:webHidden/>
          </w:rPr>
          <w:fldChar w:fldCharType="separate"/>
        </w:r>
        <w:r w:rsidR="003130AA">
          <w:rPr>
            <w:noProof/>
            <w:webHidden/>
          </w:rPr>
          <w:t>31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6" w:history="1">
        <w:r w:rsidR="003130AA" w:rsidRPr="00CF3AD1">
          <w:rPr>
            <w:rStyle w:val="Hyperlink"/>
            <w:noProof/>
          </w:rPr>
          <w:t>7.3.2</w:t>
        </w:r>
        <w:r w:rsidR="003130AA">
          <w:rPr>
            <w:rFonts w:asciiTheme="minorHAnsi" w:eastAsiaTheme="minorEastAsia" w:hAnsiTheme="minorHAnsi" w:cstheme="minorBidi"/>
            <w:noProof/>
            <w:sz w:val="22"/>
            <w:szCs w:val="22"/>
            <w:lang w:val="en-US"/>
          </w:rPr>
          <w:tab/>
        </w:r>
        <w:r w:rsidR="003130AA" w:rsidRPr="00CF3AD1">
          <w:rPr>
            <w:rStyle w:val="Hyperlink"/>
            <w:noProof/>
          </w:rPr>
          <w:t>Relevance to MOPSD</w:t>
        </w:r>
        <w:r w:rsidR="003130AA">
          <w:rPr>
            <w:noProof/>
            <w:webHidden/>
          </w:rPr>
          <w:tab/>
        </w:r>
        <w:r w:rsidR="00391A9F">
          <w:rPr>
            <w:noProof/>
            <w:webHidden/>
          </w:rPr>
          <w:fldChar w:fldCharType="begin"/>
        </w:r>
        <w:r w:rsidR="003130AA">
          <w:rPr>
            <w:noProof/>
            <w:webHidden/>
          </w:rPr>
          <w:instrText xml:space="preserve"> PAGEREF _Toc276461266 \h </w:instrText>
        </w:r>
        <w:r w:rsidR="00391A9F">
          <w:rPr>
            <w:noProof/>
            <w:webHidden/>
          </w:rPr>
        </w:r>
        <w:r w:rsidR="00391A9F">
          <w:rPr>
            <w:noProof/>
            <w:webHidden/>
          </w:rPr>
          <w:fldChar w:fldCharType="separate"/>
        </w:r>
        <w:r w:rsidR="003130AA">
          <w:rPr>
            <w:noProof/>
            <w:webHidden/>
          </w:rPr>
          <w:t>32</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7" w:history="1">
        <w:r w:rsidR="003130AA" w:rsidRPr="00CF3AD1">
          <w:rPr>
            <w:rStyle w:val="Hyperlink"/>
            <w:noProof/>
          </w:rPr>
          <w:t>7.3.3</w:t>
        </w:r>
        <w:r w:rsidR="003130AA">
          <w:rPr>
            <w:rFonts w:asciiTheme="minorHAnsi" w:eastAsiaTheme="minorEastAsia" w:hAnsiTheme="minorHAnsi" w:cstheme="minorBidi"/>
            <w:noProof/>
            <w:sz w:val="22"/>
            <w:szCs w:val="22"/>
            <w:lang w:val="en-US"/>
          </w:rPr>
          <w:tab/>
        </w:r>
        <w:r w:rsidR="003130AA" w:rsidRPr="00CF3AD1">
          <w:rPr>
            <w:rStyle w:val="Hyperlink"/>
            <w:noProof/>
          </w:rPr>
          <w:t>Relevance to UNDP</w:t>
        </w:r>
        <w:r w:rsidR="003130AA">
          <w:rPr>
            <w:noProof/>
            <w:webHidden/>
          </w:rPr>
          <w:tab/>
        </w:r>
        <w:r w:rsidR="00391A9F">
          <w:rPr>
            <w:noProof/>
            <w:webHidden/>
          </w:rPr>
          <w:fldChar w:fldCharType="begin"/>
        </w:r>
        <w:r w:rsidR="003130AA">
          <w:rPr>
            <w:noProof/>
            <w:webHidden/>
          </w:rPr>
          <w:instrText xml:space="preserve"> PAGEREF _Toc276461267 \h </w:instrText>
        </w:r>
        <w:r w:rsidR="00391A9F">
          <w:rPr>
            <w:noProof/>
            <w:webHidden/>
          </w:rPr>
        </w:r>
        <w:r w:rsidR="00391A9F">
          <w:rPr>
            <w:noProof/>
            <w:webHidden/>
          </w:rPr>
          <w:fldChar w:fldCharType="separate"/>
        </w:r>
        <w:r w:rsidR="003130AA">
          <w:rPr>
            <w:noProof/>
            <w:webHidden/>
          </w:rPr>
          <w:t>33</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68" w:history="1">
        <w:r w:rsidR="003130AA" w:rsidRPr="00CF3AD1">
          <w:rPr>
            <w:rStyle w:val="Hyperlink"/>
            <w:noProof/>
          </w:rPr>
          <w:t>7.3.4</w:t>
        </w:r>
        <w:r w:rsidR="003130AA">
          <w:rPr>
            <w:rFonts w:asciiTheme="minorHAnsi" w:eastAsiaTheme="minorEastAsia" w:hAnsiTheme="minorHAnsi" w:cstheme="minorBidi"/>
            <w:noProof/>
            <w:sz w:val="22"/>
            <w:szCs w:val="22"/>
            <w:lang w:val="en-US"/>
          </w:rPr>
          <w:tab/>
        </w:r>
        <w:r w:rsidR="003130AA" w:rsidRPr="00CF3AD1">
          <w:rPr>
            <w:rStyle w:val="Hyperlink"/>
            <w:noProof/>
          </w:rPr>
          <w:t>Conclusions</w:t>
        </w:r>
        <w:r w:rsidR="003130AA">
          <w:rPr>
            <w:noProof/>
            <w:webHidden/>
          </w:rPr>
          <w:tab/>
        </w:r>
        <w:r w:rsidR="00391A9F">
          <w:rPr>
            <w:noProof/>
            <w:webHidden/>
          </w:rPr>
          <w:fldChar w:fldCharType="begin"/>
        </w:r>
        <w:r w:rsidR="003130AA">
          <w:rPr>
            <w:noProof/>
            <w:webHidden/>
          </w:rPr>
          <w:instrText xml:space="preserve"> PAGEREF _Toc276461268 \h </w:instrText>
        </w:r>
        <w:r w:rsidR="00391A9F">
          <w:rPr>
            <w:noProof/>
            <w:webHidden/>
          </w:rPr>
        </w:r>
        <w:r w:rsidR="00391A9F">
          <w:rPr>
            <w:noProof/>
            <w:webHidden/>
          </w:rPr>
          <w:fldChar w:fldCharType="separate"/>
        </w:r>
        <w:r w:rsidR="003130AA">
          <w:rPr>
            <w:noProof/>
            <w:webHidden/>
          </w:rPr>
          <w:t>34</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69" w:history="1">
        <w:r w:rsidR="003130AA" w:rsidRPr="00CF3AD1">
          <w:rPr>
            <w:rStyle w:val="Hyperlink"/>
            <w:noProof/>
          </w:rPr>
          <w:t>7.4</w:t>
        </w:r>
        <w:r w:rsidR="003130AA">
          <w:rPr>
            <w:rFonts w:asciiTheme="minorHAnsi" w:eastAsiaTheme="minorEastAsia" w:hAnsiTheme="minorHAnsi" w:cstheme="minorBidi"/>
            <w:noProof/>
            <w:sz w:val="22"/>
            <w:szCs w:val="22"/>
            <w:lang w:val="en-US"/>
          </w:rPr>
          <w:tab/>
        </w:r>
        <w:r w:rsidR="003130AA" w:rsidRPr="00CF3AD1">
          <w:rPr>
            <w:rStyle w:val="Hyperlink"/>
            <w:noProof/>
          </w:rPr>
          <w:t>Effectiveness and efficiency</w:t>
        </w:r>
        <w:r w:rsidR="003130AA">
          <w:rPr>
            <w:noProof/>
            <w:webHidden/>
          </w:rPr>
          <w:tab/>
        </w:r>
        <w:r w:rsidR="00391A9F">
          <w:rPr>
            <w:noProof/>
            <w:webHidden/>
          </w:rPr>
          <w:fldChar w:fldCharType="begin"/>
        </w:r>
        <w:r w:rsidR="003130AA">
          <w:rPr>
            <w:noProof/>
            <w:webHidden/>
          </w:rPr>
          <w:instrText xml:space="preserve"> PAGEREF _Toc276461269 \h </w:instrText>
        </w:r>
        <w:r w:rsidR="00391A9F">
          <w:rPr>
            <w:noProof/>
            <w:webHidden/>
          </w:rPr>
        </w:r>
        <w:r w:rsidR="00391A9F">
          <w:rPr>
            <w:noProof/>
            <w:webHidden/>
          </w:rPr>
          <w:fldChar w:fldCharType="separate"/>
        </w:r>
        <w:r w:rsidR="003130AA">
          <w:rPr>
            <w:noProof/>
            <w:webHidden/>
          </w:rPr>
          <w:t>34</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70" w:history="1">
        <w:r w:rsidR="003130AA" w:rsidRPr="00CF3AD1">
          <w:rPr>
            <w:rStyle w:val="Hyperlink"/>
            <w:noProof/>
          </w:rPr>
          <w:t>7.4.1</w:t>
        </w:r>
        <w:r w:rsidR="003130AA">
          <w:rPr>
            <w:rFonts w:asciiTheme="minorHAnsi" w:eastAsiaTheme="minorEastAsia" w:hAnsiTheme="minorHAnsi" w:cstheme="minorBidi"/>
            <w:noProof/>
            <w:sz w:val="22"/>
            <w:szCs w:val="22"/>
            <w:lang w:val="en-US"/>
          </w:rPr>
          <w:tab/>
        </w:r>
        <w:r w:rsidR="003130AA" w:rsidRPr="00CF3AD1">
          <w:rPr>
            <w:rStyle w:val="Hyperlink"/>
            <w:noProof/>
          </w:rPr>
          <w:t>Effectiveness</w:t>
        </w:r>
        <w:r w:rsidR="003130AA">
          <w:rPr>
            <w:noProof/>
            <w:webHidden/>
          </w:rPr>
          <w:tab/>
        </w:r>
        <w:r w:rsidR="00391A9F">
          <w:rPr>
            <w:noProof/>
            <w:webHidden/>
          </w:rPr>
          <w:fldChar w:fldCharType="begin"/>
        </w:r>
        <w:r w:rsidR="003130AA">
          <w:rPr>
            <w:noProof/>
            <w:webHidden/>
          </w:rPr>
          <w:instrText xml:space="preserve"> PAGEREF _Toc276461270 \h </w:instrText>
        </w:r>
        <w:r w:rsidR="00391A9F">
          <w:rPr>
            <w:noProof/>
            <w:webHidden/>
          </w:rPr>
        </w:r>
        <w:r w:rsidR="00391A9F">
          <w:rPr>
            <w:noProof/>
            <w:webHidden/>
          </w:rPr>
          <w:fldChar w:fldCharType="separate"/>
        </w:r>
        <w:r w:rsidR="003130AA">
          <w:rPr>
            <w:noProof/>
            <w:webHidden/>
          </w:rPr>
          <w:t>34</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71" w:history="1">
        <w:r w:rsidR="003130AA" w:rsidRPr="00CF3AD1">
          <w:rPr>
            <w:rStyle w:val="Hyperlink"/>
            <w:noProof/>
          </w:rPr>
          <w:t>7.4.1.1</w:t>
        </w:r>
        <w:r w:rsidR="003130AA">
          <w:rPr>
            <w:rFonts w:asciiTheme="minorHAnsi" w:eastAsiaTheme="minorEastAsia" w:hAnsiTheme="minorHAnsi" w:cstheme="minorBidi"/>
            <w:noProof/>
            <w:sz w:val="22"/>
            <w:szCs w:val="22"/>
            <w:lang w:val="en-US"/>
          </w:rPr>
          <w:tab/>
        </w:r>
        <w:r w:rsidR="003130AA" w:rsidRPr="00CF3AD1">
          <w:rPr>
            <w:rStyle w:val="Hyperlink"/>
            <w:noProof/>
          </w:rPr>
          <w:t>Strengthened Project Coordination Unit</w:t>
        </w:r>
        <w:r w:rsidR="003130AA">
          <w:rPr>
            <w:noProof/>
            <w:webHidden/>
          </w:rPr>
          <w:tab/>
        </w:r>
        <w:r w:rsidR="00391A9F">
          <w:rPr>
            <w:noProof/>
            <w:webHidden/>
          </w:rPr>
          <w:fldChar w:fldCharType="begin"/>
        </w:r>
        <w:r w:rsidR="003130AA">
          <w:rPr>
            <w:noProof/>
            <w:webHidden/>
          </w:rPr>
          <w:instrText xml:space="preserve"> PAGEREF _Toc276461271 \h </w:instrText>
        </w:r>
        <w:r w:rsidR="00391A9F">
          <w:rPr>
            <w:noProof/>
            <w:webHidden/>
          </w:rPr>
        </w:r>
        <w:r w:rsidR="00391A9F">
          <w:rPr>
            <w:noProof/>
            <w:webHidden/>
          </w:rPr>
          <w:fldChar w:fldCharType="separate"/>
        </w:r>
        <w:r w:rsidR="003130AA">
          <w:rPr>
            <w:noProof/>
            <w:webHidden/>
          </w:rPr>
          <w:t>34</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72" w:history="1">
        <w:r w:rsidR="003130AA" w:rsidRPr="00CF3AD1">
          <w:rPr>
            <w:rStyle w:val="Hyperlink"/>
            <w:noProof/>
          </w:rPr>
          <w:t>7.4.1.2</w:t>
        </w:r>
        <w:r w:rsidR="003130AA">
          <w:rPr>
            <w:rFonts w:asciiTheme="minorHAnsi" w:eastAsiaTheme="minorEastAsia" w:hAnsiTheme="minorHAnsi" w:cstheme="minorBidi"/>
            <w:noProof/>
            <w:sz w:val="22"/>
            <w:szCs w:val="22"/>
            <w:lang w:val="en-US"/>
          </w:rPr>
          <w:tab/>
        </w:r>
        <w:r w:rsidR="003130AA" w:rsidRPr="00CF3AD1">
          <w:rPr>
            <w:rStyle w:val="Hyperlink"/>
            <w:noProof/>
          </w:rPr>
          <w:t>Capacities of PSRD strengthened to deliver the Service Delivery Improvement System</w:t>
        </w:r>
        <w:r w:rsidR="003130AA">
          <w:rPr>
            <w:noProof/>
            <w:webHidden/>
          </w:rPr>
          <w:tab/>
        </w:r>
        <w:r w:rsidR="00391A9F">
          <w:rPr>
            <w:noProof/>
            <w:webHidden/>
          </w:rPr>
          <w:fldChar w:fldCharType="begin"/>
        </w:r>
        <w:r w:rsidR="003130AA">
          <w:rPr>
            <w:noProof/>
            <w:webHidden/>
          </w:rPr>
          <w:instrText xml:space="preserve"> PAGEREF _Toc276461272 \h </w:instrText>
        </w:r>
        <w:r w:rsidR="00391A9F">
          <w:rPr>
            <w:noProof/>
            <w:webHidden/>
          </w:rPr>
        </w:r>
        <w:r w:rsidR="00391A9F">
          <w:rPr>
            <w:noProof/>
            <w:webHidden/>
          </w:rPr>
          <w:fldChar w:fldCharType="separate"/>
        </w:r>
        <w:r w:rsidR="003130AA">
          <w:rPr>
            <w:noProof/>
            <w:webHidden/>
          </w:rPr>
          <w:t>35</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73" w:history="1">
        <w:r w:rsidR="003130AA" w:rsidRPr="00CF3AD1">
          <w:rPr>
            <w:rStyle w:val="Hyperlink"/>
            <w:noProof/>
          </w:rPr>
          <w:t>7.4.1.3</w:t>
        </w:r>
        <w:r w:rsidR="003130AA">
          <w:rPr>
            <w:rFonts w:asciiTheme="minorHAnsi" w:eastAsiaTheme="minorEastAsia" w:hAnsiTheme="minorHAnsi" w:cstheme="minorBidi"/>
            <w:noProof/>
            <w:sz w:val="22"/>
            <w:szCs w:val="22"/>
            <w:lang w:val="en-US"/>
          </w:rPr>
          <w:tab/>
        </w:r>
        <w:r w:rsidR="003130AA" w:rsidRPr="00CF3AD1">
          <w:rPr>
            <w:rStyle w:val="Hyperlink"/>
            <w:noProof/>
          </w:rPr>
          <w:t>National Strategy and plan for implementation of SDIS</w:t>
        </w:r>
        <w:r w:rsidR="003130AA">
          <w:rPr>
            <w:noProof/>
            <w:webHidden/>
          </w:rPr>
          <w:tab/>
        </w:r>
        <w:r w:rsidR="00391A9F">
          <w:rPr>
            <w:noProof/>
            <w:webHidden/>
          </w:rPr>
          <w:fldChar w:fldCharType="begin"/>
        </w:r>
        <w:r w:rsidR="003130AA">
          <w:rPr>
            <w:noProof/>
            <w:webHidden/>
          </w:rPr>
          <w:instrText xml:space="preserve"> PAGEREF _Toc276461273 \h </w:instrText>
        </w:r>
        <w:r w:rsidR="00391A9F">
          <w:rPr>
            <w:noProof/>
            <w:webHidden/>
          </w:rPr>
        </w:r>
        <w:r w:rsidR="00391A9F">
          <w:rPr>
            <w:noProof/>
            <w:webHidden/>
          </w:rPr>
          <w:fldChar w:fldCharType="separate"/>
        </w:r>
        <w:r w:rsidR="003130AA">
          <w:rPr>
            <w:noProof/>
            <w:webHidden/>
          </w:rPr>
          <w:t>36</w:t>
        </w:r>
        <w:r w:rsidR="00391A9F">
          <w:rPr>
            <w:noProof/>
            <w:webHidden/>
          </w:rPr>
          <w:fldChar w:fldCharType="end"/>
        </w:r>
      </w:hyperlink>
    </w:p>
    <w:p w:rsidR="003130AA" w:rsidRDefault="000D61CE">
      <w:pPr>
        <w:pStyle w:val="TOC4"/>
        <w:tabs>
          <w:tab w:val="right" w:leader="dot" w:pos="9350"/>
        </w:tabs>
        <w:rPr>
          <w:rFonts w:asciiTheme="minorHAnsi" w:eastAsiaTheme="minorEastAsia" w:hAnsiTheme="minorHAnsi" w:cstheme="minorBidi"/>
          <w:noProof/>
          <w:sz w:val="22"/>
          <w:szCs w:val="22"/>
          <w:lang w:val="en-US"/>
        </w:rPr>
      </w:pPr>
      <w:hyperlink w:anchor="_Toc276461274" w:history="1">
        <w:r w:rsidR="003130AA" w:rsidRPr="00CF3AD1">
          <w:rPr>
            <w:rStyle w:val="Hyperlink"/>
            <w:noProof/>
          </w:rPr>
          <w:t>Selection of sub-projects</w:t>
        </w:r>
        <w:r w:rsidR="003130AA">
          <w:rPr>
            <w:noProof/>
            <w:webHidden/>
          </w:rPr>
          <w:tab/>
        </w:r>
        <w:r w:rsidR="00391A9F">
          <w:rPr>
            <w:noProof/>
            <w:webHidden/>
          </w:rPr>
          <w:fldChar w:fldCharType="begin"/>
        </w:r>
        <w:r w:rsidR="003130AA">
          <w:rPr>
            <w:noProof/>
            <w:webHidden/>
          </w:rPr>
          <w:instrText xml:space="preserve"> PAGEREF _Toc276461274 \h </w:instrText>
        </w:r>
        <w:r w:rsidR="00391A9F">
          <w:rPr>
            <w:noProof/>
            <w:webHidden/>
          </w:rPr>
        </w:r>
        <w:r w:rsidR="00391A9F">
          <w:rPr>
            <w:noProof/>
            <w:webHidden/>
          </w:rPr>
          <w:fldChar w:fldCharType="separate"/>
        </w:r>
        <w:r w:rsidR="003130AA">
          <w:rPr>
            <w:noProof/>
            <w:webHidden/>
          </w:rPr>
          <w:t>37</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75" w:history="1">
        <w:r w:rsidR="003130AA" w:rsidRPr="00CF3AD1">
          <w:rPr>
            <w:rStyle w:val="Hyperlink"/>
            <w:noProof/>
          </w:rPr>
          <w:t>7.4.1.4</w:t>
        </w:r>
        <w:r w:rsidR="003130AA">
          <w:rPr>
            <w:rFonts w:asciiTheme="minorHAnsi" w:eastAsiaTheme="minorEastAsia" w:hAnsiTheme="minorHAnsi" w:cstheme="minorBidi"/>
            <w:noProof/>
            <w:sz w:val="22"/>
            <w:szCs w:val="22"/>
            <w:lang w:val="en-US"/>
          </w:rPr>
          <w:tab/>
        </w:r>
        <w:r w:rsidR="003130AA" w:rsidRPr="00CF3AD1">
          <w:rPr>
            <w:rStyle w:val="Hyperlink"/>
            <w:noProof/>
          </w:rPr>
          <w:t>Strategy and plan for a unified monitoring and evaluation system</w:t>
        </w:r>
        <w:r w:rsidR="003130AA">
          <w:rPr>
            <w:noProof/>
            <w:webHidden/>
          </w:rPr>
          <w:tab/>
        </w:r>
        <w:r w:rsidR="00391A9F">
          <w:rPr>
            <w:noProof/>
            <w:webHidden/>
          </w:rPr>
          <w:fldChar w:fldCharType="begin"/>
        </w:r>
        <w:r w:rsidR="003130AA">
          <w:rPr>
            <w:noProof/>
            <w:webHidden/>
          </w:rPr>
          <w:instrText xml:space="preserve"> PAGEREF _Toc276461275 \h </w:instrText>
        </w:r>
        <w:r w:rsidR="00391A9F">
          <w:rPr>
            <w:noProof/>
            <w:webHidden/>
          </w:rPr>
        </w:r>
        <w:r w:rsidR="00391A9F">
          <w:rPr>
            <w:noProof/>
            <w:webHidden/>
          </w:rPr>
          <w:fldChar w:fldCharType="separate"/>
        </w:r>
        <w:r w:rsidR="003130AA">
          <w:rPr>
            <w:noProof/>
            <w:webHidden/>
          </w:rPr>
          <w:t>37</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76" w:history="1">
        <w:r w:rsidR="003130AA" w:rsidRPr="00CF3AD1">
          <w:rPr>
            <w:rStyle w:val="Hyperlink"/>
            <w:noProof/>
          </w:rPr>
          <w:t>7.4.2</w:t>
        </w:r>
        <w:r w:rsidR="003130AA">
          <w:rPr>
            <w:rFonts w:asciiTheme="minorHAnsi" w:eastAsiaTheme="minorEastAsia" w:hAnsiTheme="minorHAnsi" w:cstheme="minorBidi"/>
            <w:noProof/>
            <w:sz w:val="22"/>
            <w:szCs w:val="22"/>
            <w:lang w:val="en-US"/>
          </w:rPr>
          <w:tab/>
        </w:r>
        <w:r w:rsidR="003130AA" w:rsidRPr="00CF3AD1">
          <w:rPr>
            <w:rStyle w:val="Hyperlink"/>
            <w:noProof/>
          </w:rPr>
          <w:t>Efficiency</w:t>
        </w:r>
        <w:r w:rsidR="003130AA">
          <w:rPr>
            <w:noProof/>
            <w:webHidden/>
          </w:rPr>
          <w:tab/>
        </w:r>
        <w:r w:rsidR="00391A9F">
          <w:rPr>
            <w:noProof/>
            <w:webHidden/>
          </w:rPr>
          <w:fldChar w:fldCharType="begin"/>
        </w:r>
        <w:r w:rsidR="003130AA">
          <w:rPr>
            <w:noProof/>
            <w:webHidden/>
          </w:rPr>
          <w:instrText xml:space="preserve"> PAGEREF _Toc276461276 \h </w:instrText>
        </w:r>
        <w:r w:rsidR="00391A9F">
          <w:rPr>
            <w:noProof/>
            <w:webHidden/>
          </w:rPr>
        </w:r>
        <w:r w:rsidR="00391A9F">
          <w:rPr>
            <w:noProof/>
            <w:webHidden/>
          </w:rPr>
          <w:fldChar w:fldCharType="separate"/>
        </w:r>
        <w:r w:rsidR="003130AA">
          <w:rPr>
            <w:noProof/>
            <w:webHidden/>
          </w:rPr>
          <w:t>37</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77" w:history="1">
        <w:r w:rsidR="003130AA" w:rsidRPr="00CF3AD1">
          <w:rPr>
            <w:rStyle w:val="Hyperlink"/>
            <w:noProof/>
          </w:rPr>
          <w:t>7.4.3</w:t>
        </w:r>
        <w:r w:rsidR="003130AA">
          <w:rPr>
            <w:rFonts w:asciiTheme="minorHAnsi" w:eastAsiaTheme="minorEastAsia" w:hAnsiTheme="minorHAnsi" w:cstheme="minorBidi"/>
            <w:noProof/>
            <w:sz w:val="22"/>
            <w:szCs w:val="22"/>
            <w:lang w:val="en-US"/>
          </w:rPr>
          <w:tab/>
        </w:r>
        <w:r w:rsidR="003130AA" w:rsidRPr="00CF3AD1">
          <w:rPr>
            <w:rStyle w:val="Hyperlink"/>
            <w:noProof/>
          </w:rPr>
          <w:t>Lessons learned</w:t>
        </w:r>
        <w:r w:rsidR="003130AA">
          <w:rPr>
            <w:noProof/>
            <w:webHidden/>
          </w:rPr>
          <w:tab/>
        </w:r>
        <w:r w:rsidR="00391A9F">
          <w:rPr>
            <w:noProof/>
            <w:webHidden/>
          </w:rPr>
          <w:fldChar w:fldCharType="begin"/>
        </w:r>
        <w:r w:rsidR="003130AA">
          <w:rPr>
            <w:noProof/>
            <w:webHidden/>
          </w:rPr>
          <w:instrText xml:space="preserve"> PAGEREF _Toc276461277 \h </w:instrText>
        </w:r>
        <w:r w:rsidR="00391A9F">
          <w:rPr>
            <w:noProof/>
            <w:webHidden/>
          </w:rPr>
        </w:r>
        <w:r w:rsidR="00391A9F">
          <w:rPr>
            <w:noProof/>
            <w:webHidden/>
          </w:rPr>
          <w:fldChar w:fldCharType="separate"/>
        </w:r>
        <w:r w:rsidR="003130AA">
          <w:rPr>
            <w:noProof/>
            <w:webHidden/>
          </w:rPr>
          <w:t>38</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78" w:history="1">
        <w:r w:rsidR="003130AA" w:rsidRPr="00CF3AD1">
          <w:rPr>
            <w:rStyle w:val="Hyperlink"/>
            <w:noProof/>
          </w:rPr>
          <w:t>7.4.4</w:t>
        </w:r>
        <w:r w:rsidR="003130AA">
          <w:rPr>
            <w:rFonts w:asciiTheme="minorHAnsi" w:eastAsiaTheme="minorEastAsia" w:hAnsiTheme="minorHAnsi" w:cstheme="minorBidi"/>
            <w:noProof/>
            <w:sz w:val="22"/>
            <w:szCs w:val="22"/>
            <w:lang w:val="en-US"/>
          </w:rPr>
          <w:tab/>
        </w:r>
        <w:r w:rsidR="003130AA" w:rsidRPr="00CF3AD1">
          <w:rPr>
            <w:rStyle w:val="Hyperlink"/>
            <w:noProof/>
          </w:rPr>
          <w:t>Risk management</w:t>
        </w:r>
        <w:r w:rsidR="003130AA">
          <w:rPr>
            <w:noProof/>
            <w:webHidden/>
          </w:rPr>
          <w:tab/>
        </w:r>
        <w:r w:rsidR="00391A9F">
          <w:rPr>
            <w:noProof/>
            <w:webHidden/>
          </w:rPr>
          <w:fldChar w:fldCharType="begin"/>
        </w:r>
        <w:r w:rsidR="003130AA">
          <w:rPr>
            <w:noProof/>
            <w:webHidden/>
          </w:rPr>
          <w:instrText xml:space="preserve"> PAGEREF _Toc276461278 \h </w:instrText>
        </w:r>
        <w:r w:rsidR="00391A9F">
          <w:rPr>
            <w:noProof/>
            <w:webHidden/>
          </w:rPr>
        </w:r>
        <w:r w:rsidR="00391A9F">
          <w:rPr>
            <w:noProof/>
            <w:webHidden/>
          </w:rPr>
          <w:fldChar w:fldCharType="separate"/>
        </w:r>
        <w:r w:rsidR="003130AA">
          <w:rPr>
            <w:noProof/>
            <w:webHidden/>
          </w:rPr>
          <w:t>39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79" w:history="1">
        <w:r w:rsidR="003130AA" w:rsidRPr="00CF3AD1">
          <w:rPr>
            <w:rStyle w:val="Hyperlink"/>
            <w:noProof/>
          </w:rPr>
          <w:t>7.4.5</w:t>
        </w:r>
        <w:r w:rsidR="003130AA">
          <w:rPr>
            <w:rFonts w:asciiTheme="minorHAnsi" w:eastAsiaTheme="minorEastAsia" w:hAnsiTheme="minorHAnsi" w:cstheme="minorBidi"/>
            <w:noProof/>
            <w:sz w:val="22"/>
            <w:szCs w:val="22"/>
            <w:lang w:val="en-US"/>
          </w:rPr>
          <w:tab/>
        </w:r>
        <w:r w:rsidR="003130AA" w:rsidRPr="00CF3AD1">
          <w:rPr>
            <w:rStyle w:val="Hyperlink"/>
            <w:noProof/>
          </w:rPr>
          <w:t>Timeliness</w:t>
        </w:r>
        <w:r w:rsidR="003130AA">
          <w:rPr>
            <w:noProof/>
            <w:webHidden/>
          </w:rPr>
          <w:tab/>
        </w:r>
        <w:r w:rsidR="00391A9F">
          <w:rPr>
            <w:noProof/>
            <w:webHidden/>
          </w:rPr>
          <w:fldChar w:fldCharType="begin"/>
        </w:r>
        <w:r w:rsidR="003130AA">
          <w:rPr>
            <w:noProof/>
            <w:webHidden/>
          </w:rPr>
          <w:instrText xml:space="preserve"> PAGEREF _Toc276461279 \h </w:instrText>
        </w:r>
        <w:r w:rsidR="00391A9F">
          <w:rPr>
            <w:noProof/>
            <w:webHidden/>
          </w:rPr>
        </w:r>
        <w:r w:rsidR="00391A9F">
          <w:rPr>
            <w:noProof/>
            <w:webHidden/>
          </w:rPr>
          <w:fldChar w:fldCharType="separate"/>
        </w:r>
        <w:r w:rsidR="003130AA">
          <w:rPr>
            <w:noProof/>
            <w:webHidden/>
          </w:rPr>
          <w:t>39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80" w:history="1">
        <w:r w:rsidR="003130AA" w:rsidRPr="00CF3AD1">
          <w:rPr>
            <w:rStyle w:val="Hyperlink"/>
            <w:noProof/>
          </w:rPr>
          <w:t>7.4.6</w:t>
        </w:r>
        <w:r w:rsidR="003130AA">
          <w:rPr>
            <w:rFonts w:asciiTheme="minorHAnsi" w:eastAsiaTheme="minorEastAsia" w:hAnsiTheme="minorHAnsi" w:cstheme="minorBidi"/>
            <w:noProof/>
            <w:sz w:val="22"/>
            <w:szCs w:val="22"/>
            <w:lang w:val="en-US"/>
          </w:rPr>
          <w:tab/>
        </w:r>
        <w:r w:rsidR="003130AA" w:rsidRPr="00CF3AD1">
          <w:rPr>
            <w:rStyle w:val="Hyperlink"/>
            <w:noProof/>
          </w:rPr>
          <w:t>Resource utilisation</w:t>
        </w:r>
        <w:r w:rsidR="003130AA">
          <w:rPr>
            <w:noProof/>
            <w:webHidden/>
          </w:rPr>
          <w:tab/>
        </w:r>
        <w:r w:rsidR="00391A9F">
          <w:rPr>
            <w:noProof/>
            <w:webHidden/>
          </w:rPr>
          <w:fldChar w:fldCharType="begin"/>
        </w:r>
        <w:r w:rsidR="003130AA">
          <w:rPr>
            <w:noProof/>
            <w:webHidden/>
          </w:rPr>
          <w:instrText xml:space="preserve"> PAGEREF _Toc276461280 \h </w:instrText>
        </w:r>
        <w:r w:rsidR="00391A9F">
          <w:rPr>
            <w:noProof/>
            <w:webHidden/>
          </w:rPr>
        </w:r>
        <w:r w:rsidR="00391A9F">
          <w:rPr>
            <w:noProof/>
            <w:webHidden/>
          </w:rPr>
          <w:fldChar w:fldCharType="separate"/>
        </w:r>
        <w:r w:rsidR="003130AA">
          <w:rPr>
            <w:noProof/>
            <w:webHidden/>
          </w:rPr>
          <w:t>39</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81" w:history="1">
        <w:r w:rsidR="003130AA" w:rsidRPr="00CF3AD1">
          <w:rPr>
            <w:rStyle w:val="Hyperlink"/>
            <w:noProof/>
          </w:rPr>
          <w:t>7.4.7</w:t>
        </w:r>
        <w:r w:rsidR="003130AA">
          <w:rPr>
            <w:rFonts w:asciiTheme="minorHAnsi" w:eastAsiaTheme="minorEastAsia" w:hAnsiTheme="minorHAnsi" w:cstheme="minorBidi"/>
            <w:noProof/>
            <w:sz w:val="22"/>
            <w:szCs w:val="22"/>
            <w:lang w:val="en-US"/>
          </w:rPr>
          <w:tab/>
        </w:r>
        <w:r w:rsidR="003130AA" w:rsidRPr="00CF3AD1">
          <w:rPr>
            <w:rStyle w:val="Hyperlink"/>
            <w:noProof/>
          </w:rPr>
          <w:t>Conclusions</w:t>
        </w:r>
        <w:r w:rsidR="003130AA">
          <w:rPr>
            <w:noProof/>
            <w:webHidden/>
          </w:rPr>
          <w:tab/>
        </w:r>
        <w:r w:rsidR="00391A9F">
          <w:rPr>
            <w:noProof/>
            <w:webHidden/>
          </w:rPr>
          <w:fldChar w:fldCharType="begin"/>
        </w:r>
        <w:r w:rsidR="003130AA">
          <w:rPr>
            <w:noProof/>
            <w:webHidden/>
          </w:rPr>
          <w:instrText xml:space="preserve"> PAGEREF _Toc276461281 \h </w:instrText>
        </w:r>
        <w:r w:rsidR="00391A9F">
          <w:rPr>
            <w:noProof/>
            <w:webHidden/>
          </w:rPr>
        </w:r>
        <w:r w:rsidR="00391A9F">
          <w:rPr>
            <w:noProof/>
            <w:webHidden/>
          </w:rPr>
          <w:fldChar w:fldCharType="separate"/>
        </w:r>
        <w:r w:rsidR="003130AA">
          <w:rPr>
            <w:noProof/>
            <w:webHidden/>
          </w:rPr>
          <w:t>40</w:t>
        </w:r>
        <w:r w:rsidR="00391A9F">
          <w:rPr>
            <w:noProof/>
            <w:webHidden/>
          </w:rPr>
          <w:fldChar w:fldCharType="end"/>
        </w:r>
      </w:hyperlink>
    </w:p>
    <w:p w:rsidR="003130AA" w:rsidRDefault="000D61CE">
      <w:pPr>
        <w:pStyle w:val="TOC2"/>
        <w:tabs>
          <w:tab w:val="left" w:pos="880"/>
          <w:tab w:val="right" w:leader="dot" w:pos="9350"/>
        </w:tabs>
        <w:rPr>
          <w:rFonts w:asciiTheme="minorHAnsi" w:eastAsiaTheme="minorEastAsia" w:hAnsiTheme="minorHAnsi" w:cstheme="minorBidi"/>
          <w:noProof/>
          <w:sz w:val="22"/>
          <w:szCs w:val="22"/>
          <w:lang w:val="en-US"/>
        </w:rPr>
      </w:pPr>
      <w:hyperlink w:anchor="_Toc276461282" w:history="1">
        <w:r w:rsidR="003130AA" w:rsidRPr="00CF3AD1">
          <w:rPr>
            <w:rStyle w:val="Hyperlink"/>
            <w:noProof/>
          </w:rPr>
          <w:t>7.5</w:t>
        </w:r>
        <w:r w:rsidR="003130AA">
          <w:rPr>
            <w:rFonts w:asciiTheme="minorHAnsi" w:eastAsiaTheme="minorEastAsia" w:hAnsiTheme="minorHAnsi" w:cstheme="minorBidi"/>
            <w:noProof/>
            <w:sz w:val="22"/>
            <w:szCs w:val="22"/>
            <w:lang w:val="en-US"/>
          </w:rPr>
          <w:tab/>
        </w:r>
        <w:r w:rsidR="003130AA" w:rsidRPr="00CF3AD1">
          <w:rPr>
            <w:rStyle w:val="Hyperlink"/>
            <w:noProof/>
          </w:rPr>
          <w:t>Impact and sustainability</w:t>
        </w:r>
        <w:r w:rsidR="003130AA">
          <w:rPr>
            <w:noProof/>
            <w:webHidden/>
          </w:rPr>
          <w:tab/>
        </w:r>
        <w:r w:rsidR="00391A9F">
          <w:rPr>
            <w:noProof/>
            <w:webHidden/>
          </w:rPr>
          <w:fldChar w:fldCharType="begin"/>
        </w:r>
        <w:r w:rsidR="003130AA">
          <w:rPr>
            <w:noProof/>
            <w:webHidden/>
          </w:rPr>
          <w:instrText xml:space="preserve"> PAGEREF _Toc276461282 \h </w:instrText>
        </w:r>
        <w:r w:rsidR="00391A9F">
          <w:rPr>
            <w:noProof/>
            <w:webHidden/>
          </w:rPr>
        </w:r>
        <w:r w:rsidR="00391A9F">
          <w:rPr>
            <w:noProof/>
            <w:webHidden/>
          </w:rPr>
          <w:fldChar w:fldCharType="separate"/>
        </w:r>
        <w:r w:rsidR="003130AA">
          <w:rPr>
            <w:noProof/>
            <w:webHidden/>
          </w:rPr>
          <w:t>40</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83" w:history="1">
        <w:r w:rsidR="003130AA" w:rsidRPr="00CF3AD1">
          <w:rPr>
            <w:rStyle w:val="Hyperlink"/>
            <w:noProof/>
          </w:rPr>
          <w:t>7.5.1.1</w:t>
        </w:r>
        <w:r w:rsidR="003130AA">
          <w:rPr>
            <w:rFonts w:asciiTheme="minorHAnsi" w:eastAsiaTheme="minorEastAsia" w:hAnsiTheme="minorHAnsi" w:cstheme="minorBidi"/>
            <w:noProof/>
            <w:sz w:val="22"/>
            <w:szCs w:val="22"/>
            <w:lang w:val="en-US"/>
          </w:rPr>
          <w:tab/>
        </w:r>
        <w:r w:rsidR="003130AA" w:rsidRPr="00CF3AD1">
          <w:rPr>
            <w:rStyle w:val="Hyperlink"/>
            <w:rFonts w:cs="Times New Roman"/>
            <w:noProof/>
          </w:rPr>
          <w:t>Achievement of Objectives</w:t>
        </w:r>
        <w:r w:rsidR="003130AA">
          <w:rPr>
            <w:noProof/>
            <w:webHidden/>
          </w:rPr>
          <w:tab/>
        </w:r>
        <w:r w:rsidR="00391A9F">
          <w:rPr>
            <w:noProof/>
            <w:webHidden/>
          </w:rPr>
          <w:fldChar w:fldCharType="begin"/>
        </w:r>
        <w:r w:rsidR="003130AA">
          <w:rPr>
            <w:noProof/>
            <w:webHidden/>
          </w:rPr>
          <w:instrText xml:space="preserve"> PAGEREF _Toc276461283 \h </w:instrText>
        </w:r>
        <w:r w:rsidR="00391A9F">
          <w:rPr>
            <w:noProof/>
            <w:webHidden/>
          </w:rPr>
        </w:r>
        <w:r w:rsidR="00391A9F">
          <w:rPr>
            <w:noProof/>
            <w:webHidden/>
          </w:rPr>
          <w:fldChar w:fldCharType="separate"/>
        </w:r>
        <w:r w:rsidR="003130AA">
          <w:rPr>
            <w:noProof/>
            <w:webHidden/>
          </w:rPr>
          <w:t>40</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84" w:history="1">
        <w:r w:rsidR="003130AA" w:rsidRPr="00CF3AD1">
          <w:rPr>
            <w:rStyle w:val="Hyperlink"/>
            <w:noProof/>
          </w:rPr>
          <w:t>7.5.1.2</w:t>
        </w:r>
        <w:r w:rsidR="003130AA">
          <w:rPr>
            <w:rFonts w:asciiTheme="minorHAnsi" w:eastAsiaTheme="minorEastAsia" w:hAnsiTheme="minorHAnsi" w:cstheme="minorBidi"/>
            <w:noProof/>
            <w:sz w:val="22"/>
            <w:szCs w:val="22"/>
            <w:lang w:val="en-US"/>
          </w:rPr>
          <w:tab/>
        </w:r>
        <w:r w:rsidR="003130AA" w:rsidRPr="00CF3AD1">
          <w:rPr>
            <w:rStyle w:val="Hyperlink"/>
            <w:noProof/>
          </w:rPr>
          <w:t>External factors</w:t>
        </w:r>
        <w:r w:rsidR="003130AA">
          <w:rPr>
            <w:noProof/>
            <w:webHidden/>
          </w:rPr>
          <w:tab/>
        </w:r>
        <w:r w:rsidR="00391A9F">
          <w:rPr>
            <w:noProof/>
            <w:webHidden/>
          </w:rPr>
          <w:fldChar w:fldCharType="begin"/>
        </w:r>
        <w:r w:rsidR="003130AA">
          <w:rPr>
            <w:noProof/>
            <w:webHidden/>
          </w:rPr>
          <w:instrText xml:space="preserve"> PAGEREF _Toc276461284 \h </w:instrText>
        </w:r>
        <w:r w:rsidR="00391A9F">
          <w:rPr>
            <w:noProof/>
            <w:webHidden/>
          </w:rPr>
        </w:r>
        <w:r w:rsidR="00391A9F">
          <w:rPr>
            <w:noProof/>
            <w:webHidden/>
          </w:rPr>
          <w:fldChar w:fldCharType="separate"/>
        </w:r>
        <w:r w:rsidR="003130AA">
          <w:rPr>
            <w:noProof/>
            <w:webHidden/>
          </w:rPr>
          <w:t>40</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85" w:history="1">
        <w:r w:rsidR="003130AA" w:rsidRPr="00CF3AD1">
          <w:rPr>
            <w:rStyle w:val="Hyperlink"/>
            <w:noProof/>
          </w:rPr>
          <w:t>7.5.1.3</w:t>
        </w:r>
        <w:r w:rsidR="003130AA">
          <w:rPr>
            <w:rFonts w:asciiTheme="minorHAnsi" w:eastAsiaTheme="minorEastAsia" w:hAnsiTheme="minorHAnsi" w:cstheme="minorBidi"/>
            <w:noProof/>
            <w:sz w:val="22"/>
            <w:szCs w:val="22"/>
            <w:lang w:val="en-US"/>
          </w:rPr>
          <w:tab/>
        </w:r>
        <w:r w:rsidR="003130AA" w:rsidRPr="00CF3AD1">
          <w:rPr>
            <w:rStyle w:val="Hyperlink"/>
            <w:rFonts w:cs="Times New Roman"/>
            <w:noProof/>
          </w:rPr>
          <w:t>M</w:t>
        </w:r>
        <w:r w:rsidR="003130AA" w:rsidRPr="00CF3AD1">
          <w:rPr>
            <w:rStyle w:val="Hyperlink"/>
            <w:noProof/>
          </w:rPr>
          <w:t>anagement</w:t>
        </w:r>
        <w:r w:rsidR="003130AA">
          <w:rPr>
            <w:noProof/>
            <w:webHidden/>
          </w:rPr>
          <w:tab/>
        </w:r>
        <w:r w:rsidR="00391A9F">
          <w:rPr>
            <w:noProof/>
            <w:webHidden/>
          </w:rPr>
          <w:fldChar w:fldCharType="begin"/>
        </w:r>
        <w:r w:rsidR="003130AA">
          <w:rPr>
            <w:noProof/>
            <w:webHidden/>
          </w:rPr>
          <w:instrText xml:space="preserve"> PAGEREF _Toc276461285 \h </w:instrText>
        </w:r>
        <w:r w:rsidR="00391A9F">
          <w:rPr>
            <w:noProof/>
            <w:webHidden/>
          </w:rPr>
        </w:r>
        <w:r w:rsidR="00391A9F">
          <w:rPr>
            <w:noProof/>
            <w:webHidden/>
          </w:rPr>
          <w:fldChar w:fldCharType="separate"/>
        </w:r>
        <w:r w:rsidR="003130AA">
          <w:rPr>
            <w:noProof/>
            <w:webHidden/>
          </w:rPr>
          <w:t>41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86" w:history="1">
        <w:r w:rsidR="003130AA" w:rsidRPr="00CF3AD1">
          <w:rPr>
            <w:rStyle w:val="Hyperlink"/>
            <w:noProof/>
          </w:rPr>
          <w:t>7.5.2</w:t>
        </w:r>
        <w:r w:rsidR="003130AA">
          <w:rPr>
            <w:rFonts w:asciiTheme="minorHAnsi" w:eastAsiaTheme="minorEastAsia" w:hAnsiTheme="minorHAnsi" w:cstheme="minorBidi"/>
            <w:noProof/>
            <w:sz w:val="22"/>
            <w:szCs w:val="22"/>
            <w:lang w:val="en-US"/>
          </w:rPr>
          <w:tab/>
        </w:r>
        <w:r w:rsidR="003130AA" w:rsidRPr="00CF3AD1">
          <w:rPr>
            <w:rStyle w:val="Hyperlink"/>
            <w:noProof/>
          </w:rPr>
          <w:t>Sustainability</w:t>
        </w:r>
        <w:r w:rsidR="003130AA">
          <w:rPr>
            <w:noProof/>
            <w:webHidden/>
          </w:rPr>
          <w:tab/>
        </w:r>
        <w:r w:rsidR="00391A9F">
          <w:rPr>
            <w:noProof/>
            <w:webHidden/>
          </w:rPr>
          <w:fldChar w:fldCharType="begin"/>
        </w:r>
        <w:r w:rsidR="003130AA">
          <w:rPr>
            <w:noProof/>
            <w:webHidden/>
          </w:rPr>
          <w:instrText xml:space="preserve"> PAGEREF _Toc276461286 \h </w:instrText>
        </w:r>
        <w:r w:rsidR="00391A9F">
          <w:rPr>
            <w:noProof/>
            <w:webHidden/>
          </w:rPr>
        </w:r>
        <w:r w:rsidR="00391A9F">
          <w:rPr>
            <w:noProof/>
            <w:webHidden/>
          </w:rPr>
          <w:fldChar w:fldCharType="separate"/>
        </w:r>
        <w:r w:rsidR="003130AA">
          <w:rPr>
            <w:noProof/>
            <w:webHidden/>
          </w:rPr>
          <w:t>41</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87" w:history="1">
        <w:r w:rsidR="003130AA" w:rsidRPr="00CF3AD1">
          <w:rPr>
            <w:rStyle w:val="Hyperlink"/>
            <w:noProof/>
          </w:rPr>
          <w:t>7.5.3</w:t>
        </w:r>
        <w:r w:rsidR="003130AA">
          <w:rPr>
            <w:rFonts w:asciiTheme="minorHAnsi" w:eastAsiaTheme="minorEastAsia" w:hAnsiTheme="minorHAnsi" w:cstheme="minorBidi"/>
            <w:noProof/>
            <w:sz w:val="22"/>
            <w:szCs w:val="22"/>
            <w:lang w:val="en-US"/>
          </w:rPr>
          <w:tab/>
        </w:r>
        <w:r w:rsidR="003130AA" w:rsidRPr="00CF3AD1">
          <w:rPr>
            <w:rStyle w:val="Hyperlink"/>
            <w:noProof/>
          </w:rPr>
          <w:t>Ownership</w:t>
        </w:r>
        <w:r w:rsidR="003130AA">
          <w:rPr>
            <w:noProof/>
            <w:webHidden/>
          </w:rPr>
          <w:tab/>
        </w:r>
        <w:r w:rsidR="00391A9F">
          <w:rPr>
            <w:noProof/>
            <w:webHidden/>
          </w:rPr>
          <w:fldChar w:fldCharType="begin"/>
        </w:r>
        <w:r w:rsidR="003130AA">
          <w:rPr>
            <w:noProof/>
            <w:webHidden/>
          </w:rPr>
          <w:instrText xml:space="preserve"> PAGEREF _Toc276461287 \h </w:instrText>
        </w:r>
        <w:r w:rsidR="00391A9F">
          <w:rPr>
            <w:noProof/>
            <w:webHidden/>
          </w:rPr>
        </w:r>
        <w:r w:rsidR="00391A9F">
          <w:rPr>
            <w:noProof/>
            <w:webHidden/>
          </w:rPr>
          <w:fldChar w:fldCharType="separate"/>
        </w:r>
        <w:r w:rsidR="003130AA">
          <w:rPr>
            <w:noProof/>
            <w:webHidden/>
          </w:rPr>
          <w:t>41</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88" w:history="1">
        <w:r w:rsidR="003130AA" w:rsidRPr="00CF3AD1">
          <w:rPr>
            <w:rStyle w:val="Hyperlink"/>
            <w:noProof/>
          </w:rPr>
          <w:t>7.5.3.1</w:t>
        </w:r>
        <w:r w:rsidR="003130AA">
          <w:rPr>
            <w:rFonts w:asciiTheme="minorHAnsi" w:eastAsiaTheme="minorEastAsia" w:hAnsiTheme="minorHAnsi" w:cstheme="minorBidi"/>
            <w:noProof/>
            <w:sz w:val="22"/>
            <w:szCs w:val="22"/>
            <w:lang w:val="en-US"/>
          </w:rPr>
          <w:tab/>
        </w:r>
        <w:r w:rsidR="003130AA" w:rsidRPr="00CF3AD1">
          <w:rPr>
            <w:rStyle w:val="Hyperlink"/>
            <w:noProof/>
          </w:rPr>
          <w:t>Ownership of Objectives</w:t>
        </w:r>
        <w:r w:rsidR="003130AA">
          <w:rPr>
            <w:noProof/>
            <w:webHidden/>
          </w:rPr>
          <w:tab/>
        </w:r>
        <w:r w:rsidR="00391A9F">
          <w:rPr>
            <w:noProof/>
            <w:webHidden/>
          </w:rPr>
          <w:fldChar w:fldCharType="begin"/>
        </w:r>
        <w:r w:rsidR="003130AA">
          <w:rPr>
            <w:noProof/>
            <w:webHidden/>
          </w:rPr>
          <w:instrText xml:space="preserve"> PAGEREF _Toc276461288 \h </w:instrText>
        </w:r>
        <w:r w:rsidR="00391A9F">
          <w:rPr>
            <w:noProof/>
            <w:webHidden/>
          </w:rPr>
        </w:r>
        <w:r w:rsidR="00391A9F">
          <w:rPr>
            <w:noProof/>
            <w:webHidden/>
          </w:rPr>
          <w:fldChar w:fldCharType="separate"/>
        </w:r>
        <w:r w:rsidR="003130AA">
          <w:rPr>
            <w:noProof/>
            <w:webHidden/>
          </w:rPr>
          <w:t>41</w:t>
        </w:r>
        <w:r w:rsidR="00391A9F">
          <w:rPr>
            <w:noProof/>
            <w:webHidden/>
          </w:rPr>
          <w:fldChar w:fldCharType="end"/>
        </w:r>
      </w:hyperlink>
    </w:p>
    <w:p w:rsidR="003130AA" w:rsidRDefault="000D61CE">
      <w:pPr>
        <w:pStyle w:val="TOC4"/>
        <w:tabs>
          <w:tab w:val="left" w:pos="1760"/>
          <w:tab w:val="right" w:leader="dot" w:pos="9350"/>
        </w:tabs>
        <w:rPr>
          <w:rFonts w:asciiTheme="minorHAnsi" w:eastAsiaTheme="minorEastAsia" w:hAnsiTheme="minorHAnsi" w:cstheme="minorBidi"/>
          <w:noProof/>
          <w:sz w:val="22"/>
          <w:szCs w:val="22"/>
          <w:lang w:val="en-US"/>
        </w:rPr>
      </w:pPr>
      <w:hyperlink w:anchor="_Toc276461289" w:history="1">
        <w:r w:rsidR="003130AA" w:rsidRPr="00CF3AD1">
          <w:rPr>
            <w:rStyle w:val="Hyperlink"/>
            <w:noProof/>
          </w:rPr>
          <w:t>7.5.3.2</w:t>
        </w:r>
        <w:r w:rsidR="003130AA">
          <w:rPr>
            <w:rFonts w:asciiTheme="minorHAnsi" w:eastAsiaTheme="minorEastAsia" w:hAnsiTheme="minorHAnsi" w:cstheme="minorBidi"/>
            <w:noProof/>
            <w:sz w:val="22"/>
            <w:szCs w:val="22"/>
            <w:lang w:val="en-US"/>
          </w:rPr>
          <w:tab/>
        </w:r>
        <w:r w:rsidR="003130AA" w:rsidRPr="00CF3AD1">
          <w:rPr>
            <w:rStyle w:val="Hyperlink"/>
            <w:noProof/>
          </w:rPr>
          <w:t>Ownership of achievements</w:t>
        </w:r>
        <w:r w:rsidR="003130AA">
          <w:rPr>
            <w:noProof/>
            <w:webHidden/>
          </w:rPr>
          <w:tab/>
        </w:r>
        <w:r w:rsidR="00391A9F">
          <w:rPr>
            <w:noProof/>
            <w:webHidden/>
          </w:rPr>
          <w:fldChar w:fldCharType="begin"/>
        </w:r>
        <w:r w:rsidR="003130AA">
          <w:rPr>
            <w:noProof/>
            <w:webHidden/>
          </w:rPr>
          <w:instrText xml:space="preserve"> PAGEREF _Toc276461289 \h </w:instrText>
        </w:r>
        <w:r w:rsidR="00391A9F">
          <w:rPr>
            <w:noProof/>
            <w:webHidden/>
          </w:rPr>
        </w:r>
        <w:r w:rsidR="00391A9F">
          <w:rPr>
            <w:noProof/>
            <w:webHidden/>
          </w:rPr>
          <w:fldChar w:fldCharType="separate"/>
        </w:r>
        <w:r w:rsidR="003130AA">
          <w:rPr>
            <w:noProof/>
            <w:webHidden/>
          </w:rPr>
          <w:t>42</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90" w:history="1">
        <w:r w:rsidR="003130AA" w:rsidRPr="00CF3AD1">
          <w:rPr>
            <w:rStyle w:val="Hyperlink"/>
            <w:noProof/>
          </w:rPr>
          <w:t>7.5.4</w:t>
        </w:r>
        <w:r w:rsidR="003130AA">
          <w:rPr>
            <w:rFonts w:asciiTheme="minorHAnsi" w:eastAsiaTheme="minorEastAsia" w:hAnsiTheme="minorHAnsi" w:cstheme="minorBidi"/>
            <w:noProof/>
            <w:sz w:val="22"/>
            <w:szCs w:val="22"/>
            <w:lang w:val="en-US"/>
          </w:rPr>
          <w:tab/>
        </w:r>
        <w:r w:rsidR="003130AA" w:rsidRPr="00CF3AD1">
          <w:rPr>
            <w:rStyle w:val="Hyperlink"/>
            <w:noProof/>
          </w:rPr>
          <w:t>Capacity building</w:t>
        </w:r>
        <w:r w:rsidR="003130AA">
          <w:rPr>
            <w:noProof/>
            <w:webHidden/>
          </w:rPr>
          <w:tab/>
        </w:r>
        <w:r w:rsidR="00391A9F">
          <w:rPr>
            <w:noProof/>
            <w:webHidden/>
          </w:rPr>
          <w:fldChar w:fldCharType="begin"/>
        </w:r>
        <w:r w:rsidR="003130AA">
          <w:rPr>
            <w:noProof/>
            <w:webHidden/>
          </w:rPr>
          <w:instrText xml:space="preserve"> PAGEREF _Toc276461290 \h </w:instrText>
        </w:r>
        <w:r w:rsidR="00391A9F">
          <w:rPr>
            <w:noProof/>
            <w:webHidden/>
          </w:rPr>
        </w:r>
        <w:r w:rsidR="00391A9F">
          <w:rPr>
            <w:noProof/>
            <w:webHidden/>
          </w:rPr>
          <w:fldChar w:fldCharType="separate"/>
        </w:r>
        <w:r w:rsidR="003130AA">
          <w:rPr>
            <w:noProof/>
            <w:webHidden/>
          </w:rPr>
          <w:t>42</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91" w:history="1">
        <w:r w:rsidR="003130AA" w:rsidRPr="00CF3AD1">
          <w:rPr>
            <w:rStyle w:val="Hyperlink"/>
            <w:noProof/>
          </w:rPr>
          <w:t>7.5.5</w:t>
        </w:r>
        <w:r w:rsidR="003130AA">
          <w:rPr>
            <w:rFonts w:asciiTheme="minorHAnsi" w:eastAsiaTheme="minorEastAsia" w:hAnsiTheme="minorHAnsi" w:cstheme="minorBidi"/>
            <w:noProof/>
            <w:sz w:val="22"/>
            <w:szCs w:val="22"/>
            <w:lang w:val="en-US"/>
          </w:rPr>
          <w:tab/>
        </w:r>
        <w:r w:rsidR="003130AA" w:rsidRPr="00CF3AD1">
          <w:rPr>
            <w:rStyle w:val="Hyperlink"/>
            <w:noProof/>
          </w:rPr>
          <w:t>National ownership</w:t>
        </w:r>
        <w:r w:rsidR="003130AA">
          <w:rPr>
            <w:noProof/>
            <w:webHidden/>
          </w:rPr>
          <w:tab/>
        </w:r>
        <w:r w:rsidR="00391A9F">
          <w:rPr>
            <w:noProof/>
            <w:webHidden/>
          </w:rPr>
          <w:fldChar w:fldCharType="begin"/>
        </w:r>
        <w:r w:rsidR="003130AA">
          <w:rPr>
            <w:noProof/>
            <w:webHidden/>
          </w:rPr>
          <w:instrText xml:space="preserve"> PAGEREF _Toc276461291 \h </w:instrText>
        </w:r>
        <w:r w:rsidR="00391A9F">
          <w:rPr>
            <w:noProof/>
            <w:webHidden/>
          </w:rPr>
        </w:r>
        <w:r w:rsidR="00391A9F">
          <w:rPr>
            <w:noProof/>
            <w:webHidden/>
          </w:rPr>
          <w:fldChar w:fldCharType="separate"/>
        </w:r>
        <w:r w:rsidR="003130AA">
          <w:rPr>
            <w:noProof/>
            <w:webHidden/>
          </w:rPr>
          <w:t>43</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92" w:history="1">
        <w:r w:rsidR="003130AA" w:rsidRPr="00CF3AD1">
          <w:rPr>
            <w:rStyle w:val="Hyperlink"/>
            <w:noProof/>
          </w:rPr>
          <w:t>7.5.6</w:t>
        </w:r>
        <w:r w:rsidR="003130AA">
          <w:rPr>
            <w:rFonts w:asciiTheme="minorHAnsi" w:eastAsiaTheme="minorEastAsia" w:hAnsiTheme="minorHAnsi" w:cstheme="minorBidi"/>
            <w:noProof/>
            <w:sz w:val="22"/>
            <w:szCs w:val="22"/>
            <w:lang w:val="en-US"/>
          </w:rPr>
          <w:tab/>
        </w:r>
        <w:r w:rsidR="003130AA" w:rsidRPr="00CF3AD1">
          <w:rPr>
            <w:rStyle w:val="Hyperlink"/>
            <w:noProof/>
          </w:rPr>
          <w:t>Promotion of ownership and sustainability</w:t>
        </w:r>
        <w:r w:rsidR="003130AA">
          <w:rPr>
            <w:noProof/>
            <w:webHidden/>
          </w:rPr>
          <w:tab/>
        </w:r>
        <w:r w:rsidR="00391A9F">
          <w:rPr>
            <w:noProof/>
            <w:webHidden/>
          </w:rPr>
          <w:fldChar w:fldCharType="begin"/>
        </w:r>
        <w:r w:rsidR="003130AA">
          <w:rPr>
            <w:noProof/>
            <w:webHidden/>
          </w:rPr>
          <w:instrText xml:space="preserve"> PAGEREF _Toc276461292 \h </w:instrText>
        </w:r>
        <w:r w:rsidR="00391A9F">
          <w:rPr>
            <w:noProof/>
            <w:webHidden/>
          </w:rPr>
        </w:r>
        <w:r w:rsidR="00391A9F">
          <w:rPr>
            <w:noProof/>
            <w:webHidden/>
          </w:rPr>
          <w:fldChar w:fldCharType="separate"/>
        </w:r>
        <w:r w:rsidR="003130AA">
          <w:rPr>
            <w:noProof/>
            <w:webHidden/>
          </w:rPr>
          <w:t>44</w:t>
        </w:r>
        <w:r w:rsidR="00391A9F">
          <w:rPr>
            <w:noProof/>
            <w:webHidden/>
          </w:rPr>
          <w:fldChar w:fldCharType="end"/>
        </w:r>
      </w:hyperlink>
    </w:p>
    <w:p w:rsidR="003130AA" w:rsidRDefault="000D61CE">
      <w:pPr>
        <w:pStyle w:val="TOC3"/>
        <w:tabs>
          <w:tab w:val="left" w:pos="1320"/>
          <w:tab w:val="right" w:leader="dot" w:pos="9350"/>
        </w:tabs>
        <w:rPr>
          <w:rFonts w:asciiTheme="minorHAnsi" w:eastAsiaTheme="minorEastAsia" w:hAnsiTheme="minorHAnsi" w:cstheme="minorBidi"/>
          <w:noProof/>
          <w:sz w:val="22"/>
          <w:szCs w:val="22"/>
          <w:lang w:val="en-US"/>
        </w:rPr>
      </w:pPr>
      <w:hyperlink w:anchor="_Toc276461293" w:history="1">
        <w:r w:rsidR="003130AA" w:rsidRPr="00CF3AD1">
          <w:rPr>
            <w:rStyle w:val="Hyperlink"/>
            <w:noProof/>
          </w:rPr>
          <w:t>7.5.7</w:t>
        </w:r>
        <w:r w:rsidR="003130AA">
          <w:rPr>
            <w:rFonts w:asciiTheme="minorHAnsi" w:eastAsiaTheme="minorEastAsia" w:hAnsiTheme="minorHAnsi" w:cstheme="minorBidi"/>
            <w:noProof/>
            <w:sz w:val="22"/>
            <w:szCs w:val="22"/>
            <w:lang w:val="en-US"/>
          </w:rPr>
          <w:tab/>
        </w:r>
        <w:r w:rsidR="003130AA" w:rsidRPr="00CF3AD1">
          <w:rPr>
            <w:rStyle w:val="Hyperlink"/>
            <w:noProof/>
          </w:rPr>
          <w:t>Conclusions</w:t>
        </w:r>
        <w:r w:rsidR="003130AA">
          <w:rPr>
            <w:noProof/>
            <w:webHidden/>
          </w:rPr>
          <w:tab/>
        </w:r>
        <w:r w:rsidR="00391A9F">
          <w:rPr>
            <w:noProof/>
            <w:webHidden/>
          </w:rPr>
          <w:fldChar w:fldCharType="begin"/>
        </w:r>
        <w:r w:rsidR="003130AA">
          <w:rPr>
            <w:noProof/>
            <w:webHidden/>
          </w:rPr>
          <w:instrText xml:space="preserve"> PAGEREF _Toc276461293 \h </w:instrText>
        </w:r>
        <w:r w:rsidR="00391A9F">
          <w:rPr>
            <w:noProof/>
            <w:webHidden/>
          </w:rPr>
        </w:r>
        <w:r w:rsidR="00391A9F">
          <w:rPr>
            <w:noProof/>
            <w:webHidden/>
          </w:rPr>
          <w:fldChar w:fldCharType="separate"/>
        </w:r>
        <w:r w:rsidR="003130AA">
          <w:rPr>
            <w:noProof/>
            <w:webHidden/>
          </w:rPr>
          <w:t>44</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94" w:history="1">
        <w:r w:rsidR="003130AA" w:rsidRPr="00CF3AD1">
          <w:rPr>
            <w:rStyle w:val="Hyperlink"/>
            <w:noProof/>
          </w:rPr>
          <w:t>8</w:t>
        </w:r>
        <w:r w:rsidR="003130AA">
          <w:rPr>
            <w:rFonts w:asciiTheme="minorHAnsi" w:eastAsiaTheme="minorEastAsia" w:hAnsiTheme="minorHAnsi" w:cstheme="minorBidi"/>
            <w:noProof/>
            <w:sz w:val="22"/>
            <w:szCs w:val="22"/>
            <w:lang w:val="en-US"/>
          </w:rPr>
          <w:tab/>
        </w:r>
        <w:r w:rsidR="003130AA" w:rsidRPr="00CF3AD1">
          <w:rPr>
            <w:rStyle w:val="Hyperlink"/>
            <w:noProof/>
          </w:rPr>
          <w:t>Coherence</w:t>
        </w:r>
        <w:r w:rsidR="003130AA">
          <w:rPr>
            <w:noProof/>
            <w:webHidden/>
          </w:rPr>
          <w:tab/>
        </w:r>
        <w:r w:rsidR="00391A9F">
          <w:rPr>
            <w:noProof/>
            <w:webHidden/>
          </w:rPr>
          <w:fldChar w:fldCharType="begin"/>
        </w:r>
        <w:r w:rsidR="003130AA">
          <w:rPr>
            <w:noProof/>
            <w:webHidden/>
          </w:rPr>
          <w:instrText xml:space="preserve"> PAGEREF _Toc276461294 \h </w:instrText>
        </w:r>
        <w:r w:rsidR="00391A9F">
          <w:rPr>
            <w:noProof/>
            <w:webHidden/>
          </w:rPr>
        </w:r>
        <w:r w:rsidR="00391A9F">
          <w:rPr>
            <w:noProof/>
            <w:webHidden/>
          </w:rPr>
          <w:fldChar w:fldCharType="separate"/>
        </w:r>
        <w:r w:rsidR="003130AA">
          <w:rPr>
            <w:noProof/>
            <w:webHidden/>
          </w:rPr>
          <w:t>44</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95" w:history="1">
        <w:r w:rsidR="003130AA" w:rsidRPr="00CF3AD1">
          <w:rPr>
            <w:rStyle w:val="Hyperlink"/>
            <w:noProof/>
          </w:rPr>
          <w:t>9</w:t>
        </w:r>
        <w:r w:rsidR="003130AA">
          <w:rPr>
            <w:rFonts w:asciiTheme="minorHAnsi" w:eastAsiaTheme="minorEastAsia" w:hAnsiTheme="minorHAnsi" w:cstheme="minorBidi"/>
            <w:noProof/>
            <w:sz w:val="22"/>
            <w:szCs w:val="22"/>
            <w:lang w:val="en-US"/>
          </w:rPr>
          <w:tab/>
        </w:r>
        <w:r w:rsidR="003130AA" w:rsidRPr="00CF3AD1">
          <w:rPr>
            <w:rStyle w:val="Hyperlink"/>
            <w:noProof/>
          </w:rPr>
          <w:t>Cross-cutting issues</w:t>
        </w:r>
        <w:r w:rsidR="003130AA">
          <w:rPr>
            <w:noProof/>
            <w:webHidden/>
          </w:rPr>
          <w:tab/>
        </w:r>
        <w:r w:rsidR="00391A9F">
          <w:rPr>
            <w:noProof/>
            <w:webHidden/>
          </w:rPr>
          <w:fldChar w:fldCharType="begin"/>
        </w:r>
        <w:r w:rsidR="003130AA">
          <w:rPr>
            <w:noProof/>
            <w:webHidden/>
          </w:rPr>
          <w:instrText xml:space="preserve"> PAGEREF _Toc276461295 \h </w:instrText>
        </w:r>
        <w:r w:rsidR="00391A9F">
          <w:rPr>
            <w:noProof/>
            <w:webHidden/>
          </w:rPr>
        </w:r>
        <w:r w:rsidR="00391A9F">
          <w:rPr>
            <w:noProof/>
            <w:webHidden/>
          </w:rPr>
          <w:fldChar w:fldCharType="separate"/>
        </w:r>
        <w:r w:rsidR="003130AA">
          <w:rPr>
            <w:noProof/>
            <w:webHidden/>
          </w:rPr>
          <w:t>45</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96" w:history="1">
        <w:r w:rsidR="003130AA" w:rsidRPr="00CF3AD1">
          <w:rPr>
            <w:rStyle w:val="Hyperlink"/>
            <w:noProof/>
            <w:lang w:eastAsia="ja-JP"/>
          </w:rPr>
          <w:t>10</w:t>
        </w:r>
        <w:r w:rsidR="003130AA">
          <w:rPr>
            <w:rFonts w:asciiTheme="minorHAnsi" w:eastAsiaTheme="minorEastAsia" w:hAnsiTheme="minorHAnsi" w:cstheme="minorBidi"/>
            <w:noProof/>
            <w:sz w:val="22"/>
            <w:szCs w:val="22"/>
            <w:lang w:val="en-US"/>
          </w:rPr>
          <w:tab/>
        </w:r>
        <w:r w:rsidR="003130AA" w:rsidRPr="00CF3AD1">
          <w:rPr>
            <w:rStyle w:val="Hyperlink"/>
            <w:noProof/>
            <w:lang w:eastAsia="ja-JP"/>
          </w:rPr>
          <w:t>Conclusions</w:t>
        </w:r>
        <w:r w:rsidR="003130AA">
          <w:rPr>
            <w:noProof/>
            <w:webHidden/>
          </w:rPr>
          <w:tab/>
        </w:r>
        <w:r w:rsidR="00391A9F">
          <w:rPr>
            <w:noProof/>
            <w:webHidden/>
          </w:rPr>
          <w:fldChar w:fldCharType="begin"/>
        </w:r>
        <w:r w:rsidR="003130AA">
          <w:rPr>
            <w:noProof/>
            <w:webHidden/>
          </w:rPr>
          <w:instrText xml:space="preserve"> PAGEREF _Toc276461296 \h </w:instrText>
        </w:r>
        <w:r w:rsidR="00391A9F">
          <w:rPr>
            <w:noProof/>
            <w:webHidden/>
          </w:rPr>
        </w:r>
        <w:r w:rsidR="00391A9F">
          <w:rPr>
            <w:noProof/>
            <w:webHidden/>
          </w:rPr>
          <w:fldChar w:fldCharType="separate"/>
        </w:r>
        <w:r w:rsidR="003130AA">
          <w:rPr>
            <w:noProof/>
            <w:webHidden/>
          </w:rPr>
          <w:t>45</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97" w:history="1">
        <w:r w:rsidR="003130AA" w:rsidRPr="00CF3AD1">
          <w:rPr>
            <w:rStyle w:val="Hyperlink"/>
            <w:noProof/>
            <w:lang w:eastAsia="ja-JP"/>
          </w:rPr>
          <w:t>11</w:t>
        </w:r>
        <w:r w:rsidR="003130AA">
          <w:rPr>
            <w:rFonts w:asciiTheme="minorHAnsi" w:eastAsiaTheme="minorEastAsia" w:hAnsiTheme="minorHAnsi" w:cstheme="minorBidi"/>
            <w:noProof/>
            <w:sz w:val="22"/>
            <w:szCs w:val="22"/>
            <w:lang w:val="en-US"/>
          </w:rPr>
          <w:tab/>
        </w:r>
        <w:r w:rsidR="003130AA" w:rsidRPr="00CF3AD1">
          <w:rPr>
            <w:rStyle w:val="Hyperlink"/>
            <w:noProof/>
          </w:rPr>
          <w:t>Recommendations</w:t>
        </w:r>
        <w:r w:rsidR="003130AA">
          <w:rPr>
            <w:noProof/>
            <w:webHidden/>
          </w:rPr>
          <w:tab/>
        </w:r>
        <w:r w:rsidR="00391A9F">
          <w:rPr>
            <w:noProof/>
            <w:webHidden/>
          </w:rPr>
          <w:fldChar w:fldCharType="begin"/>
        </w:r>
        <w:r w:rsidR="003130AA">
          <w:rPr>
            <w:noProof/>
            <w:webHidden/>
          </w:rPr>
          <w:instrText xml:space="preserve"> PAGEREF _Toc276461297 \h </w:instrText>
        </w:r>
        <w:r w:rsidR="00391A9F">
          <w:rPr>
            <w:noProof/>
            <w:webHidden/>
          </w:rPr>
        </w:r>
        <w:r w:rsidR="00391A9F">
          <w:rPr>
            <w:noProof/>
            <w:webHidden/>
          </w:rPr>
          <w:fldChar w:fldCharType="separate"/>
        </w:r>
        <w:r w:rsidR="003130AA">
          <w:rPr>
            <w:noProof/>
            <w:webHidden/>
          </w:rPr>
          <w:t>46</w:t>
        </w:r>
        <w:r w:rsidR="00391A9F">
          <w:rPr>
            <w:noProof/>
            <w:webHidden/>
          </w:rPr>
          <w:fldChar w:fldCharType="end"/>
        </w:r>
      </w:hyperlink>
    </w:p>
    <w:p w:rsidR="003130AA" w:rsidRDefault="000D61CE">
      <w:pPr>
        <w:pStyle w:val="TOC1"/>
        <w:tabs>
          <w:tab w:val="left" w:pos="480"/>
          <w:tab w:val="right" w:leader="dot" w:pos="9350"/>
        </w:tabs>
        <w:rPr>
          <w:rFonts w:asciiTheme="minorHAnsi" w:eastAsiaTheme="minorEastAsia" w:hAnsiTheme="minorHAnsi" w:cstheme="minorBidi"/>
          <w:noProof/>
          <w:sz w:val="22"/>
          <w:szCs w:val="22"/>
          <w:lang w:val="en-US"/>
        </w:rPr>
      </w:pPr>
      <w:hyperlink w:anchor="_Toc276461298" w:history="1">
        <w:r w:rsidR="003130AA" w:rsidRPr="00CF3AD1">
          <w:rPr>
            <w:rStyle w:val="Hyperlink"/>
            <w:noProof/>
          </w:rPr>
          <w:t>12</w:t>
        </w:r>
        <w:r w:rsidR="003130AA">
          <w:rPr>
            <w:rFonts w:asciiTheme="minorHAnsi" w:eastAsiaTheme="minorEastAsia" w:hAnsiTheme="minorHAnsi" w:cstheme="minorBidi"/>
            <w:noProof/>
            <w:sz w:val="22"/>
            <w:szCs w:val="22"/>
            <w:lang w:val="en-US"/>
          </w:rPr>
          <w:tab/>
        </w:r>
        <w:r w:rsidR="003130AA" w:rsidRPr="00CF3AD1">
          <w:rPr>
            <w:rStyle w:val="Hyperlink"/>
            <w:noProof/>
          </w:rPr>
          <w:t>Annexes</w:t>
        </w:r>
        <w:r w:rsidR="003130AA">
          <w:rPr>
            <w:noProof/>
            <w:webHidden/>
          </w:rPr>
          <w:tab/>
        </w:r>
        <w:r w:rsidR="00391A9F">
          <w:rPr>
            <w:noProof/>
            <w:webHidden/>
          </w:rPr>
          <w:fldChar w:fldCharType="begin"/>
        </w:r>
        <w:r w:rsidR="003130AA">
          <w:rPr>
            <w:noProof/>
            <w:webHidden/>
          </w:rPr>
          <w:instrText xml:space="preserve"> PAGEREF _Toc276461298 \h </w:instrText>
        </w:r>
        <w:r w:rsidR="00391A9F">
          <w:rPr>
            <w:noProof/>
            <w:webHidden/>
          </w:rPr>
        </w:r>
        <w:r w:rsidR="00391A9F">
          <w:rPr>
            <w:noProof/>
            <w:webHidden/>
          </w:rPr>
          <w:fldChar w:fldCharType="separate"/>
        </w:r>
        <w:r w:rsidR="003130AA">
          <w:rPr>
            <w:noProof/>
            <w:webHidden/>
          </w:rPr>
          <w:t>49</w:t>
        </w:r>
        <w:r w:rsidR="00391A9F">
          <w:rPr>
            <w:noProof/>
            <w:webHidden/>
          </w:rPr>
          <w:fldChar w:fldCharType="end"/>
        </w:r>
      </w:hyperlink>
    </w:p>
    <w:p w:rsidR="004821D1" w:rsidRDefault="00391A9F">
      <w:pPr>
        <w:spacing w:after="120" w:line="253" w:lineRule="atLeast"/>
      </w:pPr>
      <w:r w:rsidRPr="00100AF5">
        <w:rPr>
          <w:b/>
          <w:bCs/>
        </w:rPr>
        <w:fldChar w:fldCharType="end"/>
      </w:r>
      <w:r w:rsidR="004821D1">
        <w:rPr>
          <w:b/>
          <w:bCs/>
        </w:rPr>
        <w:br w:type="page"/>
      </w:r>
    </w:p>
    <w:p w:rsidR="004D60A7" w:rsidRPr="00106C0D" w:rsidRDefault="004D60A7" w:rsidP="004D60A7">
      <w:pPr>
        <w:autoSpaceDE w:val="0"/>
        <w:autoSpaceDN w:val="0"/>
        <w:adjustRightInd w:val="0"/>
        <w:spacing w:before="0"/>
        <w:jc w:val="left"/>
        <w:rPr>
          <w:rFonts w:eastAsiaTheme="minorHAnsi" w:cs="Times New Roman"/>
          <w:b/>
          <w:sz w:val="30"/>
          <w:szCs w:val="30"/>
          <w:lang w:val="en-US"/>
        </w:rPr>
      </w:pPr>
      <w:r w:rsidRPr="00106C0D">
        <w:rPr>
          <w:rFonts w:eastAsiaTheme="minorHAnsi" w:cs="Times New Roman"/>
          <w:b/>
          <w:sz w:val="30"/>
          <w:szCs w:val="30"/>
          <w:lang w:val="en-US"/>
        </w:rPr>
        <w:lastRenderedPageBreak/>
        <w:t>Acknowledgements</w:t>
      </w:r>
    </w:p>
    <w:p w:rsidR="00106C0D" w:rsidRPr="00100AF5" w:rsidRDefault="00D4095A" w:rsidP="00106C0D">
      <w:r>
        <w:rPr>
          <w:rFonts w:eastAsiaTheme="minorHAnsi"/>
          <w:lang w:val="en-US"/>
        </w:rPr>
        <w:t xml:space="preserve">The consultant </w:t>
      </w:r>
      <w:r w:rsidR="004D60A7">
        <w:rPr>
          <w:rFonts w:eastAsiaTheme="minorHAnsi"/>
          <w:lang w:val="en-US"/>
        </w:rPr>
        <w:t xml:space="preserve">would like to thank the </w:t>
      </w:r>
      <w:r w:rsidR="00106C0D">
        <w:rPr>
          <w:rFonts w:eastAsiaTheme="minorHAnsi"/>
          <w:lang w:val="en-US"/>
        </w:rPr>
        <w:t>s</w:t>
      </w:r>
      <w:r w:rsidR="004D60A7">
        <w:rPr>
          <w:rFonts w:eastAsiaTheme="minorHAnsi"/>
          <w:lang w:val="en-US"/>
        </w:rPr>
        <w:t xml:space="preserve">taff of </w:t>
      </w:r>
      <w:proofErr w:type="spellStart"/>
      <w:r w:rsidR="004D60A7">
        <w:rPr>
          <w:rFonts w:eastAsiaTheme="minorHAnsi"/>
          <w:lang w:val="en-US"/>
        </w:rPr>
        <w:t>MoPSD</w:t>
      </w:r>
      <w:proofErr w:type="spellEnd"/>
      <w:r w:rsidR="004D60A7">
        <w:rPr>
          <w:rFonts w:eastAsiaTheme="minorHAnsi"/>
          <w:lang w:val="en-US"/>
        </w:rPr>
        <w:t xml:space="preserve"> </w:t>
      </w:r>
      <w:r w:rsidR="00106C0D">
        <w:rPr>
          <w:rFonts w:eastAsiaTheme="minorHAnsi"/>
          <w:lang w:val="en-US"/>
        </w:rPr>
        <w:t xml:space="preserve">for their support, kindness </w:t>
      </w:r>
      <w:r w:rsidR="004D60A7">
        <w:rPr>
          <w:rFonts w:eastAsiaTheme="minorHAnsi"/>
          <w:lang w:val="en-US"/>
        </w:rPr>
        <w:t>and</w:t>
      </w:r>
      <w:r w:rsidR="00106C0D">
        <w:rPr>
          <w:rFonts w:eastAsiaTheme="minorHAnsi"/>
          <w:lang w:val="en-US"/>
        </w:rPr>
        <w:t xml:space="preserve"> cooperation </w:t>
      </w:r>
      <w:r w:rsidR="004D60A7">
        <w:rPr>
          <w:rFonts w:eastAsiaTheme="minorHAnsi"/>
          <w:lang w:val="en-US"/>
        </w:rPr>
        <w:t>during this mission. Special thanks to Ms. Sawsan Gharaibeh and</w:t>
      </w:r>
      <w:r w:rsidR="00106C0D">
        <w:rPr>
          <w:rFonts w:eastAsiaTheme="minorHAnsi"/>
          <w:lang w:val="en-US"/>
        </w:rPr>
        <w:t xml:space="preserve"> </w:t>
      </w:r>
      <w:r w:rsidR="004D60A7">
        <w:rPr>
          <w:rFonts w:eastAsiaTheme="minorHAnsi"/>
          <w:lang w:val="en-US"/>
        </w:rPr>
        <w:t xml:space="preserve">Ms. Hadeel Saadeh of UNDP Jordan for their </w:t>
      </w:r>
      <w:r w:rsidR="00106C0D">
        <w:rPr>
          <w:rFonts w:eastAsiaTheme="minorHAnsi"/>
          <w:lang w:val="en-US"/>
        </w:rPr>
        <w:t xml:space="preserve">generous </w:t>
      </w:r>
      <w:r w:rsidR="004D60A7">
        <w:rPr>
          <w:rFonts w:eastAsiaTheme="minorHAnsi"/>
          <w:lang w:val="en-US"/>
        </w:rPr>
        <w:t xml:space="preserve">support. </w:t>
      </w:r>
    </w:p>
    <w:p w:rsidR="005B40CC" w:rsidRPr="00100AF5" w:rsidRDefault="005B40CC" w:rsidP="004D60A7">
      <w:r w:rsidRPr="00100AF5">
        <w:br w:type="page"/>
      </w:r>
    </w:p>
    <w:p w:rsidR="005B40CC" w:rsidRPr="00100AF5" w:rsidRDefault="005B40CC" w:rsidP="00CD7605">
      <w:pPr>
        <w:pStyle w:val="Heading1"/>
        <w:numPr>
          <w:ilvl w:val="0"/>
          <w:numId w:val="0"/>
        </w:numPr>
        <w:ind w:left="720"/>
      </w:pPr>
      <w:bookmarkStart w:id="1" w:name="_Toc273263615"/>
      <w:bookmarkStart w:id="2" w:name="_Toc276461219"/>
      <w:r w:rsidRPr="00100AF5">
        <w:lastRenderedPageBreak/>
        <w:t>List of acronyms and abbreviations</w:t>
      </w:r>
      <w:bookmarkEnd w:id="1"/>
      <w:bookmarkEnd w:id="2"/>
    </w:p>
    <w:p w:rsidR="00106C0D" w:rsidRDefault="00106C0D" w:rsidP="005B40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520"/>
      </w:tblGrid>
      <w:tr w:rsidR="00106C0D" w:rsidRPr="00AA3608" w:rsidTr="00C22AAE">
        <w:tc>
          <w:tcPr>
            <w:tcW w:w="1668" w:type="dxa"/>
          </w:tcPr>
          <w:p w:rsidR="00106C0D" w:rsidRPr="00AA3608" w:rsidRDefault="00106C0D" w:rsidP="0084684A">
            <w:pPr>
              <w:spacing w:before="120" w:after="120"/>
            </w:pPr>
            <w:r w:rsidRPr="00AA3608">
              <w:t>AP</w:t>
            </w:r>
          </w:p>
        </w:tc>
        <w:tc>
          <w:tcPr>
            <w:tcW w:w="6520" w:type="dxa"/>
          </w:tcPr>
          <w:p w:rsidR="00106C0D" w:rsidRPr="00AA3608" w:rsidRDefault="00106C0D" w:rsidP="0084684A">
            <w:pPr>
              <w:spacing w:before="120" w:after="120"/>
            </w:pPr>
            <w:r w:rsidRPr="00AA3608">
              <w:t xml:space="preserve">Action Plan </w:t>
            </w:r>
          </w:p>
        </w:tc>
      </w:tr>
      <w:tr w:rsidR="00106C0D" w:rsidRPr="00AA3608" w:rsidTr="00C22AAE">
        <w:tc>
          <w:tcPr>
            <w:tcW w:w="1668" w:type="dxa"/>
          </w:tcPr>
          <w:p w:rsidR="00106C0D" w:rsidRPr="00AA3608" w:rsidRDefault="0084684A" w:rsidP="0084684A">
            <w:pPr>
              <w:spacing w:before="120" w:after="120"/>
            </w:pPr>
            <w:r>
              <w:t>CCA</w:t>
            </w:r>
          </w:p>
        </w:tc>
        <w:tc>
          <w:tcPr>
            <w:tcW w:w="6520" w:type="dxa"/>
          </w:tcPr>
          <w:p w:rsidR="00106C0D" w:rsidRPr="00AA3608" w:rsidRDefault="0084684A" w:rsidP="0084684A">
            <w:pPr>
              <w:spacing w:before="120" w:after="120"/>
            </w:pPr>
            <w:r>
              <w:t>Common Country Assessment</w:t>
            </w:r>
          </w:p>
        </w:tc>
      </w:tr>
      <w:tr w:rsidR="0084684A" w:rsidRPr="00AA3608" w:rsidTr="00C22AAE">
        <w:tc>
          <w:tcPr>
            <w:tcW w:w="1668" w:type="dxa"/>
          </w:tcPr>
          <w:p w:rsidR="0084684A" w:rsidRPr="00AA3608" w:rsidRDefault="0084684A" w:rsidP="0084684A">
            <w:pPr>
              <w:spacing w:before="120" w:after="120"/>
            </w:pPr>
            <w:r w:rsidRPr="00AA3608">
              <w:t>CSB</w:t>
            </w:r>
          </w:p>
        </w:tc>
        <w:tc>
          <w:tcPr>
            <w:tcW w:w="6520" w:type="dxa"/>
          </w:tcPr>
          <w:p w:rsidR="0084684A" w:rsidRPr="00AA3608" w:rsidRDefault="0084684A" w:rsidP="0084684A">
            <w:pPr>
              <w:spacing w:before="120" w:after="120"/>
            </w:pPr>
            <w:r w:rsidRPr="00AA3608">
              <w:t>Civil Service Bureau</w:t>
            </w:r>
          </w:p>
        </w:tc>
      </w:tr>
      <w:tr w:rsidR="0084684A" w:rsidRPr="00AA3608" w:rsidTr="00C22AAE">
        <w:tc>
          <w:tcPr>
            <w:tcW w:w="1668" w:type="dxa"/>
          </w:tcPr>
          <w:p w:rsidR="0084684A" w:rsidRPr="00AA3608" w:rsidRDefault="0084684A" w:rsidP="0084684A">
            <w:pPr>
              <w:spacing w:before="120" w:after="120"/>
            </w:pPr>
            <w:r w:rsidRPr="00AA3608">
              <w:t>E</w:t>
            </w:r>
            <w:r w:rsidR="008D76BC">
              <w:t>C</w:t>
            </w:r>
          </w:p>
        </w:tc>
        <w:tc>
          <w:tcPr>
            <w:tcW w:w="6520" w:type="dxa"/>
          </w:tcPr>
          <w:p w:rsidR="0084684A" w:rsidRPr="00AA3608" w:rsidRDefault="0084684A" w:rsidP="0084684A">
            <w:pPr>
              <w:spacing w:before="120" w:after="120"/>
            </w:pPr>
            <w:r w:rsidRPr="00AA3608">
              <w:t xml:space="preserve">European </w:t>
            </w:r>
            <w:r w:rsidR="008D76BC">
              <w:t>Commission</w:t>
            </w:r>
          </w:p>
        </w:tc>
      </w:tr>
      <w:tr w:rsidR="0084684A" w:rsidRPr="00AA3608" w:rsidTr="00C22AAE">
        <w:tc>
          <w:tcPr>
            <w:tcW w:w="1668" w:type="dxa"/>
          </w:tcPr>
          <w:p w:rsidR="0084684A" w:rsidRPr="00AA3608" w:rsidRDefault="0084684A" w:rsidP="0084684A">
            <w:pPr>
              <w:spacing w:before="120" w:after="120"/>
            </w:pPr>
            <w:proofErr w:type="spellStart"/>
            <w:r>
              <w:t>GoJ</w:t>
            </w:r>
            <w:proofErr w:type="spellEnd"/>
          </w:p>
        </w:tc>
        <w:tc>
          <w:tcPr>
            <w:tcW w:w="6520" w:type="dxa"/>
          </w:tcPr>
          <w:p w:rsidR="0084684A" w:rsidRPr="00AA3608" w:rsidRDefault="0084684A" w:rsidP="0084684A">
            <w:pPr>
              <w:spacing w:before="120" w:after="120"/>
            </w:pPr>
            <w:r>
              <w:t>Government of Jordan</w:t>
            </w:r>
          </w:p>
        </w:tc>
      </w:tr>
      <w:tr w:rsidR="0084684A" w:rsidRPr="00AA3608" w:rsidTr="00C22AAE">
        <w:tc>
          <w:tcPr>
            <w:tcW w:w="1668" w:type="dxa"/>
          </w:tcPr>
          <w:p w:rsidR="0084684A" w:rsidRPr="00AA3608" w:rsidRDefault="0084684A" w:rsidP="0084684A">
            <w:pPr>
              <w:spacing w:before="120" w:after="120"/>
            </w:pPr>
            <w:r w:rsidRPr="00AA3608">
              <w:t>GPA</w:t>
            </w:r>
          </w:p>
        </w:tc>
        <w:tc>
          <w:tcPr>
            <w:tcW w:w="6520" w:type="dxa"/>
          </w:tcPr>
          <w:p w:rsidR="0084684A" w:rsidRPr="00AA3608" w:rsidRDefault="0084684A" w:rsidP="0084684A">
            <w:pPr>
              <w:spacing w:before="120" w:after="120"/>
            </w:pPr>
            <w:r w:rsidRPr="00AA3608">
              <w:t xml:space="preserve">Government Performance Assessment Unit </w:t>
            </w:r>
          </w:p>
        </w:tc>
      </w:tr>
      <w:tr w:rsidR="0084684A" w:rsidRPr="00AA3608" w:rsidTr="00C22AAE">
        <w:tc>
          <w:tcPr>
            <w:tcW w:w="1668" w:type="dxa"/>
          </w:tcPr>
          <w:p w:rsidR="0084684A" w:rsidRPr="00AA3608" w:rsidRDefault="0084684A" w:rsidP="0084684A">
            <w:pPr>
              <w:spacing w:before="120" w:after="120"/>
            </w:pPr>
            <w:r w:rsidRPr="00AA3608">
              <w:t>HR</w:t>
            </w:r>
          </w:p>
        </w:tc>
        <w:tc>
          <w:tcPr>
            <w:tcW w:w="6520" w:type="dxa"/>
          </w:tcPr>
          <w:p w:rsidR="0084684A" w:rsidRPr="00AA3608" w:rsidRDefault="0084684A" w:rsidP="0084684A">
            <w:pPr>
              <w:spacing w:before="120" w:after="120"/>
            </w:pPr>
            <w:r w:rsidRPr="00AA3608">
              <w:t xml:space="preserve">Human Resources  </w:t>
            </w:r>
          </w:p>
        </w:tc>
      </w:tr>
      <w:tr w:rsidR="0084684A" w:rsidRPr="00AA3608" w:rsidTr="00C22AAE">
        <w:tc>
          <w:tcPr>
            <w:tcW w:w="1668" w:type="dxa"/>
          </w:tcPr>
          <w:p w:rsidR="0084684A" w:rsidRPr="00AA3608" w:rsidRDefault="0084684A" w:rsidP="0084684A">
            <w:pPr>
              <w:spacing w:before="120" w:after="120"/>
            </w:pPr>
            <w:r w:rsidRPr="00AA3608">
              <w:t>KACE</w:t>
            </w:r>
          </w:p>
        </w:tc>
        <w:tc>
          <w:tcPr>
            <w:tcW w:w="6520" w:type="dxa"/>
          </w:tcPr>
          <w:p w:rsidR="0084684A" w:rsidRPr="00AA3608" w:rsidRDefault="0084684A" w:rsidP="0084684A">
            <w:pPr>
              <w:spacing w:before="120" w:after="120"/>
            </w:pPr>
            <w:r w:rsidRPr="00AA3608">
              <w:t xml:space="preserve">King Abdullah Centre for Excellence </w:t>
            </w:r>
          </w:p>
        </w:tc>
      </w:tr>
      <w:tr w:rsidR="0084684A" w:rsidRPr="00AA3608" w:rsidTr="00C22AAE">
        <w:tc>
          <w:tcPr>
            <w:tcW w:w="1668" w:type="dxa"/>
          </w:tcPr>
          <w:p w:rsidR="0084684A" w:rsidRPr="00AA3608" w:rsidRDefault="0084684A" w:rsidP="0084684A">
            <w:pPr>
              <w:spacing w:before="120" w:after="120"/>
              <w:rPr>
                <w:lang w:bidi="ar-JO"/>
              </w:rPr>
            </w:pPr>
            <w:proofErr w:type="spellStart"/>
            <w:r>
              <w:rPr>
                <w:lang w:bidi="ar-JO"/>
              </w:rPr>
              <w:t>Mo</w:t>
            </w:r>
            <w:r w:rsidRPr="00AA3608">
              <w:rPr>
                <w:lang w:bidi="ar-JO"/>
              </w:rPr>
              <w:t>PSD</w:t>
            </w:r>
            <w:proofErr w:type="spellEnd"/>
          </w:p>
        </w:tc>
        <w:tc>
          <w:tcPr>
            <w:tcW w:w="6520" w:type="dxa"/>
          </w:tcPr>
          <w:p w:rsidR="0084684A" w:rsidRPr="00AA3608" w:rsidRDefault="0084684A" w:rsidP="0084684A">
            <w:pPr>
              <w:spacing w:before="120" w:after="120"/>
            </w:pPr>
            <w:r w:rsidRPr="00AA3608">
              <w:t xml:space="preserve">Ministry of Public Service Development </w:t>
            </w:r>
          </w:p>
        </w:tc>
      </w:tr>
      <w:tr w:rsidR="0084684A" w:rsidRPr="00AA3608" w:rsidTr="00C22AAE">
        <w:tc>
          <w:tcPr>
            <w:tcW w:w="1668" w:type="dxa"/>
          </w:tcPr>
          <w:p w:rsidR="0084684A" w:rsidRPr="00AA3608" w:rsidRDefault="0084684A" w:rsidP="0084684A">
            <w:pPr>
              <w:spacing w:before="120" w:after="120"/>
            </w:pPr>
            <w:proofErr w:type="spellStart"/>
            <w:r>
              <w:t>MoH</w:t>
            </w:r>
            <w:proofErr w:type="spellEnd"/>
          </w:p>
        </w:tc>
        <w:tc>
          <w:tcPr>
            <w:tcW w:w="6520" w:type="dxa"/>
          </w:tcPr>
          <w:p w:rsidR="0084684A" w:rsidRPr="00AA3608" w:rsidRDefault="0084684A" w:rsidP="0084684A">
            <w:pPr>
              <w:spacing w:before="120" w:after="120"/>
            </w:pPr>
            <w:r>
              <w:t>Ministry of Health</w:t>
            </w:r>
          </w:p>
        </w:tc>
      </w:tr>
      <w:tr w:rsidR="0084684A" w:rsidRPr="00AA3608" w:rsidTr="00C22AAE">
        <w:tc>
          <w:tcPr>
            <w:tcW w:w="1668" w:type="dxa"/>
          </w:tcPr>
          <w:p w:rsidR="0084684A" w:rsidRPr="00AA3608" w:rsidRDefault="0084684A" w:rsidP="0084684A">
            <w:pPr>
              <w:spacing w:before="120" w:after="120"/>
            </w:pPr>
            <w:r>
              <w:t>MDG</w:t>
            </w:r>
          </w:p>
        </w:tc>
        <w:tc>
          <w:tcPr>
            <w:tcW w:w="6520" w:type="dxa"/>
          </w:tcPr>
          <w:p w:rsidR="0084684A" w:rsidRPr="00AA3608" w:rsidRDefault="0084684A" w:rsidP="0084684A">
            <w:pPr>
              <w:spacing w:before="120" w:after="120"/>
            </w:pPr>
            <w:r>
              <w:t>Millennium Development Goals</w:t>
            </w:r>
          </w:p>
        </w:tc>
      </w:tr>
      <w:tr w:rsidR="0084684A" w:rsidRPr="00AA3608" w:rsidTr="00C22AAE">
        <w:tc>
          <w:tcPr>
            <w:tcW w:w="1668" w:type="dxa"/>
          </w:tcPr>
          <w:p w:rsidR="0084684A" w:rsidRPr="00AA3608" w:rsidRDefault="0084684A" w:rsidP="0084684A">
            <w:pPr>
              <w:spacing w:before="120" w:after="120"/>
            </w:pPr>
            <w:r w:rsidRPr="00AA3608">
              <w:t xml:space="preserve">M&amp;E  </w:t>
            </w:r>
          </w:p>
        </w:tc>
        <w:tc>
          <w:tcPr>
            <w:tcW w:w="6520" w:type="dxa"/>
          </w:tcPr>
          <w:p w:rsidR="0084684A" w:rsidRPr="00AA3608" w:rsidRDefault="0084684A" w:rsidP="0084684A">
            <w:pPr>
              <w:spacing w:before="120" w:after="120"/>
            </w:pPr>
            <w:r w:rsidRPr="00AA3608">
              <w:t xml:space="preserve">Monitoring &amp; Evaluation </w:t>
            </w:r>
          </w:p>
        </w:tc>
      </w:tr>
      <w:tr w:rsidR="0084684A" w:rsidRPr="00AA3608" w:rsidTr="00C22AAE">
        <w:tc>
          <w:tcPr>
            <w:tcW w:w="1668" w:type="dxa"/>
          </w:tcPr>
          <w:p w:rsidR="0084684A" w:rsidRPr="00AA3608" w:rsidRDefault="0084684A" w:rsidP="0084684A">
            <w:pPr>
              <w:spacing w:before="120" w:after="120"/>
            </w:pPr>
            <w:r>
              <w:t>MDA</w:t>
            </w:r>
            <w:r w:rsidRPr="00AA3608">
              <w:t xml:space="preserve"> </w:t>
            </w:r>
          </w:p>
        </w:tc>
        <w:tc>
          <w:tcPr>
            <w:tcW w:w="6520" w:type="dxa"/>
          </w:tcPr>
          <w:p w:rsidR="0084684A" w:rsidRPr="00AA3608" w:rsidRDefault="0084684A" w:rsidP="0084684A">
            <w:pPr>
              <w:spacing w:before="120" w:after="120"/>
            </w:pPr>
            <w:r w:rsidRPr="00AA3608">
              <w:t>All Ministries , Department</w:t>
            </w:r>
            <w:r>
              <w:t>s &amp;</w:t>
            </w:r>
            <w:r w:rsidRPr="00AA3608">
              <w:t xml:space="preserve"> </w:t>
            </w:r>
            <w:r>
              <w:t xml:space="preserve"> A</w:t>
            </w:r>
            <w:r w:rsidRPr="00AA3608">
              <w:t xml:space="preserve">ll  Government Agencies  </w:t>
            </w:r>
          </w:p>
        </w:tc>
      </w:tr>
      <w:tr w:rsidR="0084684A" w:rsidRPr="00AA3608" w:rsidTr="00C22AAE">
        <w:tc>
          <w:tcPr>
            <w:tcW w:w="1668" w:type="dxa"/>
          </w:tcPr>
          <w:p w:rsidR="0084684A" w:rsidRPr="00AA3608" w:rsidRDefault="0084684A" w:rsidP="0084684A">
            <w:pPr>
              <w:spacing w:before="120" w:after="120"/>
            </w:pPr>
            <w:r w:rsidRPr="00AA3608">
              <w:t>NA</w:t>
            </w:r>
          </w:p>
        </w:tc>
        <w:tc>
          <w:tcPr>
            <w:tcW w:w="6520" w:type="dxa"/>
          </w:tcPr>
          <w:p w:rsidR="0084684A" w:rsidRPr="00AA3608" w:rsidRDefault="0084684A" w:rsidP="0084684A">
            <w:pPr>
              <w:spacing w:before="120" w:after="120"/>
            </w:pPr>
            <w:r w:rsidRPr="00AA3608">
              <w:t>National Agenda</w:t>
            </w:r>
          </w:p>
        </w:tc>
      </w:tr>
      <w:tr w:rsidR="0084684A" w:rsidRPr="00AA3608" w:rsidTr="00C22AAE">
        <w:tc>
          <w:tcPr>
            <w:tcW w:w="1668" w:type="dxa"/>
          </w:tcPr>
          <w:p w:rsidR="0084684A" w:rsidRPr="00AA3608" w:rsidRDefault="0084684A" w:rsidP="0084684A">
            <w:pPr>
              <w:spacing w:before="120" w:after="120"/>
            </w:pPr>
            <w:r w:rsidRPr="00AA3608">
              <w:t>PPP’s</w:t>
            </w:r>
          </w:p>
        </w:tc>
        <w:tc>
          <w:tcPr>
            <w:tcW w:w="6520" w:type="dxa"/>
          </w:tcPr>
          <w:p w:rsidR="0084684A" w:rsidRPr="00AA3608" w:rsidRDefault="0084684A" w:rsidP="0084684A">
            <w:pPr>
              <w:spacing w:before="120" w:after="120"/>
            </w:pPr>
            <w:r w:rsidRPr="00AA3608">
              <w:t>Public Private Partnerships</w:t>
            </w:r>
          </w:p>
        </w:tc>
      </w:tr>
      <w:tr w:rsidR="0084684A" w:rsidRPr="00AA3608" w:rsidTr="00C22AAE">
        <w:tc>
          <w:tcPr>
            <w:tcW w:w="1668" w:type="dxa"/>
          </w:tcPr>
          <w:p w:rsidR="0084684A" w:rsidRPr="00AA3608" w:rsidRDefault="0084684A" w:rsidP="0084684A">
            <w:pPr>
              <w:spacing w:before="120" w:after="120"/>
            </w:pPr>
            <w:r>
              <w:t>PSRD</w:t>
            </w:r>
          </w:p>
        </w:tc>
        <w:tc>
          <w:tcPr>
            <w:tcW w:w="6520" w:type="dxa"/>
          </w:tcPr>
          <w:p w:rsidR="0084684A" w:rsidRPr="00AA3608" w:rsidRDefault="0084684A" w:rsidP="0084684A">
            <w:pPr>
              <w:spacing w:before="120" w:after="120"/>
            </w:pPr>
            <w:r w:rsidRPr="00100AF5">
              <w:t>Public Sector Reform Directorate</w:t>
            </w:r>
          </w:p>
        </w:tc>
      </w:tr>
      <w:tr w:rsidR="0084684A" w:rsidRPr="00AA3608" w:rsidTr="00C22AAE">
        <w:tc>
          <w:tcPr>
            <w:tcW w:w="1668" w:type="dxa"/>
          </w:tcPr>
          <w:p w:rsidR="0084684A" w:rsidRPr="00AA3608" w:rsidRDefault="0084684A" w:rsidP="0084684A">
            <w:pPr>
              <w:spacing w:before="120" w:after="120"/>
            </w:pPr>
            <w:r>
              <w:t>SC</w:t>
            </w:r>
          </w:p>
        </w:tc>
        <w:tc>
          <w:tcPr>
            <w:tcW w:w="6520" w:type="dxa"/>
          </w:tcPr>
          <w:p w:rsidR="0084684A" w:rsidRPr="00AA3608" w:rsidRDefault="0084684A" w:rsidP="0084684A">
            <w:pPr>
              <w:spacing w:before="120" w:after="120"/>
            </w:pPr>
            <w:r>
              <w:t>Steering Committee</w:t>
            </w:r>
          </w:p>
        </w:tc>
      </w:tr>
      <w:tr w:rsidR="0084684A" w:rsidRPr="00AA3608" w:rsidTr="00C22AAE">
        <w:tc>
          <w:tcPr>
            <w:tcW w:w="1668" w:type="dxa"/>
          </w:tcPr>
          <w:p w:rsidR="0084684A" w:rsidRPr="00AA3608" w:rsidRDefault="0084684A" w:rsidP="0084684A">
            <w:pPr>
              <w:spacing w:before="120" w:after="120"/>
            </w:pPr>
            <w:r w:rsidRPr="00AA3608">
              <w:t>SG</w:t>
            </w:r>
          </w:p>
        </w:tc>
        <w:tc>
          <w:tcPr>
            <w:tcW w:w="6520" w:type="dxa"/>
          </w:tcPr>
          <w:p w:rsidR="0084684A" w:rsidRPr="00AA3608" w:rsidRDefault="0084684A" w:rsidP="0084684A">
            <w:pPr>
              <w:spacing w:before="120" w:after="120"/>
            </w:pPr>
            <w:r w:rsidRPr="00AA3608">
              <w:t xml:space="preserve">Secretary General </w:t>
            </w:r>
          </w:p>
        </w:tc>
      </w:tr>
      <w:tr w:rsidR="0084684A" w:rsidRPr="00AA3608" w:rsidTr="00C22AAE">
        <w:tc>
          <w:tcPr>
            <w:tcW w:w="1668" w:type="dxa"/>
          </w:tcPr>
          <w:p w:rsidR="0084684A" w:rsidRPr="00AA3608" w:rsidRDefault="0084684A" w:rsidP="0084684A">
            <w:pPr>
              <w:spacing w:before="120" w:after="120"/>
            </w:pPr>
            <w:r w:rsidRPr="00AA3608">
              <w:t>SDI</w:t>
            </w:r>
          </w:p>
        </w:tc>
        <w:tc>
          <w:tcPr>
            <w:tcW w:w="6520" w:type="dxa"/>
          </w:tcPr>
          <w:p w:rsidR="0084684A" w:rsidRPr="00AA3608" w:rsidRDefault="0084684A" w:rsidP="0084684A">
            <w:pPr>
              <w:spacing w:before="120" w:after="120"/>
            </w:pPr>
            <w:r w:rsidRPr="00AA3608">
              <w:t xml:space="preserve">Service Delivery Improvement Unit </w:t>
            </w:r>
          </w:p>
        </w:tc>
      </w:tr>
      <w:tr w:rsidR="0084684A" w:rsidRPr="00AA3608" w:rsidTr="00C22AAE">
        <w:tc>
          <w:tcPr>
            <w:tcW w:w="1668" w:type="dxa"/>
          </w:tcPr>
          <w:p w:rsidR="0084684A" w:rsidRPr="00AA3608" w:rsidRDefault="0084684A" w:rsidP="0084684A">
            <w:pPr>
              <w:spacing w:before="120" w:after="120"/>
            </w:pPr>
            <w:r w:rsidRPr="00AA3608">
              <w:t>UNDP</w:t>
            </w:r>
          </w:p>
        </w:tc>
        <w:tc>
          <w:tcPr>
            <w:tcW w:w="6520" w:type="dxa"/>
          </w:tcPr>
          <w:p w:rsidR="0084684A" w:rsidRPr="00AA3608" w:rsidRDefault="0084684A" w:rsidP="0084684A">
            <w:pPr>
              <w:spacing w:before="120" w:after="120"/>
            </w:pPr>
            <w:r w:rsidRPr="00AA3608">
              <w:t>Uni</w:t>
            </w:r>
            <w:r>
              <w:t>ted Nations Development Program</w:t>
            </w:r>
            <w:r w:rsidRPr="00AA3608">
              <w:t xml:space="preserve"> </w:t>
            </w:r>
          </w:p>
        </w:tc>
      </w:tr>
      <w:tr w:rsidR="0084684A" w:rsidRPr="00AA3608" w:rsidTr="00C22AAE">
        <w:tc>
          <w:tcPr>
            <w:tcW w:w="1668" w:type="dxa"/>
          </w:tcPr>
          <w:p w:rsidR="0084684A" w:rsidRPr="00AA3608" w:rsidRDefault="0084684A" w:rsidP="0084684A">
            <w:pPr>
              <w:spacing w:before="120" w:after="120"/>
            </w:pPr>
            <w:r w:rsidRPr="00AA3608">
              <w:t>USAID</w:t>
            </w:r>
          </w:p>
        </w:tc>
        <w:tc>
          <w:tcPr>
            <w:tcW w:w="6520" w:type="dxa"/>
          </w:tcPr>
          <w:p w:rsidR="0084684A" w:rsidRPr="00AA3608" w:rsidRDefault="0084684A" w:rsidP="0084684A">
            <w:pPr>
              <w:spacing w:before="120" w:after="120"/>
            </w:pPr>
            <w:r w:rsidRPr="00AA3608">
              <w:t>United States Agency for International Development</w:t>
            </w:r>
          </w:p>
        </w:tc>
      </w:tr>
      <w:tr w:rsidR="0084684A" w:rsidRPr="00AA3608" w:rsidTr="00C22AAE">
        <w:tc>
          <w:tcPr>
            <w:tcW w:w="1668" w:type="dxa"/>
          </w:tcPr>
          <w:p w:rsidR="0084684A" w:rsidRPr="00AA3608" w:rsidRDefault="0084684A" w:rsidP="0084684A">
            <w:pPr>
              <w:spacing w:before="120" w:after="120"/>
            </w:pPr>
            <w:r>
              <w:t>WB</w:t>
            </w:r>
          </w:p>
        </w:tc>
        <w:tc>
          <w:tcPr>
            <w:tcW w:w="6520" w:type="dxa"/>
          </w:tcPr>
          <w:p w:rsidR="0084684A" w:rsidRPr="00AA3608" w:rsidRDefault="0084684A" w:rsidP="0084684A">
            <w:pPr>
              <w:spacing w:before="120" w:after="120"/>
            </w:pPr>
            <w:r>
              <w:t>World Bank</w:t>
            </w:r>
          </w:p>
        </w:tc>
      </w:tr>
    </w:tbl>
    <w:p w:rsidR="005B40CC" w:rsidRPr="00100AF5" w:rsidRDefault="005B40CC" w:rsidP="005B40CC">
      <w:pPr>
        <w:rPr>
          <w:rFonts w:eastAsiaTheme="majorEastAsia" w:cstheme="majorBidi"/>
          <w:sz w:val="26"/>
          <w:szCs w:val="28"/>
        </w:rPr>
      </w:pPr>
      <w:r w:rsidRPr="00100AF5">
        <w:br w:type="page"/>
      </w:r>
    </w:p>
    <w:p w:rsidR="005B40CC" w:rsidRPr="00100AF5" w:rsidRDefault="005B40CC" w:rsidP="00CD7605">
      <w:pPr>
        <w:pStyle w:val="Heading1"/>
      </w:pPr>
      <w:bookmarkStart w:id="3" w:name="_Toc273263616"/>
      <w:bookmarkStart w:id="4" w:name="_Toc276461220"/>
      <w:r w:rsidRPr="00100AF5">
        <w:lastRenderedPageBreak/>
        <w:t>Executive Summary</w:t>
      </w:r>
      <w:bookmarkEnd w:id="3"/>
      <w:bookmarkEnd w:id="4"/>
    </w:p>
    <w:p w:rsidR="007B3B4E" w:rsidRDefault="007B3B4E" w:rsidP="005B40CC"/>
    <w:p w:rsidR="007B3B4E" w:rsidRDefault="007B3B4E" w:rsidP="007B3B4E">
      <w:pPr>
        <w:rPr>
          <w:i/>
          <w:sz w:val="20"/>
          <w:szCs w:val="20"/>
        </w:rPr>
        <w:sectPr w:rsidR="007B3B4E" w:rsidSect="00C364E0">
          <w:pgSz w:w="12240" w:h="15840"/>
          <w:pgMar w:top="1440" w:right="1440" w:bottom="1440" w:left="1440" w:header="720" w:footer="720" w:gutter="0"/>
          <w:cols w:space="720"/>
          <w:docGrid w:linePitch="360"/>
        </w:sectPr>
      </w:pPr>
    </w:p>
    <w:p w:rsidR="007B3B4E" w:rsidRPr="00100AF5" w:rsidRDefault="007B3B4E" w:rsidP="007B3B4E">
      <w:r w:rsidRPr="00D62022">
        <w:rPr>
          <w:i/>
          <w:sz w:val="20"/>
          <w:szCs w:val="20"/>
        </w:rPr>
        <w:lastRenderedPageBreak/>
        <w:t>Public Sector Reform Directorate (PRSD) to implement the Service Delivery Improvement System (SDIS) In Jordan”</w:t>
      </w:r>
      <w:r w:rsidRPr="00D62022">
        <w:rPr>
          <w:sz w:val="20"/>
          <w:szCs w:val="20"/>
        </w:rPr>
        <w:t xml:space="preserve"> (JOR/050003, hereinafter the Project) was designed in early 2005. </w:t>
      </w:r>
      <w:r>
        <w:rPr>
          <w:sz w:val="20"/>
          <w:szCs w:val="20"/>
        </w:rPr>
        <w:t>The purpose of the evaluation i</w:t>
      </w:r>
      <w:r w:rsidRPr="00D62022">
        <w:rPr>
          <w:sz w:val="20"/>
          <w:szCs w:val="20"/>
        </w:rPr>
        <w:t>s to provide the UNDP with key findings and lessons learnt from its co-operation in the framework of the Project, including the extent to which the UNDP support has contributed to progress made towards the Jordanian Public Sector Reform (PSR) objectives, and to provide a valuable aid for future programming.</w:t>
      </w:r>
      <w:r w:rsidRPr="00100AF5">
        <w:t xml:space="preserve"> </w:t>
      </w:r>
    </w:p>
    <w:p w:rsidR="007B3B4E" w:rsidRPr="00D62022" w:rsidRDefault="007B3B4E" w:rsidP="007B3B4E">
      <w:pPr>
        <w:pStyle w:val="Heading2"/>
        <w:numPr>
          <w:ilvl w:val="0"/>
          <w:numId w:val="0"/>
        </w:numPr>
        <w:spacing w:before="120" w:after="120"/>
        <w:ind w:left="576" w:hanging="576"/>
        <w:rPr>
          <w:sz w:val="20"/>
          <w:szCs w:val="20"/>
        </w:rPr>
      </w:pPr>
      <w:bookmarkStart w:id="5" w:name="_Toc276461221"/>
      <w:r w:rsidRPr="00D62022">
        <w:rPr>
          <w:sz w:val="20"/>
          <w:szCs w:val="20"/>
        </w:rPr>
        <w:t>Project management</w:t>
      </w:r>
      <w:bookmarkEnd w:id="5"/>
    </w:p>
    <w:p w:rsidR="007B3B4E" w:rsidRPr="00D62022" w:rsidRDefault="007B3B4E" w:rsidP="007B3B4E">
      <w:pPr>
        <w:rPr>
          <w:sz w:val="20"/>
          <w:szCs w:val="20"/>
        </w:rPr>
      </w:pPr>
      <w:r>
        <w:rPr>
          <w:sz w:val="20"/>
          <w:szCs w:val="20"/>
        </w:rPr>
        <w:t>M</w:t>
      </w:r>
      <w:r w:rsidRPr="00D62022">
        <w:rPr>
          <w:sz w:val="20"/>
          <w:szCs w:val="20"/>
        </w:rPr>
        <w:t xml:space="preserve">anagement and reporting indications set out in the project documents were not appropriately implemented. Absence of key stakeholders in the </w:t>
      </w:r>
      <w:r w:rsidR="00C15D58">
        <w:rPr>
          <w:sz w:val="20"/>
          <w:szCs w:val="20"/>
        </w:rPr>
        <w:t>Steering Committee (</w:t>
      </w:r>
      <w:r w:rsidRPr="00D62022">
        <w:rPr>
          <w:sz w:val="20"/>
          <w:szCs w:val="20"/>
        </w:rPr>
        <w:t>SC</w:t>
      </w:r>
      <w:r w:rsidR="00C15D58">
        <w:rPr>
          <w:sz w:val="20"/>
          <w:szCs w:val="20"/>
        </w:rPr>
        <w:t>)</w:t>
      </w:r>
      <w:r w:rsidRPr="00D62022">
        <w:rPr>
          <w:sz w:val="20"/>
          <w:szCs w:val="20"/>
        </w:rPr>
        <w:t>, lack of regularity in SC meetings, deficiencies in reporting, lack of adequate communication mechanisms with relevant and involved staff, absence of a shared and appropriate filing system brought about insufficient information about the Project among relevant stakeholders and did not allow for adequate implementation, revision and monitoring of its activities.</w:t>
      </w:r>
    </w:p>
    <w:p w:rsidR="007B3B4E" w:rsidRDefault="007B3B4E" w:rsidP="007B3B4E">
      <w:pPr>
        <w:rPr>
          <w:b/>
          <w:sz w:val="20"/>
          <w:szCs w:val="20"/>
        </w:rPr>
      </w:pPr>
      <w:r w:rsidRPr="00D62022">
        <w:rPr>
          <w:b/>
          <w:sz w:val="20"/>
          <w:szCs w:val="20"/>
        </w:rPr>
        <w:t>Project design</w:t>
      </w:r>
    </w:p>
    <w:p w:rsidR="007B3B4E" w:rsidRPr="006052F5" w:rsidRDefault="007B3B4E" w:rsidP="007B3B4E">
      <w:pPr>
        <w:spacing w:after="120"/>
        <w:rPr>
          <w:sz w:val="20"/>
          <w:szCs w:val="20"/>
        </w:rPr>
      </w:pPr>
      <w:r w:rsidRPr="006052F5">
        <w:rPr>
          <w:sz w:val="20"/>
          <w:szCs w:val="20"/>
        </w:rPr>
        <w:t xml:space="preserve">The focus of the Project on service delivery was probably an appropriate choice, although not supported by adequate justifications. A risk was the absence of a regulatory framework for service delivery at that time. </w:t>
      </w:r>
    </w:p>
    <w:p w:rsidR="007B3B4E" w:rsidRPr="006052F5" w:rsidRDefault="007B3B4E" w:rsidP="007B3B4E">
      <w:pPr>
        <w:spacing w:after="120"/>
        <w:rPr>
          <w:sz w:val="20"/>
          <w:szCs w:val="20"/>
        </w:rPr>
      </w:pPr>
      <w:r w:rsidRPr="006052F5">
        <w:rPr>
          <w:sz w:val="20"/>
          <w:szCs w:val="20"/>
        </w:rPr>
        <w:t xml:space="preserve">The level of analysis was in general poor. No stakeholders’ analysis was carried out. Also, the context as not examined through a cause effect relationship. This negatively impacted on the overall structure of the Project and on its implementation. </w:t>
      </w:r>
    </w:p>
    <w:p w:rsidR="007B3B4E" w:rsidRPr="00D62022" w:rsidRDefault="007B3B4E" w:rsidP="007B3B4E">
      <w:pPr>
        <w:pStyle w:val="Heading2"/>
        <w:numPr>
          <w:ilvl w:val="0"/>
          <w:numId w:val="0"/>
        </w:numPr>
        <w:spacing w:before="120" w:after="120"/>
        <w:ind w:left="576" w:hanging="576"/>
        <w:rPr>
          <w:sz w:val="20"/>
          <w:szCs w:val="20"/>
        </w:rPr>
      </w:pPr>
      <w:bookmarkStart w:id="6" w:name="_Toc276461222"/>
      <w:r w:rsidRPr="00D62022">
        <w:rPr>
          <w:sz w:val="20"/>
          <w:szCs w:val="20"/>
        </w:rPr>
        <w:t>Relevance and appropriateness</w:t>
      </w:r>
      <w:bookmarkEnd w:id="6"/>
    </w:p>
    <w:p w:rsidR="007B3B4E" w:rsidRPr="00D62022" w:rsidRDefault="007B3B4E" w:rsidP="007B3B4E">
      <w:pPr>
        <w:rPr>
          <w:sz w:val="20"/>
          <w:szCs w:val="20"/>
        </w:rPr>
      </w:pPr>
      <w:r w:rsidRPr="00D62022">
        <w:rPr>
          <w:sz w:val="20"/>
          <w:szCs w:val="20"/>
        </w:rPr>
        <w:t xml:space="preserve">The project was appropriate at that moment and suitable to what were the </w:t>
      </w:r>
      <w:proofErr w:type="spellStart"/>
      <w:r w:rsidRPr="00D62022">
        <w:rPr>
          <w:sz w:val="20"/>
          <w:szCs w:val="20"/>
        </w:rPr>
        <w:t>GoJ</w:t>
      </w:r>
      <w:proofErr w:type="spellEnd"/>
      <w:r w:rsidRPr="00D62022">
        <w:rPr>
          <w:sz w:val="20"/>
          <w:szCs w:val="20"/>
        </w:rPr>
        <w:t xml:space="preserve"> in the field of public sector development. However, Government instability and continuous delays in the public sector reform process have partially hampered the achievement of results. </w:t>
      </w:r>
    </w:p>
    <w:p w:rsidR="007B3B4E" w:rsidRPr="00D62022" w:rsidRDefault="007B3B4E" w:rsidP="007B3B4E">
      <w:pPr>
        <w:rPr>
          <w:sz w:val="20"/>
          <w:szCs w:val="20"/>
        </w:rPr>
      </w:pPr>
      <w:r w:rsidRPr="00D62022">
        <w:rPr>
          <w:sz w:val="20"/>
          <w:szCs w:val="20"/>
        </w:rPr>
        <w:t>On the UNDP side, the project was highly relevant and responded appropriately to the development agenda set out in UNDP’s country strategies and in its overall priorities.</w:t>
      </w:r>
    </w:p>
    <w:p w:rsidR="007B3B4E" w:rsidRPr="00D62022" w:rsidRDefault="007B3B4E" w:rsidP="007B3B4E">
      <w:pPr>
        <w:rPr>
          <w:sz w:val="20"/>
          <w:szCs w:val="20"/>
        </w:rPr>
      </w:pPr>
      <w:r w:rsidRPr="00D62022">
        <w:rPr>
          <w:sz w:val="20"/>
          <w:szCs w:val="20"/>
        </w:rPr>
        <w:t>The obstacles described above might perhaps have been minimized if the project had taken into consideration the absence of a proper legislative framework and of properly endorsed and agreed upon national strategies.</w:t>
      </w:r>
    </w:p>
    <w:p w:rsidR="007B3B4E" w:rsidRPr="00D62022" w:rsidRDefault="007B3B4E" w:rsidP="007B3B4E">
      <w:pPr>
        <w:pStyle w:val="Heading2"/>
        <w:numPr>
          <w:ilvl w:val="0"/>
          <w:numId w:val="0"/>
        </w:numPr>
        <w:spacing w:before="120" w:after="120"/>
        <w:ind w:left="576" w:hanging="576"/>
        <w:rPr>
          <w:sz w:val="20"/>
          <w:szCs w:val="20"/>
        </w:rPr>
      </w:pPr>
      <w:bookmarkStart w:id="7" w:name="_Toc276461223"/>
      <w:r w:rsidRPr="00D62022">
        <w:rPr>
          <w:sz w:val="20"/>
          <w:szCs w:val="20"/>
        </w:rPr>
        <w:t>Effectiveness and efficiency</w:t>
      </w:r>
      <w:bookmarkEnd w:id="7"/>
    </w:p>
    <w:p w:rsidR="007B3B4E" w:rsidRPr="00D62022" w:rsidRDefault="007B3B4E" w:rsidP="007B3B4E">
      <w:pPr>
        <w:rPr>
          <w:sz w:val="20"/>
          <w:szCs w:val="20"/>
        </w:rPr>
      </w:pPr>
      <w:r w:rsidRPr="00D62022">
        <w:rPr>
          <w:sz w:val="20"/>
          <w:szCs w:val="20"/>
        </w:rPr>
        <w:t xml:space="preserve">Effectiveness was mainly hindered by changes in strategic directions of the </w:t>
      </w:r>
      <w:proofErr w:type="spellStart"/>
      <w:r w:rsidRPr="00D62022">
        <w:rPr>
          <w:sz w:val="20"/>
          <w:szCs w:val="20"/>
        </w:rPr>
        <w:t>GoJ</w:t>
      </w:r>
      <w:proofErr w:type="spellEnd"/>
      <w:r w:rsidRPr="00D62022">
        <w:rPr>
          <w:sz w:val="20"/>
          <w:szCs w:val="20"/>
        </w:rPr>
        <w:t xml:space="preserve"> and </w:t>
      </w:r>
      <w:proofErr w:type="spellStart"/>
      <w:r w:rsidRPr="00D62022">
        <w:rPr>
          <w:sz w:val="20"/>
          <w:szCs w:val="20"/>
        </w:rPr>
        <w:t>MoPSD</w:t>
      </w:r>
      <w:proofErr w:type="spellEnd"/>
      <w:r w:rsidRPr="00D62022">
        <w:rPr>
          <w:sz w:val="20"/>
          <w:szCs w:val="20"/>
        </w:rPr>
        <w:t xml:space="preserve">. Capacity building and training might have been more effective if logically structured, i.e. firstly implemented at </w:t>
      </w:r>
      <w:proofErr w:type="spellStart"/>
      <w:r w:rsidRPr="00D62022">
        <w:rPr>
          <w:sz w:val="20"/>
          <w:szCs w:val="20"/>
        </w:rPr>
        <w:t>MoPSD</w:t>
      </w:r>
      <w:proofErr w:type="spellEnd"/>
      <w:r w:rsidRPr="00D62022">
        <w:rPr>
          <w:sz w:val="20"/>
          <w:szCs w:val="20"/>
        </w:rPr>
        <w:t xml:space="preserve"> staff level and only subsequently carried out in other MDAs. The preparation of a service delivery strategy was not implemented directly through the Project, nor was a proper M&amp;E mechanism put in place. Efficiency was medium, with delays in decision making, implementation of foreseen activities and to limited extent payments.</w:t>
      </w:r>
    </w:p>
    <w:p w:rsidR="007B3B4E" w:rsidRPr="00D62022" w:rsidRDefault="007B3B4E" w:rsidP="007B3B4E">
      <w:pPr>
        <w:pStyle w:val="Heading2"/>
        <w:numPr>
          <w:ilvl w:val="0"/>
          <w:numId w:val="0"/>
        </w:numPr>
        <w:spacing w:before="120" w:after="120"/>
        <w:ind w:left="576" w:hanging="576"/>
        <w:rPr>
          <w:sz w:val="20"/>
          <w:szCs w:val="20"/>
        </w:rPr>
      </w:pPr>
      <w:bookmarkStart w:id="8" w:name="_Toc276461224"/>
      <w:r w:rsidRPr="00D62022">
        <w:rPr>
          <w:sz w:val="20"/>
          <w:szCs w:val="20"/>
        </w:rPr>
        <w:t>Impact and sustainability</w:t>
      </w:r>
      <w:bookmarkEnd w:id="8"/>
    </w:p>
    <w:p w:rsidR="007B3B4E" w:rsidRPr="00D62022" w:rsidRDefault="007B3B4E" w:rsidP="007B3B4E">
      <w:pPr>
        <w:spacing w:before="0"/>
        <w:rPr>
          <w:sz w:val="20"/>
          <w:szCs w:val="20"/>
        </w:rPr>
      </w:pPr>
      <w:r w:rsidRPr="00D62022">
        <w:rPr>
          <w:sz w:val="20"/>
          <w:szCs w:val="20"/>
        </w:rPr>
        <w:t>Impact was in general hindered by several factors. Activities were scattered and did not follow an internal logic. Moreover, t</w:t>
      </w:r>
      <w:r w:rsidRPr="00D62022">
        <w:rPr>
          <w:color w:val="000000"/>
          <w:sz w:val="20"/>
          <w:szCs w:val="20"/>
        </w:rPr>
        <w:t xml:space="preserve">he role of </w:t>
      </w:r>
      <w:proofErr w:type="spellStart"/>
      <w:r w:rsidRPr="00D62022">
        <w:rPr>
          <w:color w:val="000000"/>
          <w:sz w:val="20"/>
          <w:szCs w:val="20"/>
        </w:rPr>
        <w:t>MoPSD</w:t>
      </w:r>
      <w:proofErr w:type="spellEnd"/>
      <w:r w:rsidRPr="00D62022">
        <w:rPr>
          <w:color w:val="000000"/>
          <w:sz w:val="20"/>
          <w:szCs w:val="20"/>
        </w:rPr>
        <w:t xml:space="preserve"> in enhancing service delivery – implemented in the Project through dissemination of the Toolkit – must be further strengthened; </w:t>
      </w:r>
      <w:r w:rsidRPr="004821D1">
        <w:rPr>
          <w:color w:val="000000"/>
          <w:sz w:val="20"/>
          <w:szCs w:val="20"/>
        </w:rPr>
        <w:t>the Ministry should receive a clear mandate from the Prime Ministry and this should be endorsed by the Cabinet</w:t>
      </w:r>
      <w:r w:rsidR="004A2127">
        <w:rPr>
          <w:color w:val="000000"/>
          <w:sz w:val="20"/>
          <w:szCs w:val="20"/>
        </w:rPr>
        <w:t xml:space="preserve">. </w:t>
      </w:r>
      <w:r w:rsidR="004A2127">
        <w:rPr>
          <w:sz w:val="20"/>
          <w:szCs w:val="20"/>
        </w:rPr>
        <w:t>It</w:t>
      </w:r>
      <w:r w:rsidRPr="00D62022">
        <w:rPr>
          <w:sz w:val="20"/>
          <w:szCs w:val="20"/>
        </w:rPr>
        <w:t xml:space="preserve"> is not clear whether the central level (PRSD, GPD) were involved in the Project preparation, shared its general concept and agreed on objectives and methodology.</w:t>
      </w:r>
      <w:r w:rsidRPr="00D62022">
        <w:rPr>
          <w:b/>
          <w:sz w:val="20"/>
          <w:szCs w:val="20"/>
        </w:rPr>
        <w:t xml:space="preserve"> </w:t>
      </w:r>
      <w:r w:rsidRPr="00D62022">
        <w:rPr>
          <w:sz w:val="20"/>
          <w:szCs w:val="20"/>
        </w:rPr>
        <w:t xml:space="preserve">As for service delivery, it seems that not all relevant Ministries are fully aware of the role of the customer orientation concept in service delivery and its potential to improve citizens’ lives.. The level of involvement of them is still not an institutionalised process, following clear patterns and protocols, </w:t>
      </w:r>
      <w:r w:rsidRPr="00D62022">
        <w:rPr>
          <w:sz w:val="20"/>
          <w:szCs w:val="20"/>
          <w:shd w:val="clear" w:color="auto" w:fill="FFFFFF"/>
        </w:rPr>
        <w:t>but</w:t>
      </w:r>
      <w:r w:rsidRPr="00D62022">
        <w:rPr>
          <w:sz w:val="20"/>
          <w:szCs w:val="20"/>
        </w:rPr>
        <w:t xml:space="preserve"> it is rather left to the initiative and good will of the single agency.</w:t>
      </w:r>
    </w:p>
    <w:p w:rsidR="007B3B4E" w:rsidRPr="00D62022" w:rsidRDefault="007B3B4E" w:rsidP="007B3B4E">
      <w:pPr>
        <w:spacing w:before="0"/>
        <w:rPr>
          <w:sz w:val="20"/>
          <w:szCs w:val="20"/>
        </w:rPr>
      </w:pPr>
      <w:r w:rsidRPr="00D62022">
        <w:rPr>
          <w:sz w:val="20"/>
          <w:szCs w:val="20"/>
        </w:rPr>
        <w:t xml:space="preserve">Sustainability is made difficult by the scattered character of training, lack of institutional memory due to high staff turnover, lack of training material, scarce communication between the project management and the staff of </w:t>
      </w:r>
      <w:proofErr w:type="spellStart"/>
      <w:r w:rsidRPr="00D62022">
        <w:rPr>
          <w:sz w:val="20"/>
          <w:szCs w:val="20"/>
        </w:rPr>
        <w:t>MoPSD</w:t>
      </w:r>
      <w:proofErr w:type="spellEnd"/>
      <w:r w:rsidRPr="00D62022">
        <w:rPr>
          <w:sz w:val="20"/>
          <w:szCs w:val="20"/>
        </w:rPr>
        <w:t>.</w:t>
      </w:r>
    </w:p>
    <w:p w:rsidR="007B3B4E" w:rsidRPr="00D62022" w:rsidRDefault="007B3B4E" w:rsidP="007B3B4E">
      <w:pPr>
        <w:rPr>
          <w:b/>
          <w:sz w:val="20"/>
          <w:szCs w:val="20"/>
        </w:rPr>
      </w:pPr>
      <w:r w:rsidRPr="00D62022">
        <w:rPr>
          <w:b/>
          <w:sz w:val="20"/>
          <w:szCs w:val="20"/>
        </w:rPr>
        <w:t>Coherence</w:t>
      </w:r>
    </w:p>
    <w:p w:rsidR="007B3B4E" w:rsidRPr="00D62022" w:rsidRDefault="007B3B4E" w:rsidP="007B3B4E">
      <w:pPr>
        <w:spacing w:after="120"/>
        <w:rPr>
          <w:rFonts w:eastAsiaTheme="minorHAnsi"/>
          <w:sz w:val="20"/>
          <w:szCs w:val="20"/>
        </w:rPr>
      </w:pPr>
      <w:r w:rsidRPr="00D62022">
        <w:rPr>
          <w:rFonts w:eastAsiaTheme="minorHAnsi"/>
          <w:sz w:val="20"/>
          <w:szCs w:val="20"/>
        </w:rPr>
        <w:lastRenderedPageBreak/>
        <w:t xml:space="preserve">Jordan approved the Paris Declaration on Aid Effectiveness, and the first Survey on Monitoring the Paris Declaration took place in 2008. </w:t>
      </w:r>
    </w:p>
    <w:p w:rsidR="007B3B4E" w:rsidRPr="00D62022" w:rsidRDefault="007B3B4E" w:rsidP="00C22AAE">
      <w:pPr>
        <w:spacing w:after="120"/>
        <w:rPr>
          <w:sz w:val="20"/>
          <w:szCs w:val="20"/>
        </w:rPr>
      </w:pPr>
      <w:r w:rsidRPr="00D62022">
        <w:rPr>
          <w:sz w:val="20"/>
          <w:szCs w:val="20"/>
        </w:rPr>
        <w:t xml:space="preserve">Mutual reinforcement implies in general a high degree of coordination, both among UNDP funded projects and with other donors. Donors’ coordination is in Jordan an issue to be addressed. MoPIC is in charge of ensuring coordination; however, there aren’t yet regular mechanisms to concretely address this issue. The Paris </w:t>
      </w:r>
      <w:r w:rsidR="00C22AAE">
        <w:rPr>
          <w:sz w:val="20"/>
          <w:szCs w:val="20"/>
        </w:rPr>
        <w:t>D</w:t>
      </w:r>
      <w:r w:rsidR="00C22AAE" w:rsidRPr="00D62022">
        <w:rPr>
          <w:sz w:val="20"/>
          <w:szCs w:val="20"/>
        </w:rPr>
        <w:t xml:space="preserve">eclaration </w:t>
      </w:r>
      <w:r w:rsidRPr="00D62022">
        <w:rPr>
          <w:sz w:val="20"/>
          <w:szCs w:val="20"/>
        </w:rPr>
        <w:t xml:space="preserve">on Aid Effectiveness stressed the need for linking donors’ interventions to concrete, approved, shared and </w:t>
      </w:r>
      <w:proofErr w:type="spellStart"/>
      <w:r w:rsidRPr="00D62022">
        <w:rPr>
          <w:sz w:val="20"/>
          <w:szCs w:val="20"/>
          <w:u w:val="single"/>
        </w:rPr>
        <w:t>ongoing</w:t>
      </w:r>
      <w:proofErr w:type="spellEnd"/>
      <w:r w:rsidRPr="00D62022">
        <w:rPr>
          <w:sz w:val="20"/>
          <w:szCs w:val="20"/>
        </w:rPr>
        <w:t xml:space="preserve"> national plans and strategies.. In view of the recent developments of </w:t>
      </w:r>
      <w:proofErr w:type="spellStart"/>
      <w:r w:rsidRPr="00D62022">
        <w:rPr>
          <w:sz w:val="20"/>
          <w:szCs w:val="20"/>
        </w:rPr>
        <w:t>MoPSD</w:t>
      </w:r>
      <w:proofErr w:type="spellEnd"/>
      <w:r w:rsidRPr="00D62022">
        <w:rPr>
          <w:sz w:val="20"/>
          <w:szCs w:val="20"/>
        </w:rPr>
        <w:t xml:space="preserve"> and its </w:t>
      </w:r>
      <w:proofErr w:type="spellStart"/>
      <w:r w:rsidRPr="00D62022">
        <w:rPr>
          <w:sz w:val="20"/>
          <w:szCs w:val="20"/>
        </w:rPr>
        <w:t>ongoing</w:t>
      </w:r>
      <w:proofErr w:type="spellEnd"/>
      <w:r w:rsidRPr="00D62022">
        <w:rPr>
          <w:sz w:val="20"/>
          <w:szCs w:val="20"/>
        </w:rPr>
        <w:t xml:space="preserve"> negotiations with other donors on support to public sector reform, it is highly advised that coordination be strengthened to avoid overlapping and to ensure harmonisation of funding interventions.</w:t>
      </w:r>
    </w:p>
    <w:p w:rsidR="007B3B4E" w:rsidRPr="00D62022" w:rsidRDefault="007B3B4E" w:rsidP="007B3B4E">
      <w:pPr>
        <w:spacing w:before="60" w:after="120" w:line="280" w:lineRule="atLeast"/>
        <w:rPr>
          <w:b/>
          <w:sz w:val="20"/>
          <w:szCs w:val="20"/>
        </w:rPr>
      </w:pPr>
      <w:r w:rsidRPr="00D62022">
        <w:rPr>
          <w:b/>
          <w:sz w:val="20"/>
          <w:szCs w:val="20"/>
        </w:rPr>
        <w:t>Cross-cutting issues</w:t>
      </w:r>
    </w:p>
    <w:p w:rsidR="007B3B4E" w:rsidRPr="00D62022" w:rsidRDefault="007B3B4E" w:rsidP="007B3B4E">
      <w:pPr>
        <w:rPr>
          <w:sz w:val="20"/>
          <w:szCs w:val="20"/>
          <w:lang w:eastAsia="zh-CN"/>
        </w:rPr>
      </w:pPr>
      <w:r w:rsidRPr="00D62022">
        <w:rPr>
          <w:sz w:val="20"/>
          <w:szCs w:val="20"/>
        </w:rPr>
        <w:t>Environmental sustainability is not addressed in the Project and environment issues were</w:t>
      </w:r>
      <w:r w:rsidRPr="00D62022">
        <w:rPr>
          <w:sz w:val="20"/>
          <w:szCs w:val="20"/>
          <w:lang w:eastAsia="zh-CN"/>
        </w:rPr>
        <w:t xml:space="preserve"> not scrutinised at all. </w:t>
      </w:r>
    </w:p>
    <w:p w:rsidR="007B3B4E" w:rsidRPr="00D62022" w:rsidRDefault="007B3B4E" w:rsidP="00C22AAE">
      <w:pPr>
        <w:rPr>
          <w:sz w:val="20"/>
          <w:szCs w:val="20"/>
        </w:rPr>
      </w:pPr>
      <w:r w:rsidRPr="00D62022">
        <w:rPr>
          <w:sz w:val="20"/>
          <w:szCs w:val="20"/>
          <w:lang w:eastAsia="zh-CN"/>
        </w:rPr>
        <w:t>Gender issues might also have taken into consideration in the selection of sub-projects, especially as far as service delivery is concerned, but this issue was not dealt with at all.</w:t>
      </w:r>
    </w:p>
    <w:p w:rsidR="007B3B4E" w:rsidRDefault="007B3B4E" w:rsidP="007B3B4E">
      <w:pPr>
        <w:spacing w:after="120"/>
        <w:jc w:val="left"/>
        <w:rPr>
          <w:sz w:val="20"/>
          <w:szCs w:val="20"/>
        </w:rPr>
      </w:pPr>
      <w:r w:rsidRPr="00D62022">
        <w:rPr>
          <w:sz w:val="20"/>
          <w:szCs w:val="20"/>
        </w:rPr>
        <w:t>A more specific approach to include these aspects into project implementation should have been carried out, and should have been carefully addressed by the Project Steering Committee</w:t>
      </w:r>
      <w:r>
        <w:rPr>
          <w:sz w:val="20"/>
          <w:szCs w:val="20"/>
        </w:rPr>
        <w:t>.</w:t>
      </w:r>
    </w:p>
    <w:p w:rsidR="00C22AAE" w:rsidRDefault="00C22AAE" w:rsidP="007B3B4E">
      <w:pPr>
        <w:spacing w:after="120"/>
        <w:jc w:val="left"/>
        <w:rPr>
          <w:sz w:val="20"/>
          <w:szCs w:val="20"/>
        </w:rPr>
      </w:pPr>
    </w:p>
    <w:p w:rsidR="007B3B4E" w:rsidRPr="00D62022" w:rsidRDefault="007B3B4E" w:rsidP="007B3B4E">
      <w:pPr>
        <w:spacing w:before="60" w:after="120" w:line="280" w:lineRule="atLeast"/>
        <w:rPr>
          <w:b/>
          <w:sz w:val="20"/>
          <w:szCs w:val="20"/>
        </w:rPr>
      </w:pPr>
    </w:p>
    <w:p w:rsidR="005B40CC" w:rsidRPr="00100AF5" w:rsidRDefault="005B40CC" w:rsidP="005B40CC">
      <w:pPr>
        <w:rPr>
          <w:rFonts w:eastAsiaTheme="majorEastAsia" w:cstheme="majorBidi"/>
          <w:sz w:val="26"/>
          <w:szCs w:val="28"/>
        </w:rPr>
      </w:pPr>
      <w:r w:rsidRPr="00100AF5">
        <w:br w:type="page"/>
      </w:r>
    </w:p>
    <w:p w:rsidR="005B40CC" w:rsidRPr="00100AF5" w:rsidRDefault="005B40CC" w:rsidP="00927949">
      <w:pPr>
        <w:pStyle w:val="Heading1"/>
        <w:spacing w:before="120" w:after="120"/>
      </w:pPr>
      <w:bookmarkStart w:id="9" w:name="_Toc273263617"/>
      <w:bookmarkStart w:id="10" w:name="_Toc276461225"/>
      <w:r w:rsidRPr="00100AF5">
        <w:lastRenderedPageBreak/>
        <w:t>Introduction: background and context of the programme</w:t>
      </w:r>
      <w:bookmarkEnd w:id="9"/>
      <w:bookmarkEnd w:id="10"/>
    </w:p>
    <w:p w:rsidR="00096C64" w:rsidRPr="00100AF5" w:rsidRDefault="00096C64" w:rsidP="00096C64">
      <w:pPr>
        <w:pStyle w:val="Heading2"/>
      </w:pPr>
      <w:bookmarkStart w:id="11" w:name="_Toc273263618"/>
      <w:bookmarkStart w:id="12" w:name="_Toc276461226"/>
      <w:r w:rsidRPr="00100AF5">
        <w:t>Context of the Project</w:t>
      </w:r>
      <w:bookmarkEnd w:id="11"/>
      <w:bookmarkEnd w:id="12"/>
    </w:p>
    <w:p w:rsidR="00B12BAB" w:rsidRPr="00100AF5" w:rsidRDefault="00B12BAB" w:rsidP="00927949">
      <w:r w:rsidRPr="00100AF5">
        <w:t xml:space="preserve">The need for a review and rethinking of national public sector policies and strategies was firstly recognized and clearly expressed by His Majesty the King Abdullah II, who in </w:t>
      </w:r>
      <w:r w:rsidR="00A00A99" w:rsidRPr="00100AF5">
        <w:t>this decade</w:t>
      </w:r>
      <w:r w:rsidRPr="00100AF5">
        <w:t xml:space="preserve"> embraced a comprehensive vision of Good Governance as a key factor to enhance the capabilities of the Jordanian Government (</w:t>
      </w:r>
      <w:proofErr w:type="spellStart"/>
      <w:r w:rsidRPr="00100AF5">
        <w:t>GoJ</w:t>
      </w:r>
      <w:proofErr w:type="spellEnd"/>
      <w:r w:rsidRPr="00100AF5">
        <w:t>) to deliver better services and improve citizens’ lives.</w:t>
      </w:r>
    </w:p>
    <w:p w:rsidR="00CB4E49" w:rsidRPr="00100AF5" w:rsidRDefault="00B12BAB" w:rsidP="00927949">
      <w:r w:rsidRPr="00100AF5">
        <w:t xml:space="preserve">Addressing public sector issues is one of the key goals of the United Nations Development Programme (UNDP). Through the Common Country Assessment exercise (CCA), it was decided that UNDP focus in the Governance sector should be on assisting the </w:t>
      </w:r>
      <w:proofErr w:type="spellStart"/>
      <w:r w:rsidRPr="00100AF5">
        <w:t>GoJ</w:t>
      </w:r>
      <w:proofErr w:type="spellEnd"/>
      <w:r w:rsidRPr="00100AF5">
        <w:t xml:space="preserve"> in its efforts to improve performances of the public sector.</w:t>
      </w:r>
    </w:p>
    <w:p w:rsidR="00B12BAB" w:rsidRPr="00100AF5" w:rsidRDefault="00B12BAB" w:rsidP="00927949">
      <w:r w:rsidRPr="00100AF5">
        <w:t xml:space="preserve">In line with this priority, the Project </w:t>
      </w:r>
      <w:r w:rsidRPr="00100AF5">
        <w:rPr>
          <w:i/>
        </w:rPr>
        <w:t>‘Support or Building the Capacity of the Public Sector Reform Directorate (PRSD) to implement the Service Delivery Improvement System (SDIS) In Jordan”</w:t>
      </w:r>
      <w:r w:rsidR="0098214A" w:rsidRPr="00100AF5">
        <w:t xml:space="preserve"> (JOR/050003</w:t>
      </w:r>
      <w:r w:rsidR="00CB4E49" w:rsidRPr="00100AF5">
        <w:t>, hereinafter the Project</w:t>
      </w:r>
      <w:r w:rsidR="0098214A" w:rsidRPr="00100AF5">
        <w:t>)</w:t>
      </w:r>
      <w:r w:rsidR="00CB4E49" w:rsidRPr="00100AF5">
        <w:t xml:space="preserve"> was designed in early 2005</w:t>
      </w:r>
      <w:r w:rsidR="0098214A" w:rsidRPr="00100AF5">
        <w:t>.</w:t>
      </w:r>
    </w:p>
    <w:p w:rsidR="00A23297" w:rsidRPr="00100AF5" w:rsidRDefault="00276FDC" w:rsidP="00927949">
      <w:r w:rsidRPr="00100AF5">
        <w:rPr>
          <w:rFonts w:cs="Simplified Arabic"/>
        </w:rPr>
        <w:t xml:space="preserve">On 3 July 2005, an agreement was signed between the Jordanian Government and </w:t>
      </w:r>
      <w:r w:rsidR="00A23297" w:rsidRPr="00100AF5">
        <w:rPr>
          <w:rFonts w:cs="Simplified Arabic"/>
        </w:rPr>
        <w:t xml:space="preserve">UNDP for </w:t>
      </w:r>
      <w:r w:rsidRPr="00100AF5">
        <w:rPr>
          <w:rFonts w:cs="Simplified Arabic"/>
        </w:rPr>
        <w:t xml:space="preserve"> a total</w:t>
      </w:r>
      <w:r w:rsidR="00A23297" w:rsidRPr="00100AF5">
        <w:rPr>
          <w:rFonts w:cs="Simplified Arabic"/>
        </w:rPr>
        <w:t xml:space="preserve"> amount </w:t>
      </w:r>
      <w:r w:rsidRPr="00100AF5">
        <w:rPr>
          <w:rFonts w:cs="Simplified Arabic"/>
        </w:rPr>
        <w:t>of 625, 550 USD, 425,550 USD of which were cost-sharing from the Jordanian Government.</w:t>
      </w:r>
      <w:r w:rsidR="00D25854" w:rsidRPr="00100AF5">
        <w:t xml:space="preserve"> The main beneficiary was at that time the Public Sector Reform Directorate under the Prime Ministry. </w:t>
      </w:r>
    </w:p>
    <w:p w:rsidR="005C7D79" w:rsidRPr="00100AF5" w:rsidRDefault="005C7D79" w:rsidP="005C7D79">
      <w:r w:rsidRPr="00100AF5">
        <w:t>In 200</w:t>
      </w:r>
      <w:r w:rsidR="00484EB9" w:rsidRPr="00100AF5">
        <w:t>6</w:t>
      </w:r>
      <w:r w:rsidRPr="00100AF5">
        <w:t xml:space="preserve"> the Ministry of Public Sector Development (</w:t>
      </w:r>
      <w:proofErr w:type="spellStart"/>
      <w:r w:rsidRPr="00100AF5">
        <w:t>MoPSD</w:t>
      </w:r>
      <w:proofErr w:type="spellEnd"/>
      <w:r w:rsidRPr="00100AF5">
        <w:t xml:space="preserve">) was established. Its role and functions are set in the </w:t>
      </w:r>
      <w:r w:rsidRPr="00100AF5">
        <w:rPr>
          <w:i/>
        </w:rPr>
        <w:t xml:space="preserve">Regulation no. (54) for the year 2007 </w:t>
      </w:r>
      <w:r w:rsidRPr="00100AF5">
        <w:rPr>
          <w:rFonts w:cs="Times New Roman"/>
          <w:i/>
        </w:rPr>
        <w:t xml:space="preserve">on </w:t>
      </w:r>
      <w:r w:rsidR="009425EE" w:rsidRPr="00100AF5">
        <w:rPr>
          <w:rFonts w:cs="Times New Roman"/>
          <w:i/>
        </w:rPr>
        <w:t>O</w:t>
      </w:r>
      <w:r w:rsidRPr="00100AF5">
        <w:rPr>
          <w:rFonts w:cs="Times New Roman"/>
          <w:i/>
        </w:rPr>
        <w:t xml:space="preserve">rganization of </w:t>
      </w:r>
      <w:r w:rsidR="009425EE" w:rsidRPr="00100AF5">
        <w:rPr>
          <w:rFonts w:cs="Times New Roman"/>
          <w:i/>
        </w:rPr>
        <w:t>Public Sector D</w:t>
      </w:r>
      <w:r w:rsidRPr="00100AF5">
        <w:rPr>
          <w:rFonts w:cs="Times New Roman"/>
          <w:i/>
        </w:rPr>
        <w:t xml:space="preserve">evelopment </w:t>
      </w:r>
      <w:r w:rsidR="009425EE" w:rsidRPr="00100AF5">
        <w:rPr>
          <w:rFonts w:cs="Times New Roman"/>
          <w:i/>
        </w:rPr>
        <w:t>A</w:t>
      </w:r>
      <w:r w:rsidRPr="00100AF5">
        <w:rPr>
          <w:rFonts w:cs="Times New Roman"/>
          <w:i/>
        </w:rPr>
        <w:t>dministration</w:t>
      </w:r>
      <w:r w:rsidRPr="00100AF5">
        <w:rPr>
          <w:rFonts w:cs="Times New Roman"/>
        </w:rPr>
        <w:t>, issued pursuant to Article (120) of the Constitution.</w:t>
      </w:r>
      <w:r w:rsidRPr="00100AF5">
        <w:t xml:space="preserve"> As a consequence, PRSD functions were transferred to the </w:t>
      </w:r>
      <w:proofErr w:type="spellStart"/>
      <w:r w:rsidRPr="00100AF5">
        <w:t>MoPSD</w:t>
      </w:r>
      <w:proofErr w:type="spellEnd"/>
      <w:r w:rsidRPr="00100AF5">
        <w:t>, which consequently became the actual beneficiary of the Project.</w:t>
      </w:r>
    </w:p>
    <w:p w:rsidR="00096C64" w:rsidRPr="00100AF5" w:rsidRDefault="00BC2CE8" w:rsidP="00096C64">
      <w:pPr>
        <w:pStyle w:val="Heading2"/>
      </w:pPr>
      <w:bookmarkStart w:id="13" w:name="_Toc273263619"/>
      <w:bookmarkStart w:id="14" w:name="_Toc276461227"/>
      <w:r w:rsidRPr="00100AF5">
        <w:t xml:space="preserve">Jordan economic </w:t>
      </w:r>
      <w:r w:rsidR="00096C64" w:rsidRPr="00100AF5">
        <w:t>developments</w:t>
      </w:r>
      <w:bookmarkEnd w:id="13"/>
      <w:bookmarkEnd w:id="14"/>
    </w:p>
    <w:p w:rsidR="00096C64" w:rsidRPr="00100AF5" w:rsidRDefault="00BC2CE8" w:rsidP="00096C64">
      <w:r w:rsidRPr="00100AF5">
        <w:t>Since the Project</w:t>
      </w:r>
      <w:r w:rsidR="00096C64" w:rsidRPr="00100AF5">
        <w:t xml:space="preserve"> inception, a number of policies/initiatives by the </w:t>
      </w:r>
      <w:proofErr w:type="spellStart"/>
      <w:r w:rsidR="00096C64" w:rsidRPr="00100AF5">
        <w:t>GoJ</w:t>
      </w:r>
      <w:proofErr w:type="spellEnd"/>
      <w:r w:rsidR="00096C64" w:rsidRPr="00100AF5">
        <w:t xml:space="preserve"> have been undertaken as steps to achieve objective and goals stated in the National Agenda/</w:t>
      </w:r>
      <w:proofErr w:type="spellStart"/>
      <w:r w:rsidR="00096C64" w:rsidRPr="00100AF5">
        <w:t>Kulluna</w:t>
      </w:r>
      <w:proofErr w:type="spellEnd"/>
      <w:r w:rsidR="00096C64" w:rsidRPr="00100AF5">
        <w:t xml:space="preserve"> al-</w:t>
      </w:r>
      <w:proofErr w:type="spellStart"/>
      <w:r w:rsidR="00096C64" w:rsidRPr="00100AF5">
        <w:t>Urdun</w:t>
      </w:r>
      <w:proofErr w:type="spellEnd"/>
      <w:r w:rsidR="00096C64" w:rsidRPr="00100AF5">
        <w:t xml:space="preserve"> programmatic documents. </w:t>
      </w:r>
    </w:p>
    <w:p w:rsidR="00096C64" w:rsidRPr="00100AF5" w:rsidRDefault="00096C64" w:rsidP="00096C64">
      <w:r w:rsidRPr="00100AF5">
        <w:t xml:space="preserve">In particular, the challenges represented by the need for improving Jordan macro-economic framework to achieve a greater stability, for reforming the financial planning, for  tackling poverty and social-related issues, as well as the process of decentralization, have been addressed in a number of policy formulations and actions implementation. </w:t>
      </w:r>
    </w:p>
    <w:p w:rsidR="00096C64" w:rsidRPr="00100AF5" w:rsidRDefault="00096C64" w:rsidP="00096C64">
      <w:r w:rsidRPr="00100AF5">
        <w:t xml:space="preserve">Since the Project inception, the macro-economic outlook has improved in Jordan, with Gross Domestic Product (GDP) registering a real annual growth rate between 5.6% and 8.6% in the period 2004-2008. </w:t>
      </w:r>
    </w:p>
    <w:p w:rsidR="00096C64" w:rsidRPr="00100AF5" w:rsidRDefault="00096C64" w:rsidP="00096C64">
      <w:r w:rsidRPr="00100AF5">
        <w:t>Notwithstanding an expected reduction in the economic activity for 2009 as a consequence of the global financial and economic crisis, the IMF World Economic Outlook of April 2010</w:t>
      </w:r>
      <w:r w:rsidRPr="00100AF5">
        <w:rPr>
          <w:rStyle w:val="FootnoteReference"/>
          <w:rFonts w:ascii="Arial" w:eastAsiaTheme="majorEastAsia" w:hAnsi="Arial" w:cs="Arial"/>
          <w:sz w:val="20"/>
          <w:szCs w:val="20"/>
        </w:rPr>
        <w:footnoteReference w:id="1"/>
      </w:r>
      <w:r w:rsidRPr="00100AF5">
        <w:t xml:space="preserve"> </w:t>
      </w:r>
      <w:r w:rsidRPr="00100AF5">
        <w:lastRenderedPageBreak/>
        <w:t>projections for 2010 and 2011 GDP show rising figures, combined to a slowing down in Consumer Prices.</w:t>
      </w:r>
    </w:p>
    <w:p w:rsidR="00096C64" w:rsidRPr="00100AF5" w:rsidRDefault="00096C64" w:rsidP="00096C64">
      <w:pPr>
        <w:rPr>
          <w:rFonts w:ascii="Arial" w:hAnsi="Arial" w:cs="Arial"/>
          <w:sz w:val="20"/>
          <w:szCs w:val="20"/>
        </w:rPr>
      </w:pPr>
    </w:p>
    <w:p w:rsidR="00096C64" w:rsidRPr="00100AF5" w:rsidRDefault="00096C64" w:rsidP="00096C64">
      <w:pPr>
        <w:rPr>
          <w:rFonts w:ascii="Arial" w:hAnsi="Arial" w:cs="Arial"/>
          <w:i/>
          <w:sz w:val="20"/>
          <w:szCs w:val="20"/>
        </w:rPr>
      </w:pPr>
      <w:r w:rsidRPr="00100AF5">
        <w:rPr>
          <w:rFonts w:ascii="Arial" w:hAnsi="Arial" w:cs="Arial"/>
          <w:i/>
          <w:sz w:val="20"/>
          <w:szCs w:val="20"/>
        </w:rPr>
        <w:t>Table 1</w:t>
      </w:r>
    </w:p>
    <w:tbl>
      <w:tblPr>
        <w:tblStyle w:val="MediumList2-Accent2"/>
        <w:tblW w:w="5000" w:type="pct"/>
        <w:tblLook w:val="04A0" w:firstRow="1" w:lastRow="0" w:firstColumn="1" w:lastColumn="0" w:noHBand="0" w:noVBand="1"/>
      </w:tblPr>
      <w:tblGrid>
        <w:gridCol w:w="2888"/>
        <w:gridCol w:w="3947"/>
        <w:gridCol w:w="2741"/>
      </w:tblGrid>
      <w:tr w:rsidR="00096C64" w:rsidRPr="00100AF5" w:rsidTr="005024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8" w:type="pct"/>
            <w:hideMark/>
          </w:tcPr>
          <w:p w:rsidR="00096C64" w:rsidRPr="00100AF5" w:rsidRDefault="00096C64" w:rsidP="005024A2">
            <w:pPr>
              <w:rPr>
                <w:rFonts w:ascii="Arial" w:hAnsi="Arial" w:cs="Arial"/>
                <w:color w:val="002060"/>
                <w:sz w:val="20"/>
                <w:szCs w:val="20"/>
                <w:lang w:eastAsia="it-IT"/>
              </w:rPr>
            </w:pPr>
            <w:r w:rsidRPr="00100AF5">
              <w:rPr>
                <w:rFonts w:ascii="Arial" w:hAnsi="Arial" w:cs="Arial"/>
                <w:color w:val="002060"/>
                <w:sz w:val="20"/>
                <w:szCs w:val="20"/>
                <w:lang w:eastAsia="it-IT"/>
              </w:rPr>
              <w:t xml:space="preserve">  </w:t>
            </w:r>
          </w:p>
        </w:tc>
        <w:tc>
          <w:tcPr>
            <w:tcW w:w="2061" w:type="pct"/>
            <w:hideMark/>
          </w:tcPr>
          <w:p w:rsidR="00096C64" w:rsidRPr="00100AF5" w:rsidRDefault="00096C64" w:rsidP="005024A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color w:val="002060"/>
                <w:sz w:val="20"/>
                <w:szCs w:val="20"/>
                <w:lang w:eastAsia="it-IT"/>
              </w:rPr>
              <w:t>2010</w:t>
            </w:r>
          </w:p>
        </w:tc>
        <w:tc>
          <w:tcPr>
            <w:tcW w:w="1431" w:type="pct"/>
            <w:hideMark/>
          </w:tcPr>
          <w:p w:rsidR="00096C64" w:rsidRPr="00100AF5" w:rsidRDefault="00096C64" w:rsidP="005024A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color w:val="002060"/>
                <w:sz w:val="20"/>
                <w:szCs w:val="20"/>
                <w:lang w:eastAsia="it-IT"/>
              </w:rPr>
              <w:t>2011</w:t>
            </w:r>
          </w:p>
        </w:tc>
      </w:tr>
      <w:tr w:rsidR="00096C64" w:rsidRPr="00100AF5" w:rsidTr="0050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hideMark/>
          </w:tcPr>
          <w:p w:rsidR="00096C64" w:rsidRPr="00100AF5" w:rsidRDefault="00096C64" w:rsidP="005024A2">
            <w:pPr>
              <w:rPr>
                <w:rFonts w:ascii="Arial" w:hAnsi="Arial" w:cs="Arial"/>
                <w:color w:val="002060"/>
                <w:sz w:val="20"/>
                <w:szCs w:val="20"/>
                <w:lang w:eastAsia="it-IT"/>
              </w:rPr>
            </w:pPr>
            <w:r w:rsidRPr="00100AF5">
              <w:rPr>
                <w:rFonts w:ascii="Arial" w:hAnsi="Arial" w:cs="Arial"/>
                <w:color w:val="002060"/>
                <w:sz w:val="20"/>
                <w:szCs w:val="20"/>
                <w:lang w:eastAsia="it-IT"/>
              </w:rPr>
              <w:t xml:space="preserve">Real GDP </w:t>
            </w:r>
          </w:p>
        </w:tc>
        <w:tc>
          <w:tcPr>
            <w:tcW w:w="2061" w:type="pct"/>
            <w:hideMark/>
          </w:tcPr>
          <w:p w:rsidR="00096C64" w:rsidRPr="00100AF5" w:rsidRDefault="00096C64" w:rsidP="005024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b/>
                <w:bCs/>
                <w:color w:val="002060"/>
                <w:sz w:val="20"/>
                <w:szCs w:val="20"/>
                <w:lang w:eastAsia="it-IT"/>
              </w:rPr>
              <w:t>4.1</w:t>
            </w:r>
          </w:p>
        </w:tc>
        <w:tc>
          <w:tcPr>
            <w:tcW w:w="1431" w:type="pct"/>
            <w:hideMark/>
          </w:tcPr>
          <w:p w:rsidR="00096C64" w:rsidRPr="00100AF5" w:rsidRDefault="00096C64" w:rsidP="005024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b/>
                <w:bCs/>
                <w:color w:val="002060"/>
                <w:sz w:val="20"/>
                <w:szCs w:val="20"/>
                <w:lang w:eastAsia="it-IT"/>
              </w:rPr>
              <w:t>4.5</w:t>
            </w:r>
          </w:p>
        </w:tc>
      </w:tr>
      <w:tr w:rsidR="00096C64" w:rsidRPr="00100AF5" w:rsidTr="005024A2">
        <w:tc>
          <w:tcPr>
            <w:cnfStyle w:val="001000000000" w:firstRow="0" w:lastRow="0" w:firstColumn="1" w:lastColumn="0" w:oddVBand="0" w:evenVBand="0" w:oddHBand="0" w:evenHBand="0" w:firstRowFirstColumn="0" w:firstRowLastColumn="0" w:lastRowFirstColumn="0" w:lastRowLastColumn="0"/>
            <w:tcW w:w="1508" w:type="pct"/>
            <w:hideMark/>
          </w:tcPr>
          <w:p w:rsidR="00096C64" w:rsidRPr="00100AF5" w:rsidRDefault="00096C64" w:rsidP="005024A2">
            <w:pPr>
              <w:rPr>
                <w:rFonts w:ascii="Arial" w:hAnsi="Arial" w:cs="Arial"/>
                <w:color w:val="002060"/>
                <w:sz w:val="20"/>
                <w:szCs w:val="20"/>
                <w:lang w:eastAsia="it-IT"/>
              </w:rPr>
            </w:pPr>
            <w:r w:rsidRPr="00100AF5">
              <w:rPr>
                <w:rFonts w:ascii="Arial" w:hAnsi="Arial" w:cs="Arial"/>
                <w:color w:val="002060"/>
                <w:sz w:val="20"/>
                <w:szCs w:val="20"/>
                <w:lang w:eastAsia="it-IT"/>
              </w:rPr>
              <w:t xml:space="preserve">Consumer Prices </w:t>
            </w:r>
          </w:p>
        </w:tc>
        <w:tc>
          <w:tcPr>
            <w:tcW w:w="2061" w:type="pct"/>
            <w:hideMark/>
          </w:tcPr>
          <w:p w:rsidR="00096C64" w:rsidRPr="00100AF5" w:rsidRDefault="00096C64" w:rsidP="005024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b/>
                <w:bCs/>
                <w:color w:val="002060"/>
                <w:sz w:val="20"/>
                <w:szCs w:val="20"/>
                <w:lang w:eastAsia="it-IT"/>
              </w:rPr>
              <w:t>5.3</w:t>
            </w:r>
          </w:p>
        </w:tc>
        <w:tc>
          <w:tcPr>
            <w:tcW w:w="1431" w:type="pct"/>
            <w:hideMark/>
          </w:tcPr>
          <w:p w:rsidR="00096C64" w:rsidRPr="00100AF5" w:rsidRDefault="00096C64" w:rsidP="005024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0"/>
                <w:szCs w:val="20"/>
                <w:lang w:eastAsia="it-IT"/>
              </w:rPr>
            </w:pPr>
            <w:r w:rsidRPr="00100AF5">
              <w:rPr>
                <w:rFonts w:ascii="Arial" w:hAnsi="Arial" w:cs="Arial"/>
                <w:b/>
                <w:bCs/>
                <w:color w:val="002060"/>
                <w:sz w:val="20"/>
                <w:szCs w:val="20"/>
                <w:lang w:eastAsia="it-IT"/>
              </w:rPr>
              <w:t>4.6</w:t>
            </w:r>
          </w:p>
        </w:tc>
      </w:tr>
    </w:tbl>
    <w:p w:rsidR="00096C64" w:rsidRPr="00100AF5" w:rsidRDefault="00096C64" w:rsidP="00096C64">
      <w:pPr>
        <w:pStyle w:val="ListParagraph"/>
        <w:ind w:left="0"/>
        <w:rPr>
          <w:rFonts w:ascii="Arial" w:hAnsi="Arial" w:cs="Arial"/>
          <w:i/>
          <w:sz w:val="20"/>
          <w:szCs w:val="20"/>
        </w:rPr>
      </w:pPr>
      <w:r w:rsidRPr="00100AF5">
        <w:rPr>
          <w:rFonts w:ascii="Arial" w:hAnsi="Arial" w:cs="Arial"/>
          <w:i/>
          <w:sz w:val="20"/>
          <w:szCs w:val="20"/>
        </w:rPr>
        <w:t>Source: World Economic Outlook, Rebalancing growth, IMF 2010</w:t>
      </w:r>
    </w:p>
    <w:p w:rsidR="00096C64" w:rsidRPr="00100AF5" w:rsidRDefault="00096C64" w:rsidP="00096C64">
      <w:pPr>
        <w:pStyle w:val="ListParagraph"/>
        <w:ind w:left="0"/>
        <w:rPr>
          <w:rFonts w:ascii="Arial" w:hAnsi="Arial" w:cs="Arial"/>
          <w:sz w:val="20"/>
          <w:szCs w:val="20"/>
        </w:rPr>
      </w:pPr>
    </w:p>
    <w:p w:rsidR="00096C64" w:rsidRPr="00100AF5" w:rsidRDefault="00096C64" w:rsidP="00096C64">
      <w:r w:rsidRPr="00100AF5">
        <w:t>Jordan’s economic performance has in general improved, showing greater resilience against new external shocks such as the elimination of free oil delivery from Iraq. The surge in economic activity has been broad based, involving all sectors of economic activity. The following table and graph show the % GDP distribution among sectors.</w:t>
      </w:r>
    </w:p>
    <w:p w:rsidR="00096C64" w:rsidRPr="00100AF5" w:rsidRDefault="00096C64" w:rsidP="00096C64">
      <w:pPr>
        <w:autoSpaceDE w:val="0"/>
        <w:autoSpaceDN w:val="0"/>
        <w:adjustRightInd w:val="0"/>
        <w:rPr>
          <w:rFonts w:ascii="Arial" w:hAnsi="Arial" w:cs="Arial"/>
          <w:sz w:val="21"/>
          <w:szCs w:val="21"/>
        </w:rPr>
      </w:pPr>
    </w:p>
    <w:p w:rsidR="00096C64" w:rsidRPr="00100AF5" w:rsidRDefault="00096C64" w:rsidP="00096C64">
      <w:pPr>
        <w:autoSpaceDE w:val="0"/>
        <w:autoSpaceDN w:val="0"/>
        <w:adjustRightInd w:val="0"/>
        <w:rPr>
          <w:rFonts w:ascii="Arial" w:hAnsi="Arial" w:cs="Arial"/>
          <w:i/>
          <w:sz w:val="20"/>
          <w:szCs w:val="20"/>
        </w:rPr>
      </w:pPr>
      <w:r w:rsidRPr="00100AF5">
        <w:rPr>
          <w:rFonts w:ascii="Arial" w:hAnsi="Arial" w:cs="Arial"/>
          <w:i/>
          <w:sz w:val="20"/>
          <w:szCs w:val="20"/>
        </w:rPr>
        <w:t xml:space="preserve">                       Table 2</w:t>
      </w:r>
    </w:p>
    <w:tbl>
      <w:tblPr>
        <w:tblStyle w:val="TableClassic2"/>
        <w:tblW w:w="6928" w:type="dxa"/>
        <w:jc w:val="center"/>
        <w:tblInd w:w="-441" w:type="dxa"/>
        <w:tblLook w:val="04A0" w:firstRow="1" w:lastRow="0" w:firstColumn="1" w:lastColumn="0" w:noHBand="0" w:noVBand="1"/>
      </w:tblPr>
      <w:tblGrid>
        <w:gridCol w:w="3101"/>
        <w:gridCol w:w="850"/>
        <w:gridCol w:w="993"/>
        <w:gridCol w:w="850"/>
        <w:gridCol w:w="1134"/>
      </w:tblGrid>
      <w:tr w:rsidR="00096C64" w:rsidRPr="00100AF5" w:rsidTr="005024A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928" w:type="dxa"/>
            <w:gridSpan w:val="5"/>
            <w:noWrap/>
            <w:hideMark/>
          </w:tcPr>
          <w:p w:rsidR="00096C64" w:rsidRPr="00100AF5" w:rsidRDefault="00096C64" w:rsidP="005024A2">
            <w:pPr>
              <w:rPr>
                <w:rFonts w:ascii="Arial" w:hAnsi="Arial" w:cs="Arial"/>
                <w:color w:val="000000"/>
                <w:sz w:val="22"/>
                <w:szCs w:val="22"/>
                <w:lang w:eastAsia="it-IT"/>
              </w:rPr>
            </w:pPr>
            <w:r w:rsidRPr="00100AF5">
              <w:rPr>
                <w:rFonts w:ascii="Arial" w:hAnsi="Arial" w:cs="Arial"/>
                <w:color w:val="000000"/>
                <w:sz w:val="22"/>
                <w:szCs w:val="22"/>
                <w:lang w:eastAsia="it-IT"/>
              </w:rPr>
              <w:t>GDP DISTRIBUTION BY SECTOR</w:t>
            </w:r>
          </w:p>
        </w:tc>
      </w:tr>
      <w:tr w:rsidR="00096C64" w:rsidRPr="00100AF5" w:rsidTr="005024A2">
        <w:trPr>
          <w:trHeight w:val="300"/>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rsidR="00096C64" w:rsidRPr="00100AF5" w:rsidRDefault="00096C64" w:rsidP="005024A2">
            <w:pPr>
              <w:rPr>
                <w:rFonts w:ascii="Arial" w:hAnsi="Arial" w:cs="Arial"/>
                <w:color w:val="000000"/>
                <w:sz w:val="22"/>
                <w:szCs w:val="22"/>
                <w:lang w:eastAsia="it-IT"/>
              </w:rPr>
            </w:pP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1988</w:t>
            </w:r>
          </w:p>
        </w:tc>
        <w:tc>
          <w:tcPr>
            <w:tcW w:w="993"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1998</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2007</w:t>
            </w:r>
          </w:p>
        </w:tc>
        <w:tc>
          <w:tcPr>
            <w:tcW w:w="1134"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2008</w:t>
            </w:r>
          </w:p>
        </w:tc>
      </w:tr>
      <w:tr w:rsidR="00096C64" w:rsidRPr="00100AF5" w:rsidTr="005024A2">
        <w:trPr>
          <w:trHeight w:val="300"/>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rsidR="00096C64" w:rsidRPr="00100AF5" w:rsidRDefault="00096C64" w:rsidP="005024A2">
            <w:pPr>
              <w:rPr>
                <w:rFonts w:ascii="Arial" w:hAnsi="Arial" w:cs="Arial"/>
                <w:color w:val="000000"/>
                <w:sz w:val="22"/>
                <w:szCs w:val="22"/>
                <w:lang w:eastAsia="it-IT"/>
              </w:rPr>
            </w:pPr>
            <w:r w:rsidRPr="00100AF5">
              <w:rPr>
                <w:rFonts w:ascii="Arial" w:hAnsi="Arial" w:cs="Arial"/>
                <w:color w:val="000000"/>
                <w:sz w:val="22"/>
                <w:szCs w:val="22"/>
                <w:lang w:eastAsia="it-IT"/>
              </w:rPr>
              <w:t xml:space="preserve">Agriculture  </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 xml:space="preserve"> 6.9</w:t>
            </w:r>
          </w:p>
        </w:tc>
        <w:tc>
          <w:tcPr>
            <w:tcW w:w="993"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3.1</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2.9</w:t>
            </w:r>
          </w:p>
        </w:tc>
        <w:tc>
          <w:tcPr>
            <w:tcW w:w="1134"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2.9</w:t>
            </w:r>
          </w:p>
        </w:tc>
      </w:tr>
      <w:tr w:rsidR="00096C64" w:rsidRPr="00100AF5" w:rsidTr="005024A2">
        <w:trPr>
          <w:trHeight w:val="300"/>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rsidR="00096C64" w:rsidRPr="00100AF5" w:rsidRDefault="00096C64" w:rsidP="005024A2">
            <w:pPr>
              <w:rPr>
                <w:rFonts w:ascii="Arial" w:hAnsi="Arial" w:cs="Arial"/>
                <w:color w:val="000000"/>
                <w:sz w:val="22"/>
                <w:szCs w:val="22"/>
                <w:lang w:eastAsia="it-IT"/>
              </w:rPr>
            </w:pPr>
            <w:r w:rsidRPr="00100AF5">
              <w:rPr>
                <w:rFonts w:ascii="Arial" w:hAnsi="Arial" w:cs="Arial"/>
                <w:color w:val="000000"/>
                <w:sz w:val="22"/>
                <w:szCs w:val="22"/>
                <w:lang w:eastAsia="it-IT"/>
              </w:rPr>
              <w:t xml:space="preserve">Industry   </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22.8</w:t>
            </w:r>
          </w:p>
        </w:tc>
        <w:tc>
          <w:tcPr>
            <w:tcW w:w="993"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26.4</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30.3</w:t>
            </w:r>
          </w:p>
        </w:tc>
        <w:tc>
          <w:tcPr>
            <w:tcW w:w="1134" w:type="dxa"/>
            <w:noWrap/>
            <w:hideMark/>
          </w:tcPr>
          <w:p w:rsidR="00096C64" w:rsidRPr="00100AF5" w:rsidRDefault="00096C64" w:rsidP="005024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34.1</w:t>
            </w:r>
          </w:p>
        </w:tc>
      </w:tr>
      <w:tr w:rsidR="00096C64" w:rsidRPr="00100AF5" w:rsidTr="005024A2">
        <w:trPr>
          <w:trHeight w:val="300"/>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rsidR="00096C64" w:rsidRPr="00100AF5" w:rsidRDefault="00096C64" w:rsidP="005024A2">
            <w:pPr>
              <w:rPr>
                <w:rFonts w:ascii="Arial" w:hAnsi="Arial" w:cs="Arial"/>
                <w:i/>
                <w:color w:val="000000"/>
                <w:sz w:val="22"/>
                <w:szCs w:val="22"/>
                <w:lang w:eastAsia="it-IT"/>
              </w:rPr>
            </w:pPr>
            <w:r w:rsidRPr="00100AF5">
              <w:rPr>
                <w:rFonts w:ascii="Arial" w:hAnsi="Arial" w:cs="Arial"/>
                <w:i/>
                <w:color w:val="000000"/>
                <w:sz w:val="22"/>
                <w:szCs w:val="22"/>
                <w:lang w:eastAsia="it-IT"/>
              </w:rPr>
              <w:t xml:space="preserve">   of which, Manufacturing   </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2"/>
                <w:szCs w:val="22"/>
                <w:lang w:eastAsia="it-IT"/>
              </w:rPr>
            </w:pPr>
            <w:r w:rsidRPr="00100AF5">
              <w:rPr>
                <w:rFonts w:ascii="Arial" w:hAnsi="Arial" w:cs="Arial"/>
                <w:i/>
                <w:color w:val="000000"/>
                <w:sz w:val="22"/>
                <w:szCs w:val="22"/>
                <w:lang w:eastAsia="it-IT"/>
              </w:rPr>
              <w:t xml:space="preserve">    10.1</w:t>
            </w:r>
          </w:p>
        </w:tc>
        <w:tc>
          <w:tcPr>
            <w:tcW w:w="993"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2"/>
                <w:szCs w:val="22"/>
                <w:lang w:eastAsia="it-IT"/>
              </w:rPr>
            </w:pPr>
            <w:r w:rsidRPr="00100AF5">
              <w:rPr>
                <w:rFonts w:ascii="Arial" w:hAnsi="Arial" w:cs="Arial"/>
                <w:i/>
                <w:color w:val="000000"/>
                <w:sz w:val="22"/>
                <w:szCs w:val="22"/>
                <w:lang w:eastAsia="it-IT"/>
              </w:rPr>
              <w:t xml:space="preserve">     15.7</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2"/>
                <w:szCs w:val="22"/>
                <w:lang w:eastAsia="it-IT"/>
              </w:rPr>
            </w:pPr>
            <w:r w:rsidRPr="00100AF5">
              <w:rPr>
                <w:rFonts w:ascii="Arial" w:hAnsi="Arial" w:cs="Arial"/>
                <w:i/>
                <w:color w:val="000000"/>
                <w:sz w:val="22"/>
                <w:szCs w:val="22"/>
                <w:lang w:eastAsia="it-IT"/>
              </w:rPr>
              <w:t xml:space="preserve">   19.5</w:t>
            </w:r>
          </w:p>
        </w:tc>
        <w:tc>
          <w:tcPr>
            <w:tcW w:w="1134"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2"/>
                <w:szCs w:val="22"/>
                <w:lang w:eastAsia="it-IT"/>
              </w:rPr>
            </w:pPr>
            <w:r w:rsidRPr="00100AF5">
              <w:rPr>
                <w:rFonts w:ascii="Arial" w:hAnsi="Arial" w:cs="Arial"/>
                <w:i/>
                <w:color w:val="000000"/>
                <w:sz w:val="22"/>
                <w:szCs w:val="22"/>
                <w:lang w:eastAsia="it-IT"/>
              </w:rPr>
              <w:t xml:space="preserve">   20.5</w:t>
            </w:r>
          </w:p>
        </w:tc>
      </w:tr>
      <w:tr w:rsidR="00096C64" w:rsidRPr="00100AF5" w:rsidTr="005024A2">
        <w:trPr>
          <w:trHeight w:val="300"/>
          <w:jc w:val="center"/>
        </w:trPr>
        <w:tc>
          <w:tcPr>
            <w:cnfStyle w:val="001000000000" w:firstRow="0" w:lastRow="0" w:firstColumn="1" w:lastColumn="0" w:oddVBand="0" w:evenVBand="0" w:oddHBand="0" w:evenHBand="0" w:firstRowFirstColumn="0" w:firstRowLastColumn="0" w:lastRowFirstColumn="0" w:lastRowLastColumn="0"/>
            <w:tcW w:w="3101" w:type="dxa"/>
            <w:noWrap/>
            <w:hideMark/>
          </w:tcPr>
          <w:p w:rsidR="00096C64" w:rsidRPr="00100AF5" w:rsidRDefault="00096C64" w:rsidP="005024A2">
            <w:pPr>
              <w:rPr>
                <w:rFonts w:ascii="Arial" w:hAnsi="Arial" w:cs="Arial"/>
                <w:color w:val="000000"/>
                <w:sz w:val="22"/>
                <w:szCs w:val="22"/>
                <w:lang w:eastAsia="it-IT"/>
              </w:rPr>
            </w:pPr>
            <w:r w:rsidRPr="00100AF5">
              <w:rPr>
                <w:rFonts w:ascii="Arial" w:hAnsi="Arial" w:cs="Arial"/>
                <w:color w:val="000000"/>
                <w:sz w:val="22"/>
                <w:szCs w:val="22"/>
                <w:lang w:eastAsia="it-IT"/>
              </w:rPr>
              <w:t xml:space="preserve">Services </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 xml:space="preserve">70.3   </w:t>
            </w:r>
          </w:p>
        </w:tc>
        <w:tc>
          <w:tcPr>
            <w:tcW w:w="993"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70.5</w:t>
            </w:r>
          </w:p>
        </w:tc>
        <w:tc>
          <w:tcPr>
            <w:tcW w:w="850"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66.8</w:t>
            </w:r>
          </w:p>
        </w:tc>
        <w:tc>
          <w:tcPr>
            <w:tcW w:w="1134" w:type="dxa"/>
            <w:noWrap/>
            <w:hideMark/>
          </w:tcPr>
          <w:p w:rsidR="00096C64" w:rsidRPr="00100AF5" w:rsidRDefault="00096C64" w:rsidP="005024A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eastAsia="it-IT"/>
              </w:rPr>
            </w:pPr>
            <w:r w:rsidRPr="00100AF5">
              <w:rPr>
                <w:rFonts w:ascii="Arial" w:hAnsi="Arial" w:cs="Arial"/>
                <w:color w:val="000000"/>
                <w:sz w:val="22"/>
                <w:szCs w:val="22"/>
                <w:lang w:eastAsia="it-IT"/>
              </w:rPr>
              <w:t>63.0</w:t>
            </w:r>
          </w:p>
        </w:tc>
      </w:tr>
    </w:tbl>
    <w:p w:rsidR="00096C64" w:rsidRPr="00100AF5" w:rsidRDefault="00096C64" w:rsidP="00096C64">
      <w:pPr>
        <w:autoSpaceDE w:val="0"/>
        <w:autoSpaceDN w:val="0"/>
        <w:adjustRightInd w:val="0"/>
        <w:rPr>
          <w:rFonts w:ascii="Arial" w:hAnsi="Arial" w:cs="Arial"/>
          <w:i/>
          <w:sz w:val="20"/>
          <w:szCs w:val="20"/>
        </w:rPr>
      </w:pPr>
      <w:r w:rsidRPr="00100AF5">
        <w:rPr>
          <w:rFonts w:ascii="Arial" w:hAnsi="Arial" w:cs="Arial"/>
          <w:i/>
          <w:sz w:val="20"/>
          <w:szCs w:val="20"/>
        </w:rPr>
        <w:t>Source: World Bank, Jordan at a glance</w:t>
      </w:r>
    </w:p>
    <w:p w:rsidR="00096C64" w:rsidRPr="00100AF5" w:rsidRDefault="00096C64" w:rsidP="00096C64">
      <w:pPr>
        <w:autoSpaceDE w:val="0"/>
        <w:autoSpaceDN w:val="0"/>
        <w:adjustRightInd w:val="0"/>
        <w:rPr>
          <w:rFonts w:ascii="Arial" w:hAnsi="Arial" w:cs="Arial"/>
          <w:i/>
          <w:sz w:val="20"/>
          <w:szCs w:val="20"/>
        </w:rPr>
      </w:pPr>
    </w:p>
    <w:p w:rsidR="00096C64" w:rsidRPr="00100AF5" w:rsidRDefault="00096C64" w:rsidP="00096C64">
      <w:pPr>
        <w:autoSpaceDE w:val="0"/>
        <w:autoSpaceDN w:val="0"/>
        <w:adjustRightInd w:val="0"/>
        <w:rPr>
          <w:rFonts w:ascii="Arial" w:hAnsi="Arial" w:cs="Arial"/>
          <w:i/>
          <w:sz w:val="20"/>
          <w:szCs w:val="20"/>
        </w:rPr>
      </w:pPr>
      <w:r w:rsidRPr="00100AF5">
        <w:rPr>
          <w:rFonts w:ascii="Arial" w:hAnsi="Arial" w:cs="Arial"/>
          <w:i/>
          <w:sz w:val="20"/>
          <w:szCs w:val="20"/>
        </w:rPr>
        <w:t xml:space="preserve">       Graph 1</w:t>
      </w:r>
    </w:p>
    <w:p w:rsidR="00096C64" w:rsidRPr="00100AF5" w:rsidRDefault="00096C64" w:rsidP="00096C64">
      <w:pPr>
        <w:autoSpaceDE w:val="0"/>
        <w:autoSpaceDN w:val="0"/>
        <w:adjustRightInd w:val="0"/>
        <w:jc w:val="center"/>
        <w:rPr>
          <w:rFonts w:ascii="Arial" w:hAnsi="Arial" w:cs="Arial"/>
          <w:sz w:val="20"/>
          <w:szCs w:val="20"/>
        </w:rPr>
      </w:pPr>
      <w:r w:rsidRPr="00100AF5">
        <w:rPr>
          <w:rFonts w:ascii="Arial" w:hAnsi="Arial" w:cs="Arial"/>
          <w:noProof/>
          <w:sz w:val="20"/>
          <w:szCs w:val="20"/>
          <w:lang w:val="en-US" w:eastAsia="zh-CN"/>
        </w:rPr>
        <w:drawing>
          <wp:inline distT="0" distB="0" distL="0" distR="0">
            <wp:extent cx="5238750" cy="2543175"/>
            <wp:effectExtent l="19050" t="0" r="1905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6C64" w:rsidRPr="00100AF5" w:rsidRDefault="00096C64" w:rsidP="00096C64">
      <w:pPr>
        <w:pStyle w:val="ListParagraph"/>
        <w:spacing w:after="120"/>
        <w:ind w:left="0"/>
        <w:rPr>
          <w:rFonts w:ascii="Arial" w:hAnsi="Arial" w:cs="Arial"/>
          <w:sz w:val="20"/>
          <w:szCs w:val="20"/>
        </w:rPr>
      </w:pPr>
    </w:p>
    <w:p w:rsidR="00096C64" w:rsidRPr="00100AF5" w:rsidRDefault="00096C64" w:rsidP="00096C64">
      <w:pPr>
        <w:pStyle w:val="ListParagraph"/>
        <w:ind w:left="0"/>
        <w:rPr>
          <w:rFonts w:ascii="Arial" w:hAnsi="Arial" w:cs="Arial"/>
          <w:sz w:val="20"/>
          <w:szCs w:val="20"/>
        </w:rPr>
      </w:pPr>
    </w:p>
    <w:p w:rsidR="00096C64" w:rsidRPr="00100AF5" w:rsidRDefault="00096C64" w:rsidP="00096C64">
      <w:pPr>
        <w:pStyle w:val="ListParagraph"/>
        <w:ind w:left="0"/>
        <w:rPr>
          <w:rFonts w:ascii="Arial" w:hAnsi="Arial" w:cs="Arial"/>
          <w:sz w:val="20"/>
          <w:szCs w:val="20"/>
        </w:rPr>
      </w:pPr>
    </w:p>
    <w:p w:rsidR="00096C64" w:rsidRPr="00100AF5" w:rsidRDefault="00096C64" w:rsidP="00096C64">
      <w:r w:rsidRPr="00100AF5">
        <w:lastRenderedPageBreak/>
        <w:t xml:space="preserve">Although deficits in Current Accounts (and specifically in Trade Balance) </w:t>
      </w:r>
      <w:r w:rsidR="00BC2CE8" w:rsidRPr="00100AF5">
        <w:t>and Balance of Payments persist</w:t>
      </w:r>
      <w:r w:rsidRPr="00100AF5">
        <w:t>, the Country has been, in general, positively rated by the IMF at the end of its Article IV review in May 2009</w:t>
      </w:r>
      <w:r w:rsidRPr="00100AF5">
        <w:rPr>
          <w:rStyle w:val="FootnoteReference"/>
          <w:rFonts w:ascii="Arial" w:eastAsiaTheme="majorEastAsia" w:hAnsi="Arial" w:cs="Arial"/>
          <w:sz w:val="20"/>
          <w:szCs w:val="20"/>
        </w:rPr>
        <w:footnoteReference w:id="2"/>
      </w:r>
      <w:r w:rsidRPr="00100AF5">
        <w:t>. Inflation remained low, with an average 5% as for years 2005-2007, and showed an exceptional rise in 2008 driven by international oil and food prices. Although the external deficit widened, this was balanced by a rise in FDI inflows, which – together with significant donor support, including bilateral support from the US and Gulf states – enabled a steady and sizable increase in international reserves.</w:t>
      </w:r>
    </w:p>
    <w:p w:rsidR="00096C64" w:rsidRPr="00100AF5" w:rsidRDefault="00096C64" w:rsidP="00096C64">
      <w:r w:rsidRPr="00100AF5">
        <w:t>This positive macroeconomic outlook was coupled with reforms (such as the reform of the state pension system, as well as recent tax reforms which include the improvement of tax administration and management), in an effort to create an enabling environment for private sector investment.</w:t>
      </w:r>
      <w:r w:rsidRPr="00100AF5">
        <w:rPr>
          <w:color w:val="000000"/>
        </w:rPr>
        <w:t xml:space="preserve"> </w:t>
      </w:r>
      <w:r w:rsidRPr="00100AF5">
        <w:t xml:space="preserve">Reforms have progressed well in the areas of education, privatization and expenditure/budget management. Indeed, Public Finance Management in recent years has advanced both in relation to budget planning and execution. MTEF was introduced at the central level, as well as on a pilot basis in 3 out of 93 Jordanian Municipalities, thanks to the support by the German-funded PAMD Programme. The Government is committed to extend the exercise to all of the 93 Municipalities by 2011. In addition, a Unified Financial Model for Municipalities is to be adopted by the </w:t>
      </w:r>
      <w:proofErr w:type="spellStart"/>
      <w:r w:rsidRPr="00100AF5">
        <w:t>GoJ</w:t>
      </w:r>
      <w:proofErr w:type="spellEnd"/>
      <w:r w:rsidRPr="00100AF5">
        <w:t xml:space="preserve">. </w:t>
      </w:r>
    </w:p>
    <w:p w:rsidR="00096C64" w:rsidRPr="00100AF5" w:rsidRDefault="00096C64" w:rsidP="00096C64">
      <w:r w:rsidRPr="00100AF5">
        <w:t xml:space="preserve">In addition, with the support of the UNDP, the </w:t>
      </w:r>
      <w:proofErr w:type="spellStart"/>
      <w:r w:rsidRPr="00100AF5">
        <w:t>GoJ</w:t>
      </w:r>
      <w:proofErr w:type="spellEnd"/>
      <w:r w:rsidRPr="00100AF5">
        <w:t xml:space="preserve"> has reviewed the property tax, transferring the responsibility for its collection to Municipalities. It is, therefore, expected that this will have a double impact: an increase in income and on the other side a more accurate estimation of available resources (and, presumably, expenditures).  However, this also reveals that Municipalities have some competencies in collecting taxes but they lack a proper full autonomy on the financial side.</w:t>
      </w:r>
    </w:p>
    <w:p w:rsidR="00096C64" w:rsidRPr="00100AF5" w:rsidRDefault="00096C64" w:rsidP="00096C64">
      <w:r w:rsidRPr="00100AF5">
        <w:t xml:space="preserve">Notwithstanding these positive results, “still the Jordanian economy maintains many attributes of a </w:t>
      </w:r>
      <w:proofErr w:type="spellStart"/>
      <w:r w:rsidRPr="00100AF5">
        <w:rPr>
          <w:i/>
        </w:rPr>
        <w:t>rentier</w:t>
      </w:r>
      <w:proofErr w:type="spellEnd"/>
      <w:r w:rsidRPr="00100AF5">
        <w:t xml:space="preserve"> economy, where significant public revenue accrues from natural resources, such as phosphates and potash, and from external financial assistance and where private household income is largely dependent on family members’ remittances from abroad”</w:t>
      </w:r>
      <w:r w:rsidRPr="00100AF5">
        <w:rPr>
          <w:rStyle w:val="FootnoteReference"/>
          <w:rFonts w:ascii="Arial" w:eastAsiaTheme="majorEastAsia" w:hAnsi="Arial" w:cs="Arial"/>
          <w:sz w:val="20"/>
          <w:szCs w:val="20"/>
        </w:rPr>
        <w:footnoteReference w:id="3"/>
      </w:r>
      <w:r w:rsidRPr="00100AF5">
        <w:t>.</w:t>
      </w:r>
    </w:p>
    <w:p w:rsidR="00096C64" w:rsidRPr="00100AF5" w:rsidRDefault="00096C64" w:rsidP="00096C64">
      <w:r w:rsidRPr="00100AF5">
        <w:t xml:space="preserve">Also, despite the economic growth the Country witnessed in recent years, unemployment rate (among nationals) did not fall as expected, but remained relatively steady at 13.1 % (12.7% in 2008), with a percentage of unemployed females of 25.6 (Jordan Department of Statistics, 2007). According to the World Bank Report </w:t>
      </w:r>
      <w:r w:rsidRPr="00100AF5">
        <w:rPr>
          <w:i/>
        </w:rPr>
        <w:t xml:space="preserve">Jordan - Resolving Jordan's labour market paradox of </w:t>
      </w:r>
      <w:r w:rsidRPr="00100AF5">
        <w:rPr>
          <w:i/>
        </w:rPr>
        <w:lastRenderedPageBreak/>
        <w:t>concurrent economic growth and high unemployment</w:t>
      </w:r>
      <w:r w:rsidRPr="00100AF5">
        <w:t xml:space="preserve">, “many newly created jobs (through FDIs and other investment) were not filled by Jordanians but by foreign workers”. </w:t>
      </w:r>
    </w:p>
    <w:p w:rsidR="00096C64" w:rsidRPr="00100AF5" w:rsidRDefault="00096C64" w:rsidP="00096C64">
      <w:pPr>
        <w:rPr>
          <w:rFonts w:eastAsiaTheme="minorHAnsi"/>
        </w:rPr>
      </w:pPr>
      <w:r w:rsidRPr="00100AF5">
        <w:t>This coupled, with an uneven rate of poverty among its 12 Governorates, poses challenges to Jordan future development.</w:t>
      </w:r>
      <w:r w:rsidRPr="00100AF5">
        <w:rPr>
          <w:rFonts w:eastAsiaTheme="minorHAnsi"/>
        </w:rPr>
        <w:t xml:space="preserve"> In fact, notwithstanding an improved ranking in the UNDP Human Development Index of the Country as a whole (pls. refer to Table 3 below), Jordan has combined high growth rates with persisting high poverty levels and deterioration of social indicators in certain areas of the Country, combined with one of the highest population growth rate in the area. </w:t>
      </w:r>
    </w:p>
    <w:p w:rsidR="00096C64" w:rsidRPr="00100AF5" w:rsidRDefault="00096C64" w:rsidP="00096C64">
      <w:pPr>
        <w:rPr>
          <w:rFonts w:eastAsiaTheme="minorHAnsi"/>
        </w:rPr>
      </w:pPr>
      <w:r w:rsidRPr="00100AF5">
        <w:rPr>
          <w:rFonts w:eastAsiaTheme="minorHAnsi"/>
        </w:rPr>
        <w:t xml:space="preserve">With a rate of 14.2% in 2006 (World Bank) declining from a rate of 21.3% in 1997, poverty distribution by Governorate reveals an unevenly spread of poverty, with areas such as </w:t>
      </w:r>
      <w:proofErr w:type="spellStart"/>
      <w:r w:rsidRPr="00100AF5">
        <w:rPr>
          <w:rFonts w:eastAsiaTheme="minorHAnsi"/>
        </w:rPr>
        <w:t>Mafraq</w:t>
      </w:r>
      <w:proofErr w:type="spellEnd"/>
      <w:r w:rsidRPr="00100AF5">
        <w:rPr>
          <w:rFonts w:eastAsiaTheme="minorHAnsi"/>
        </w:rPr>
        <w:t xml:space="preserve"> reaching up to 23% and Zarqa, where poverty is not only significantly higher than in other Governorates but it has increased over the past few years. Large households, women and youth in rural areas with fewer opportunities are the most affected. Out of 73 districts in Jordan, 20 with a population of 403,000 people, (i.e. 7.6% of the country’s total population) had poverty levels of over 25%. Indeed, the first National MDG Report (2004) identified regional disparities as a key challenge. As a result, specific MDGs report on the areas of </w:t>
      </w:r>
      <w:proofErr w:type="spellStart"/>
      <w:r w:rsidRPr="00100AF5">
        <w:rPr>
          <w:rFonts w:eastAsiaTheme="minorHAnsi"/>
        </w:rPr>
        <w:t>Mafraq</w:t>
      </w:r>
      <w:proofErr w:type="spellEnd"/>
      <w:r w:rsidRPr="00100AF5">
        <w:rPr>
          <w:rFonts w:eastAsiaTheme="minorHAnsi"/>
        </w:rPr>
        <w:t xml:space="preserve"> and Zarqa have been elaborated as of 2008.</w:t>
      </w:r>
    </w:p>
    <w:p w:rsidR="00096C64" w:rsidRPr="00100AF5" w:rsidRDefault="00096C64" w:rsidP="00096C64">
      <w:pPr>
        <w:pStyle w:val="ListParagraph"/>
        <w:ind w:left="0"/>
        <w:rPr>
          <w:rFonts w:ascii="Arial" w:eastAsiaTheme="minorHAnsi" w:hAnsi="Arial" w:cs="Arial"/>
          <w:sz w:val="20"/>
          <w:szCs w:val="20"/>
        </w:rPr>
      </w:pPr>
    </w:p>
    <w:p w:rsidR="00096C64" w:rsidRPr="00100AF5" w:rsidRDefault="00096C64" w:rsidP="00096C64">
      <w:pPr>
        <w:pStyle w:val="ListParagraph"/>
        <w:ind w:left="0"/>
        <w:rPr>
          <w:rFonts w:ascii="Arial" w:eastAsiaTheme="minorHAnsi" w:hAnsi="Arial" w:cs="Arial"/>
          <w:sz w:val="20"/>
          <w:szCs w:val="20"/>
        </w:rPr>
      </w:pPr>
    </w:p>
    <w:p w:rsidR="00096C64" w:rsidRPr="00100AF5" w:rsidRDefault="00096C64" w:rsidP="00096C64">
      <w:pPr>
        <w:pStyle w:val="ListParagraph"/>
        <w:ind w:left="0"/>
        <w:rPr>
          <w:rFonts w:ascii="Arial" w:hAnsi="Arial" w:cs="Arial"/>
          <w:i/>
          <w:sz w:val="20"/>
          <w:szCs w:val="20"/>
        </w:rPr>
      </w:pPr>
      <w:r w:rsidRPr="00100AF5">
        <w:rPr>
          <w:rFonts w:ascii="Arial" w:hAnsi="Arial" w:cs="Arial"/>
          <w:i/>
          <w:sz w:val="20"/>
          <w:szCs w:val="20"/>
        </w:rPr>
        <w:t>Table 3 - HDI AND OTHER SOCIAL INDICATORS (2009)</w:t>
      </w:r>
    </w:p>
    <w:tbl>
      <w:tblPr>
        <w:tblStyle w:val="TableList8"/>
        <w:tblW w:w="0" w:type="auto"/>
        <w:tblLook w:val="0400" w:firstRow="0" w:lastRow="0" w:firstColumn="0" w:lastColumn="0" w:noHBand="0" w:noVBand="1"/>
      </w:tblPr>
      <w:tblGrid>
        <w:gridCol w:w="1530"/>
        <w:gridCol w:w="1530"/>
        <w:gridCol w:w="1530"/>
        <w:gridCol w:w="1530"/>
        <w:gridCol w:w="1530"/>
        <w:gridCol w:w="1567"/>
      </w:tblGrid>
      <w:tr w:rsidR="00096C64" w:rsidRPr="00100AF5" w:rsidTr="005024A2">
        <w:trPr>
          <w:cnfStyle w:val="000000100000" w:firstRow="0" w:lastRow="0" w:firstColumn="0" w:lastColumn="0" w:oddVBand="0" w:evenVBand="0" w:oddHBand="1" w:evenHBand="0" w:firstRowFirstColumn="0" w:firstRowLastColumn="0" w:lastRowFirstColumn="0" w:lastRowLastColumn="0"/>
        </w:trPr>
        <w:tc>
          <w:tcPr>
            <w:tcW w:w="1530" w:type="dxa"/>
          </w:tcPr>
          <w:p w:rsidR="00096C64" w:rsidRPr="00100AF5" w:rsidRDefault="00096C64" w:rsidP="005024A2">
            <w:pPr>
              <w:jc w:val="center"/>
              <w:rPr>
                <w:rFonts w:ascii="Arial" w:hAnsi="Arial" w:cs="Arial"/>
                <w:b/>
                <w:sz w:val="18"/>
                <w:szCs w:val="18"/>
                <w:lang w:eastAsia="it-IT"/>
              </w:rPr>
            </w:pPr>
            <w:r w:rsidRPr="00100AF5">
              <w:rPr>
                <w:rFonts w:ascii="Arial" w:hAnsi="Arial" w:cs="Arial"/>
                <w:b/>
                <w:sz w:val="18"/>
                <w:szCs w:val="18"/>
                <w:lang w:eastAsia="it-IT"/>
              </w:rPr>
              <w:t>Population, total</w:t>
            </w:r>
          </w:p>
        </w:tc>
        <w:tc>
          <w:tcPr>
            <w:tcW w:w="1530" w:type="dxa"/>
          </w:tcPr>
          <w:p w:rsidR="00096C64" w:rsidRPr="00100AF5" w:rsidRDefault="00096C64" w:rsidP="005024A2">
            <w:pPr>
              <w:jc w:val="center"/>
              <w:rPr>
                <w:rFonts w:ascii="Arial" w:hAnsi="Arial" w:cs="Arial"/>
                <w:b/>
                <w:bCs/>
                <w:sz w:val="18"/>
                <w:szCs w:val="18"/>
                <w:lang w:eastAsia="it-IT"/>
              </w:rPr>
            </w:pPr>
            <w:r w:rsidRPr="00100AF5">
              <w:rPr>
                <w:rFonts w:ascii="Arial" w:hAnsi="Arial" w:cs="Arial"/>
                <w:b/>
                <w:bCs/>
                <w:sz w:val="18"/>
                <w:szCs w:val="18"/>
                <w:lang w:eastAsia="it-IT"/>
              </w:rPr>
              <w:t>HDI Rank</w:t>
            </w:r>
          </w:p>
        </w:tc>
        <w:tc>
          <w:tcPr>
            <w:tcW w:w="1530" w:type="dxa"/>
          </w:tcPr>
          <w:p w:rsidR="00096C64" w:rsidRPr="00100AF5" w:rsidRDefault="00096C64" w:rsidP="005024A2">
            <w:pPr>
              <w:jc w:val="center"/>
              <w:rPr>
                <w:rFonts w:ascii="Arial" w:hAnsi="Arial" w:cs="Arial"/>
                <w:sz w:val="18"/>
                <w:szCs w:val="18"/>
                <w:lang w:eastAsia="it-IT"/>
              </w:rPr>
            </w:pPr>
            <w:r w:rsidRPr="00100AF5">
              <w:rPr>
                <w:rFonts w:ascii="Arial" w:hAnsi="Arial" w:cs="Arial"/>
                <w:b/>
                <w:bCs/>
                <w:sz w:val="18"/>
                <w:szCs w:val="18"/>
                <w:lang w:eastAsia="it-IT"/>
              </w:rPr>
              <w:t>Life Expectancy</w:t>
            </w:r>
            <w:r w:rsidRPr="00100AF5">
              <w:rPr>
                <w:rFonts w:ascii="Arial" w:hAnsi="Arial" w:cs="Arial"/>
                <w:sz w:val="18"/>
                <w:szCs w:val="18"/>
                <w:lang w:eastAsia="it-IT"/>
              </w:rPr>
              <w:t xml:space="preserve"> (Year)</w:t>
            </w:r>
          </w:p>
        </w:tc>
        <w:tc>
          <w:tcPr>
            <w:tcW w:w="1530" w:type="dxa"/>
          </w:tcPr>
          <w:p w:rsidR="00096C64" w:rsidRPr="00100AF5" w:rsidRDefault="00096C64" w:rsidP="005024A2">
            <w:pPr>
              <w:jc w:val="center"/>
              <w:rPr>
                <w:rFonts w:ascii="Arial" w:hAnsi="Arial" w:cs="Arial"/>
                <w:sz w:val="18"/>
                <w:szCs w:val="18"/>
                <w:lang w:eastAsia="it-IT"/>
              </w:rPr>
            </w:pPr>
            <w:r w:rsidRPr="00100AF5">
              <w:rPr>
                <w:rFonts w:ascii="Arial" w:hAnsi="Arial" w:cs="Arial"/>
                <w:b/>
                <w:bCs/>
                <w:sz w:val="18"/>
                <w:szCs w:val="18"/>
                <w:lang w:eastAsia="it-IT"/>
              </w:rPr>
              <w:t>Literacy</w:t>
            </w:r>
          </w:p>
        </w:tc>
        <w:tc>
          <w:tcPr>
            <w:tcW w:w="1530" w:type="dxa"/>
          </w:tcPr>
          <w:p w:rsidR="00096C64" w:rsidRPr="00100AF5" w:rsidRDefault="00096C64" w:rsidP="005024A2">
            <w:pPr>
              <w:jc w:val="center"/>
              <w:rPr>
                <w:rFonts w:ascii="Arial" w:hAnsi="Arial" w:cs="Arial"/>
                <w:sz w:val="18"/>
                <w:szCs w:val="18"/>
                <w:lang w:eastAsia="it-IT"/>
              </w:rPr>
            </w:pPr>
            <w:r w:rsidRPr="00100AF5">
              <w:rPr>
                <w:rFonts w:ascii="Arial" w:hAnsi="Arial" w:cs="Arial"/>
                <w:b/>
                <w:bCs/>
                <w:sz w:val="18"/>
                <w:szCs w:val="18"/>
                <w:lang w:eastAsia="it-IT"/>
              </w:rPr>
              <w:t xml:space="preserve">Real GDP Capita </w:t>
            </w:r>
            <w:r w:rsidRPr="00100AF5">
              <w:rPr>
                <w:rFonts w:ascii="Arial" w:hAnsi="Arial" w:cs="Arial"/>
                <w:sz w:val="18"/>
                <w:szCs w:val="18"/>
                <w:lang w:eastAsia="it-IT"/>
              </w:rPr>
              <w:t>(USD)</w:t>
            </w:r>
          </w:p>
          <w:p w:rsidR="00096C64" w:rsidRPr="00100AF5" w:rsidRDefault="00096C64" w:rsidP="005024A2">
            <w:pPr>
              <w:jc w:val="center"/>
              <w:rPr>
                <w:rFonts w:ascii="Arial" w:hAnsi="Arial" w:cs="Arial"/>
                <w:sz w:val="18"/>
                <w:szCs w:val="18"/>
                <w:lang w:eastAsia="it-IT"/>
              </w:rPr>
            </w:pPr>
          </w:p>
        </w:tc>
        <w:tc>
          <w:tcPr>
            <w:tcW w:w="1567"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People living below national income poverty line</w:t>
            </w:r>
          </w:p>
        </w:tc>
      </w:tr>
      <w:tr w:rsidR="00096C64" w:rsidRPr="00100AF5" w:rsidTr="005024A2">
        <w:trPr>
          <w:cnfStyle w:val="000000010000" w:firstRow="0" w:lastRow="0" w:firstColumn="0" w:lastColumn="0" w:oddVBand="0" w:evenVBand="0" w:oddHBand="0" w:evenHBand="1" w:firstRowFirstColumn="0" w:firstRowLastColumn="0" w:lastRowFirstColumn="0" w:lastRowLastColumn="0"/>
        </w:trPr>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5,906*</w:t>
            </w:r>
          </w:p>
        </w:tc>
        <w:tc>
          <w:tcPr>
            <w:tcW w:w="1530" w:type="dxa"/>
          </w:tcPr>
          <w:p w:rsidR="00096C64" w:rsidRPr="00100AF5" w:rsidRDefault="00096C64" w:rsidP="005024A2">
            <w:pPr>
              <w:spacing w:before="100" w:beforeAutospacing="1" w:after="100" w:afterAutospacing="1"/>
              <w:jc w:val="center"/>
              <w:rPr>
                <w:rFonts w:ascii="Arial" w:hAnsi="Arial" w:cs="Arial"/>
                <w:sz w:val="18"/>
                <w:szCs w:val="18"/>
                <w:lang w:eastAsia="it-IT"/>
              </w:rPr>
            </w:pPr>
            <w:r w:rsidRPr="00100AF5">
              <w:rPr>
                <w:rFonts w:ascii="Arial" w:hAnsi="Arial" w:cs="Arial"/>
                <w:sz w:val="18"/>
                <w:szCs w:val="18"/>
                <w:lang w:eastAsia="it-IT"/>
              </w:rPr>
              <w:t>96 (out of 182)</w:t>
            </w:r>
          </w:p>
        </w:tc>
        <w:tc>
          <w:tcPr>
            <w:tcW w:w="1530" w:type="dxa"/>
          </w:tcPr>
          <w:p w:rsidR="00096C64" w:rsidRPr="00100AF5" w:rsidRDefault="00096C64" w:rsidP="005024A2">
            <w:pPr>
              <w:spacing w:before="100" w:beforeAutospacing="1" w:after="100" w:afterAutospacing="1"/>
              <w:jc w:val="center"/>
              <w:rPr>
                <w:rFonts w:ascii="Arial" w:hAnsi="Arial" w:cs="Arial"/>
                <w:sz w:val="18"/>
                <w:szCs w:val="18"/>
                <w:lang w:eastAsia="it-IT"/>
              </w:rPr>
            </w:pPr>
            <w:r w:rsidRPr="00100AF5">
              <w:rPr>
                <w:rFonts w:ascii="Arial" w:hAnsi="Arial" w:cs="Arial"/>
                <w:sz w:val="18"/>
                <w:szCs w:val="18"/>
                <w:lang w:eastAsia="it-IT"/>
              </w:rPr>
              <w:t>72.4</w:t>
            </w:r>
          </w:p>
        </w:tc>
        <w:tc>
          <w:tcPr>
            <w:tcW w:w="1530" w:type="dxa"/>
          </w:tcPr>
          <w:p w:rsidR="00096C64" w:rsidRPr="00100AF5" w:rsidRDefault="00096C64" w:rsidP="005024A2">
            <w:pPr>
              <w:spacing w:before="100" w:beforeAutospacing="1" w:after="100" w:afterAutospacing="1"/>
              <w:jc w:val="center"/>
              <w:rPr>
                <w:rFonts w:ascii="Arial" w:hAnsi="Arial" w:cs="Arial"/>
                <w:sz w:val="18"/>
                <w:szCs w:val="18"/>
                <w:lang w:eastAsia="it-IT"/>
              </w:rPr>
            </w:pPr>
            <w:r w:rsidRPr="00100AF5">
              <w:rPr>
                <w:rFonts w:ascii="Arial" w:hAnsi="Arial" w:cs="Arial"/>
                <w:sz w:val="18"/>
                <w:szCs w:val="18"/>
                <w:lang w:eastAsia="it-IT"/>
              </w:rPr>
              <w:t>91.1</w:t>
            </w:r>
          </w:p>
        </w:tc>
        <w:tc>
          <w:tcPr>
            <w:tcW w:w="1530" w:type="dxa"/>
          </w:tcPr>
          <w:p w:rsidR="00096C64" w:rsidRPr="00100AF5" w:rsidRDefault="00096C64" w:rsidP="005024A2">
            <w:pPr>
              <w:rPr>
                <w:rFonts w:ascii="Arial" w:hAnsi="Arial" w:cs="Arial"/>
                <w:sz w:val="18"/>
                <w:szCs w:val="18"/>
                <w:lang w:eastAsia="it-IT"/>
              </w:rPr>
            </w:pPr>
            <w:r w:rsidRPr="00100AF5">
              <w:rPr>
                <w:rFonts w:ascii="Arial" w:hAnsi="Arial" w:cs="Arial"/>
                <w:sz w:val="18"/>
                <w:szCs w:val="18"/>
                <w:lang w:eastAsia="it-IT"/>
              </w:rPr>
              <w:t>          4,901</w:t>
            </w:r>
          </w:p>
        </w:tc>
        <w:tc>
          <w:tcPr>
            <w:tcW w:w="1567"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14.2%</w:t>
            </w:r>
          </w:p>
        </w:tc>
      </w:tr>
      <w:tr w:rsidR="00096C64" w:rsidRPr="00100AF5" w:rsidTr="005024A2">
        <w:trPr>
          <w:cnfStyle w:val="000000100000" w:firstRow="0" w:lastRow="0" w:firstColumn="0" w:lastColumn="0" w:oddVBand="0" w:evenVBand="0" w:oddHBand="1" w:evenHBand="0" w:firstRowFirstColumn="0" w:firstRowLastColumn="0" w:lastRowFirstColumn="0" w:lastRowLastColumn="0"/>
        </w:trPr>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Female literacy as percentage of total population</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Male literacy as percentage of total population</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 xml:space="preserve">Female estimated earning income </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 xml:space="preserve">Male estimated earning income </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b/>
                <w:sz w:val="18"/>
                <w:szCs w:val="18"/>
              </w:rPr>
              <w:t xml:space="preserve">Infant mortality rate per 1,000 live births </w:t>
            </w:r>
          </w:p>
        </w:tc>
        <w:tc>
          <w:tcPr>
            <w:tcW w:w="1567" w:type="dxa"/>
          </w:tcPr>
          <w:p w:rsidR="00096C64" w:rsidRPr="00100AF5" w:rsidRDefault="00096C64" w:rsidP="005024A2">
            <w:pPr>
              <w:pStyle w:val="ListParagraph"/>
              <w:ind w:left="0"/>
              <w:rPr>
                <w:rFonts w:ascii="Arial" w:hAnsi="Arial" w:cs="Arial"/>
                <w:b/>
                <w:sz w:val="18"/>
                <w:szCs w:val="18"/>
              </w:rPr>
            </w:pPr>
            <w:r w:rsidRPr="00100AF5">
              <w:rPr>
                <w:rFonts w:ascii="Arial" w:hAnsi="Arial" w:cs="Arial"/>
                <w:b/>
                <w:sz w:val="18"/>
                <w:szCs w:val="18"/>
              </w:rPr>
              <w:t>Unemployment, total (%of total labour force</w:t>
            </w:r>
          </w:p>
        </w:tc>
      </w:tr>
      <w:tr w:rsidR="00096C64" w:rsidRPr="00100AF5" w:rsidTr="005024A2">
        <w:trPr>
          <w:cnfStyle w:val="000000010000" w:firstRow="0" w:lastRow="0" w:firstColumn="0" w:lastColumn="0" w:oddVBand="0" w:evenVBand="0" w:oddHBand="0" w:evenHBand="1" w:firstRowFirstColumn="0" w:firstRowLastColumn="0" w:lastRowFirstColumn="0" w:lastRowLastColumn="0"/>
        </w:trPr>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87%</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95.2%</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1,543 $</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8,065 $</w:t>
            </w:r>
          </w:p>
        </w:tc>
        <w:tc>
          <w:tcPr>
            <w:tcW w:w="1530"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27</w:t>
            </w:r>
          </w:p>
        </w:tc>
        <w:tc>
          <w:tcPr>
            <w:tcW w:w="1567" w:type="dxa"/>
          </w:tcPr>
          <w:p w:rsidR="00096C64" w:rsidRPr="00100AF5" w:rsidRDefault="00096C64" w:rsidP="005024A2">
            <w:pPr>
              <w:pStyle w:val="ListParagraph"/>
              <w:ind w:left="0"/>
              <w:rPr>
                <w:rFonts w:ascii="Arial" w:hAnsi="Arial" w:cs="Arial"/>
                <w:sz w:val="18"/>
                <w:szCs w:val="18"/>
              </w:rPr>
            </w:pPr>
            <w:r w:rsidRPr="00100AF5">
              <w:rPr>
                <w:rFonts w:ascii="Arial" w:hAnsi="Arial" w:cs="Arial"/>
                <w:sz w:val="18"/>
                <w:szCs w:val="18"/>
              </w:rPr>
              <w:t>12.7%</w:t>
            </w:r>
          </w:p>
        </w:tc>
      </w:tr>
    </w:tbl>
    <w:p w:rsidR="00096C64" w:rsidRPr="00100AF5" w:rsidRDefault="00096C64" w:rsidP="00096C64">
      <w:pPr>
        <w:pStyle w:val="Pa1"/>
        <w:spacing w:after="120" w:line="240" w:lineRule="auto"/>
        <w:jc w:val="both"/>
        <w:rPr>
          <w:rFonts w:ascii="Arial" w:hAnsi="Arial" w:cs="Arial"/>
          <w:sz w:val="18"/>
          <w:szCs w:val="18"/>
          <w:lang w:val="en-GB"/>
        </w:rPr>
      </w:pPr>
      <w:r w:rsidRPr="00100AF5">
        <w:rPr>
          <w:rFonts w:ascii="Arial" w:hAnsi="Arial" w:cs="Arial"/>
          <w:sz w:val="18"/>
          <w:szCs w:val="18"/>
          <w:lang w:val="en-GB"/>
        </w:rPr>
        <w:t>*</w:t>
      </w:r>
      <w:r w:rsidRPr="00100AF5">
        <w:rPr>
          <w:rFonts w:ascii="Arial" w:hAnsi="Arial" w:cs="Arial"/>
          <w:b/>
          <w:sz w:val="18"/>
          <w:szCs w:val="18"/>
          <w:lang w:val="en-GB" w:eastAsia="en-US"/>
        </w:rPr>
        <w:t xml:space="preserve"> </w:t>
      </w:r>
      <w:r w:rsidRPr="00100AF5">
        <w:rPr>
          <w:rFonts w:ascii="Arial" w:hAnsi="Arial" w:cs="Arial"/>
          <w:sz w:val="18"/>
          <w:szCs w:val="18"/>
          <w:lang w:val="en-GB"/>
        </w:rPr>
        <w:t xml:space="preserve">2008            </w:t>
      </w:r>
      <w:r w:rsidRPr="00100AF5">
        <w:rPr>
          <w:rFonts w:ascii="Arial" w:hAnsi="Arial" w:cs="Arial"/>
          <w:i/>
          <w:sz w:val="20"/>
          <w:szCs w:val="20"/>
          <w:lang w:val="en-GB"/>
        </w:rPr>
        <w:t>Source</w:t>
      </w:r>
      <w:r w:rsidRPr="00100AF5">
        <w:rPr>
          <w:rFonts w:ascii="Arial" w:hAnsi="Arial" w:cs="Arial"/>
          <w:i/>
          <w:sz w:val="20"/>
          <w:szCs w:val="20"/>
          <w:lang w:val="en-GB" w:eastAsia="en-US"/>
        </w:rPr>
        <w:t>: Human Development Report 2009, UNDP (based on 2007 data) and World Bank</w:t>
      </w:r>
    </w:p>
    <w:p w:rsidR="00096C64" w:rsidRPr="00100AF5" w:rsidRDefault="00096C64" w:rsidP="00096C64">
      <w:pPr>
        <w:pStyle w:val="ListParagraph"/>
        <w:ind w:left="0"/>
        <w:rPr>
          <w:rFonts w:ascii="Arial" w:hAnsi="Arial" w:cs="Arial"/>
          <w:sz w:val="18"/>
          <w:szCs w:val="18"/>
        </w:rPr>
      </w:pPr>
    </w:p>
    <w:p w:rsidR="00096C64" w:rsidRPr="00100AF5" w:rsidRDefault="00096C64" w:rsidP="00096C64">
      <w:pPr>
        <w:rPr>
          <w:rFonts w:eastAsiaTheme="minorHAnsi"/>
        </w:rPr>
      </w:pPr>
      <w:r w:rsidRPr="00100AF5">
        <w:rPr>
          <w:rFonts w:eastAsiaTheme="minorHAnsi"/>
        </w:rPr>
        <w:t>The Government of Jordan (</w:t>
      </w:r>
      <w:proofErr w:type="spellStart"/>
      <w:r w:rsidRPr="00100AF5">
        <w:rPr>
          <w:rFonts w:eastAsiaTheme="minorHAnsi"/>
        </w:rPr>
        <w:t>GoJ</w:t>
      </w:r>
      <w:proofErr w:type="spellEnd"/>
      <w:r w:rsidRPr="00100AF5">
        <w:rPr>
          <w:rFonts w:eastAsiaTheme="minorHAnsi"/>
        </w:rPr>
        <w:t xml:space="preserve">) has devoted a considerable amount of effort on social protection system reforms in recent years. Indeed, according to the World Bank, more than 25% of GDP is devoted to human development (education, health, pensions and social safety nets). </w:t>
      </w:r>
    </w:p>
    <w:p w:rsidR="00096C64" w:rsidRPr="00100AF5" w:rsidRDefault="00096C64" w:rsidP="00096C64">
      <w:pPr>
        <w:rPr>
          <w:rFonts w:eastAsiaTheme="minorHAnsi"/>
        </w:rPr>
      </w:pPr>
      <w:r w:rsidRPr="00100AF5">
        <w:rPr>
          <w:rFonts w:eastAsiaTheme="minorHAnsi"/>
        </w:rPr>
        <w:t>Between 1995 and 2005, around 20% of the Government Budget (around 6.5% of GDP) was represented by educational expenses (Jordan is one of the best performing Country in the MENA Region).</w:t>
      </w:r>
    </w:p>
    <w:p w:rsidR="00096C64" w:rsidRPr="00100AF5" w:rsidRDefault="00096C64" w:rsidP="00096C64">
      <w:pPr>
        <w:rPr>
          <w:rFonts w:eastAsiaTheme="minorHAnsi"/>
        </w:rPr>
      </w:pPr>
      <w:r w:rsidRPr="00100AF5">
        <w:rPr>
          <w:rFonts w:eastAsiaTheme="minorHAnsi"/>
        </w:rPr>
        <w:t>Women are almost equally represented in higher education, and nearly half of Jordan’s Universities enrolled students are represented by female. However, the percentage of women in the workforce remains low. In the 2007 parliamentary elections, a record number of seven women gained seats in the lower house. In addition, an unprecedented number of ministerial portfolios have been given to women.</w:t>
      </w:r>
    </w:p>
    <w:p w:rsidR="00096C64" w:rsidRPr="00100AF5" w:rsidRDefault="00096C64" w:rsidP="00096C64">
      <w:pPr>
        <w:pStyle w:val="Heading2"/>
      </w:pPr>
      <w:bookmarkStart w:id="15" w:name="_Toc273263620"/>
      <w:bookmarkStart w:id="16" w:name="_Toc276461228"/>
      <w:r w:rsidRPr="00100AF5">
        <w:lastRenderedPageBreak/>
        <w:t>Public Sector Reform in Jordan</w:t>
      </w:r>
      <w:bookmarkEnd w:id="15"/>
      <w:bookmarkEnd w:id="16"/>
    </w:p>
    <w:p w:rsidR="007C4033" w:rsidRPr="00100AF5" w:rsidRDefault="007C4033" w:rsidP="007C4033">
      <w:pPr>
        <w:pStyle w:val="Heading3"/>
      </w:pPr>
      <w:bookmarkStart w:id="17" w:name="_Toc276461229"/>
      <w:r w:rsidRPr="00100AF5">
        <w:t>Progress of the reform during this decade</w:t>
      </w:r>
      <w:bookmarkEnd w:id="17"/>
    </w:p>
    <w:p w:rsidR="00244B45" w:rsidRPr="00100AF5" w:rsidRDefault="00244B45" w:rsidP="00244B45">
      <w:pPr>
        <w:rPr>
          <w:rFonts w:eastAsiaTheme="minorHAnsi"/>
        </w:rPr>
      </w:pPr>
      <w:r w:rsidRPr="00100AF5">
        <w:rPr>
          <w:rFonts w:cs="Times New Roman"/>
        </w:rPr>
        <w:t xml:space="preserve">The Jordanian public administration includes three types of organizations: Ministries, Central departments, other State agencies. In this report they will be named MDA (Ministries/Departments/Agencies). </w:t>
      </w:r>
      <w:r w:rsidRPr="00100AF5">
        <w:rPr>
          <w:rFonts w:eastAsiaTheme="minorHAnsi"/>
        </w:rPr>
        <w:t>Jordan's governance system consists of three levels:</w:t>
      </w:r>
    </w:p>
    <w:p w:rsidR="00244B45" w:rsidRPr="00100AF5" w:rsidRDefault="00727DB2" w:rsidP="00244B45">
      <w:pPr>
        <w:rPr>
          <w:rFonts w:eastAsiaTheme="minorHAnsi"/>
        </w:rPr>
      </w:pPr>
      <w:r>
        <w:rPr>
          <w:rFonts w:eastAsiaTheme="minorHAnsi"/>
        </w:rPr>
        <w:t>Centr</w:t>
      </w:r>
      <w:r w:rsidR="00D4095A">
        <w:rPr>
          <w:rFonts w:eastAsiaTheme="minorHAnsi"/>
        </w:rPr>
        <w:t>al level</w:t>
      </w:r>
      <w:r>
        <w:rPr>
          <w:rFonts w:eastAsiaTheme="minorHAnsi"/>
        </w:rPr>
        <w:t xml:space="preserve">: composed of </w:t>
      </w:r>
      <w:r w:rsidRPr="00727DB2">
        <w:rPr>
          <w:rFonts w:eastAsiaTheme="minorHAnsi"/>
          <w:highlight w:val="yellow"/>
        </w:rPr>
        <w:t>26 ministries and 23</w:t>
      </w:r>
      <w:r w:rsidR="00244B45" w:rsidRPr="00727DB2">
        <w:rPr>
          <w:rFonts w:eastAsiaTheme="minorHAnsi"/>
          <w:highlight w:val="yellow"/>
        </w:rPr>
        <w:t xml:space="preserve"> central departments</w:t>
      </w:r>
      <w:r w:rsidR="00244B45" w:rsidRPr="00100AF5">
        <w:rPr>
          <w:rFonts w:eastAsiaTheme="minorHAnsi"/>
        </w:rPr>
        <w:t xml:space="preserve">. </w:t>
      </w:r>
    </w:p>
    <w:p w:rsidR="00244B45" w:rsidRPr="00100AF5" w:rsidRDefault="00244B45" w:rsidP="00244B45">
      <w:pPr>
        <w:rPr>
          <w:rFonts w:eastAsiaTheme="minorHAnsi"/>
        </w:rPr>
      </w:pPr>
      <w:r w:rsidRPr="00100AF5">
        <w:rPr>
          <w:rFonts w:eastAsiaTheme="minorHAnsi"/>
        </w:rPr>
        <w:t xml:space="preserve">The </w:t>
      </w:r>
      <w:r w:rsidR="00727DB2" w:rsidRPr="00100AF5">
        <w:rPr>
          <w:rFonts w:eastAsiaTheme="minorHAnsi"/>
        </w:rPr>
        <w:t>centre</w:t>
      </w:r>
      <w:r w:rsidRPr="00100AF5">
        <w:rPr>
          <w:rFonts w:eastAsiaTheme="minorHAnsi"/>
        </w:rPr>
        <w:t xml:space="preserve"> is responsible for developing strategies and policies that govern service delivery to citizens. Despite reforms to enhance decentralization, it is said that most decisions are made by central authorities.</w:t>
      </w:r>
    </w:p>
    <w:p w:rsidR="00244B45" w:rsidRPr="00100AF5" w:rsidRDefault="00244B45" w:rsidP="00244B45">
      <w:pPr>
        <w:rPr>
          <w:rFonts w:eastAsiaTheme="minorHAnsi"/>
        </w:rPr>
      </w:pPr>
      <w:r w:rsidRPr="00100AF5">
        <w:rPr>
          <w:rFonts w:eastAsiaTheme="minorHAnsi"/>
        </w:rPr>
        <w:t>Regional Units are composed of 12 Governorates; each has sub-divisions called districts (</w:t>
      </w:r>
      <w:proofErr w:type="spellStart"/>
      <w:r w:rsidRPr="00100AF5">
        <w:rPr>
          <w:rFonts w:eastAsiaTheme="minorHAnsi"/>
        </w:rPr>
        <w:t>Liwa</w:t>
      </w:r>
      <w:proofErr w:type="spellEnd"/>
      <w:r w:rsidRPr="00100AF5">
        <w:rPr>
          <w:rFonts w:eastAsiaTheme="minorHAnsi"/>
        </w:rPr>
        <w:t>)</w:t>
      </w:r>
    </w:p>
    <w:p w:rsidR="00244B45" w:rsidRPr="00100AF5" w:rsidRDefault="00244B45" w:rsidP="00244B45">
      <w:pPr>
        <w:spacing w:before="0" w:after="120"/>
        <w:rPr>
          <w:rFonts w:eastAsiaTheme="minorHAnsi"/>
        </w:rPr>
      </w:pPr>
      <w:r w:rsidRPr="00100AF5">
        <w:rPr>
          <w:rFonts w:eastAsiaTheme="minorHAnsi"/>
        </w:rPr>
        <w:t>and sub-districts (</w:t>
      </w:r>
      <w:proofErr w:type="spellStart"/>
      <w:r w:rsidRPr="00100AF5">
        <w:rPr>
          <w:rFonts w:eastAsiaTheme="minorHAnsi"/>
        </w:rPr>
        <w:t>Qadha</w:t>
      </w:r>
      <w:proofErr w:type="spellEnd"/>
      <w:r w:rsidRPr="00100AF5">
        <w:rPr>
          <w:rFonts w:eastAsiaTheme="minorHAnsi"/>
        </w:rPr>
        <w:t>’).</w:t>
      </w:r>
    </w:p>
    <w:p w:rsidR="00244B45" w:rsidRPr="00100AF5" w:rsidRDefault="00244B45" w:rsidP="00244B45">
      <w:pPr>
        <w:spacing w:after="120"/>
        <w:rPr>
          <w:rFonts w:eastAsiaTheme="minorHAnsi"/>
        </w:rPr>
      </w:pPr>
      <w:r w:rsidRPr="00100AF5">
        <w:rPr>
          <w:rFonts w:eastAsiaTheme="minorHAnsi"/>
        </w:rPr>
        <w:t>Local Units</w:t>
      </w:r>
      <w:r w:rsidR="00727DB2">
        <w:rPr>
          <w:rFonts w:eastAsiaTheme="minorHAnsi"/>
        </w:rPr>
        <w:t xml:space="preserve"> consist</w:t>
      </w:r>
      <w:r w:rsidRPr="00100AF5">
        <w:rPr>
          <w:rFonts w:eastAsiaTheme="minorHAnsi"/>
        </w:rPr>
        <w:t xml:space="preserve"> of </w:t>
      </w:r>
      <w:r w:rsidR="00727DB2">
        <w:rPr>
          <w:rFonts w:eastAsiaTheme="minorHAnsi"/>
        </w:rPr>
        <w:t>309 municipalities and 157</w:t>
      </w:r>
      <w:r w:rsidRPr="00100AF5">
        <w:rPr>
          <w:rFonts w:eastAsiaTheme="minorHAnsi"/>
        </w:rPr>
        <w:t xml:space="preserve"> v</w:t>
      </w:r>
      <w:r w:rsidR="00727DB2">
        <w:rPr>
          <w:rFonts w:eastAsiaTheme="minorHAnsi"/>
        </w:rPr>
        <w:t xml:space="preserve">illage councils and </w:t>
      </w:r>
      <w:r w:rsidRPr="00100AF5">
        <w:rPr>
          <w:rFonts w:eastAsiaTheme="minorHAnsi"/>
        </w:rPr>
        <w:t>40 common service councils.</w:t>
      </w:r>
    </w:p>
    <w:p w:rsidR="00496421" w:rsidRPr="00100AF5" w:rsidRDefault="00496421" w:rsidP="00244B45">
      <w:pPr>
        <w:rPr>
          <w:rFonts w:cs="Times New Roman"/>
        </w:rPr>
      </w:pPr>
      <w:r w:rsidRPr="00100AF5">
        <w:rPr>
          <w:rFonts w:cs="Times New Roman"/>
        </w:rPr>
        <w:t>The total number of governmental employees (c</w:t>
      </w:r>
      <w:r w:rsidR="00BC2594" w:rsidRPr="00100AF5">
        <w:rPr>
          <w:rFonts w:cs="Times New Roman"/>
        </w:rPr>
        <w:t>ivilian side) is about 180</w:t>
      </w:r>
      <w:r w:rsidR="00BC2594" w:rsidRPr="00100AF5">
        <w:rPr>
          <w:rFonts w:cs="Times New Roman"/>
          <w:highlight w:val="yellow"/>
        </w:rPr>
        <w:t>.000</w:t>
      </w:r>
      <w:r w:rsidRPr="00100AF5">
        <w:rPr>
          <w:rFonts w:cs="Times New Roman"/>
          <w:highlight w:val="yellow"/>
        </w:rPr>
        <w:t xml:space="preserve"> employee</w:t>
      </w:r>
      <w:r w:rsidR="00BE01C1">
        <w:rPr>
          <w:rFonts w:cs="Times New Roman"/>
          <w:highlight w:val="yellow"/>
        </w:rPr>
        <w:t>s,</w:t>
      </w:r>
      <w:r w:rsidRPr="00100AF5">
        <w:rPr>
          <w:rFonts w:cs="Times New Roman"/>
          <w:highlight w:val="yellow"/>
        </w:rPr>
        <w:t xml:space="preserve"> with a ratio of 1:30 civil servants vis-à-vis the population</w:t>
      </w:r>
      <w:r w:rsidR="00AA1763">
        <w:rPr>
          <w:rStyle w:val="FootnoteReference"/>
          <w:rFonts w:cs="Times New Roman"/>
        </w:rPr>
        <w:footnoteReference w:id="4"/>
      </w:r>
      <w:r w:rsidRPr="00100AF5">
        <w:rPr>
          <w:rFonts w:cs="Times New Roman"/>
          <w:highlight w:val="yellow"/>
        </w:rPr>
        <w:t xml:space="preserve">. </w:t>
      </w:r>
    </w:p>
    <w:p w:rsidR="00FD3543" w:rsidRPr="00100AF5" w:rsidRDefault="004E1062" w:rsidP="004E1062">
      <w:r w:rsidRPr="00100AF5">
        <w:t xml:space="preserve">Public administration reform has been in the </w:t>
      </w:r>
      <w:proofErr w:type="spellStart"/>
      <w:r w:rsidRPr="00100AF5">
        <w:t>GoJ</w:t>
      </w:r>
      <w:proofErr w:type="spellEnd"/>
      <w:r w:rsidRPr="00100AF5">
        <w:t xml:space="preserve"> agenda since several years</w:t>
      </w:r>
      <w:r w:rsidR="00FD3543" w:rsidRPr="00100AF5">
        <w:t xml:space="preserve"> and was the object of strategies, programmes and plan since the 70s.</w:t>
      </w:r>
    </w:p>
    <w:p w:rsidR="004E1062" w:rsidRPr="00100AF5" w:rsidRDefault="004E1062" w:rsidP="004E1062">
      <w:pPr>
        <w:rPr>
          <w:rFonts w:cs="Times New Roman"/>
        </w:rPr>
      </w:pPr>
      <w:r w:rsidRPr="00100AF5">
        <w:t xml:space="preserve">In particular in this decade, </w:t>
      </w:r>
      <w:r w:rsidR="00FD3543" w:rsidRPr="00100AF5">
        <w:t>a comprehensive</w:t>
      </w:r>
      <w:r w:rsidR="00BC2594" w:rsidRPr="00100AF5">
        <w:t xml:space="preserve"> </w:t>
      </w:r>
      <w:r w:rsidRPr="00100AF5">
        <w:t xml:space="preserve">administrative reform effort </w:t>
      </w:r>
      <w:r w:rsidR="00BC2594" w:rsidRPr="00100AF5">
        <w:t>was launched in 2001 a</w:t>
      </w:r>
      <w:r w:rsidRPr="00100AF5">
        <w:t>s a part of the overall socio-ec</w:t>
      </w:r>
      <w:r w:rsidR="00BC2594" w:rsidRPr="00100AF5">
        <w:t>onomic reform efforts. It sought</w:t>
      </w:r>
      <w:r w:rsidRPr="00100AF5">
        <w:t xml:space="preserve"> to modernise the country’s bureaucracy and raise qualitative standards for public services</w:t>
      </w:r>
      <w:r w:rsidR="00BC2594" w:rsidRPr="00100AF5">
        <w:t>,</w:t>
      </w:r>
      <w:r w:rsidRPr="00100AF5">
        <w:t xml:space="preserve"> through restructuring government departments and</w:t>
      </w:r>
      <w:r w:rsidRPr="00100AF5">
        <w:rPr>
          <w:rFonts w:cs="Times New Roman"/>
        </w:rPr>
        <w:t xml:space="preserve"> implementing an e-government plan. In particular, administrative reform in Jordan was int</w:t>
      </w:r>
      <w:r w:rsidR="00BC2594" w:rsidRPr="00100AF5">
        <w:rPr>
          <w:rFonts w:cs="Times New Roman"/>
        </w:rPr>
        <w:t xml:space="preserve">ended to achieve efficiency, effectiveness </w:t>
      </w:r>
      <w:r w:rsidRPr="00100AF5">
        <w:rPr>
          <w:rFonts w:cs="Times New Roman"/>
        </w:rPr>
        <w:t>and transparency in the public administration through a qualitative change process focusing on improving services provided to citizens, rationalising costs, improving organisation and control, and supporting competitiveness in the private sector.</w:t>
      </w:r>
    </w:p>
    <w:p w:rsidR="004E1062" w:rsidRPr="00100AF5" w:rsidRDefault="004E1062" w:rsidP="004E1062">
      <w:pPr>
        <w:autoSpaceDE w:val="0"/>
        <w:autoSpaceDN w:val="0"/>
        <w:adjustRightInd w:val="0"/>
        <w:rPr>
          <w:rFonts w:cs="Times New Roman"/>
        </w:rPr>
      </w:pPr>
      <w:r w:rsidRPr="00100AF5">
        <w:rPr>
          <w:rFonts w:cs="Times New Roman"/>
        </w:rPr>
        <w:t xml:space="preserve">The reform plan, as approved in the programme presented to King Abdullah II </w:t>
      </w:r>
      <w:proofErr w:type="spellStart"/>
      <w:r w:rsidRPr="00100AF5">
        <w:rPr>
          <w:rFonts w:cs="Times New Roman"/>
        </w:rPr>
        <w:t>Ibn</w:t>
      </w:r>
      <w:proofErr w:type="spellEnd"/>
      <w:r w:rsidRPr="00100AF5">
        <w:rPr>
          <w:rFonts w:cs="Times New Roman"/>
        </w:rPr>
        <w:t xml:space="preserve"> Hussein and the Economic Council in 2002, focused on 4 key goals: increasing productivity and efficiency; rationalising expenses and achieving optimal use of available resources; developing competitive departments and adapting the organisation of the administration to international development needs; improving the quality of services provided to the citizens.  In order to reach these goals, 5 priority areas for intervention were identified: Government and its restructuring, Human resources development in the public sector, Service quality, Adoption of the responsibility principle in administrative action, Development of information technology (electronic government) and postal administration.  These five objectives were reflected in five different programme groups.</w:t>
      </w:r>
    </w:p>
    <w:p w:rsidR="004E1062" w:rsidRPr="00100AF5" w:rsidRDefault="004E1062" w:rsidP="004E1062">
      <w:pPr>
        <w:autoSpaceDE w:val="0"/>
        <w:autoSpaceDN w:val="0"/>
        <w:adjustRightInd w:val="0"/>
        <w:rPr>
          <w:rFonts w:cs="Times New Roman"/>
        </w:rPr>
      </w:pPr>
      <w:r w:rsidRPr="00100AF5">
        <w:rPr>
          <w:rFonts w:cs="Times New Roman"/>
        </w:rPr>
        <w:t xml:space="preserve">In terms of developing accountability in administrative actions, Jordan began at that time defining procedures regarding the planning process in all Departments through training staff involved with planning and development, and through introducing a performance control and </w:t>
      </w:r>
      <w:r w:rsidRPr="00100AF5">
        <w:rPr>
          <w:rFonts w:cs="Times New Roman"/>
        </w:rPr>
        <w:lastRenderedPageBreak/>
        <w:t xml:space="preserve">monitoring programme. Furthermore, Jordan planned to set parameters to measure performance in terms of the goals that needed to be reached. </w:t>
      </w:r>
    </w:p>
    <w:p w:rsidR="00F550D6" w:rsidRPr="00100AF5" w:rsidRDefault="00F550D6" w:rsidP="00F550D6">
      <w:r w:rsidRPr="00100AF5">
        <w:t>In 2002, the King Abdullah II Award for Excellence in Government Performance and Transparency was launched</w:t>
      </w:r>
      <w:r w:rsidR="00DA734F" w:rsidRPr="00100AF5">
        <w:t xml:space="preserve"> by Royal Decree</w:t>
      </w:r>
      <w:r w:rsidRPr="00100AF5">
        <w:t xml:space="preserve"> </w:t>
      </w:r>
      <w:r w:rsidR="00DA734F" w:rsidRPr="00100AF5">
        <w:t>‘</w:t>
      </w:r>
      <w:r w:rsidRPr="00100AF5">
        <w:rPr>
          <w:i/>
        </w:rPr>
        <w:t>to enhance the role of the public sector in serving the Jordanian community with all its sectors and the investment community by promoting awareness of the concepts of comprehensive quality administration and distinguished performance, and to highlight the exceptional efforts of the public sector and present its accomplishments in the area of developing its systems and services. The King Abdullah II Award for Excellence in Government Performance and Transparency is considered the highest award of excellence for the public sector on the national level</w:t>
      </w:r>
      <w:r w:rsidR="00DA734F" w:rsidRPr="00100AF5">
        <w:rPr>
          <w:i/>
        </w:rPr>
        <w:t>’’</w:t>
      </w:r>
      <w:r w:rsidR="00DA734F" w:rsidRPr="00100AF5">
        <w:rPr>
          <w:rStyle w:val="FootnoteReference"/>
          <w:i/>
        </w:rPr>
        <w:footnoteReference w:id="5"/>
      </w:r>
      <w:r w:rsidR="00DA734F" w:rsidRPr="00100AF5">
        <w:rPr>
          <w:i/>
        </w:rPr>
        <w:t xml:space="preserve">. </w:t>
      </w:r>
      <w:r w:rsidR="00DA734F" w:rsidRPr="00100AF5">
        <w:t xml:space="preserve">One of the areas is the </w:t>
      </w:r>
      <w:r w:rsidR="00DA734F" w:rsidRPr="00100AF5">
        <w:rPr>
          <w:rFonts w:eastAsiaTheme="majorEastAsia"/>
        </w:rPr>
        <w:t>Award for Excellence in Government Performance and Transparency</w:t>
      </w:r>
      <w:r w:rsidR="00727DB2">
        <w:rPr>
          <w:rFonts w:eastAsiaTheme="majorEastAsia"/>
        </w:rPr>
        <w:t>.</w:t>
      </w:r>
    </w:p>
    <w:p w:rsidR="00442731" w:rsidRDefault="004E1062" w:rsidP="00442731">
      <w:pPr>
        <w:rPr>
          <w:rFonts w:ascii="Sabon-Roman" w:eastAsiaTheme="minorHAnsi" w:hAnsi="Sabon-Roman" w:cs="Sabon-Roman"/>
          <w:sz w:val="22"/>
          <w:szCs w:val="22"/>
        </w:rPr>
      </w:pPr>
      <w:r w:rsidRPr="00100AF5">
        <w:t xml:space="preserve">In 2005, </w:t>
      </w:r>
      <w:r w:rsidRPr="00100AF5">
        <w:rPr>
          <w:rFonts w:cs="Times New Roman"/>
        </w:rPr>
        <w:t>a Steering Committee including representatives from the government, civil society, private sector, Parliament, and media completed the National Agenda, an ambitious development agenda to transform Jordan from a lower-middle income country into a modern knowledge-based economy with higher value added, increased productivity and employment, and improved quality of life for Jordanians.</w:t>
      </w:r>
      <w:r w:rsidR="00442731" w:rsidRPr="00100AF5">
        <w:rPr>
          <w:rFonts w:cs="Times New Roman"/>
        </w:rPr>
        <w:t xml:space="preserve"> On</w:t>
      </w:r>
      <w:r w:rsidR="00442731" w:rsidRPr="00100AF5">
        <w:rPr>
          <w:rFonts w:eastAsiaTheme="minorHAnsi" w:cs="Times New Roman"/>
        </w:rPr>
        <w:t xml:space="preserve"> Government &amp; Policies side, the Agenda means</w:t>
      </w:r>
      <w:r w:rsidR="00442731" w:rsidRPr="00100AF5">
        <w:rPr>
          <w:rFonts w:eastAsiaTheme="minorHAnsi" w:cs="Times New Roman"/>
          <w:i/>
        </w:rPr>
        <w:t xml:space="preserve">: involving reforms intended to contribute to the stimulation of economic development and the improvement of social welfare and security. These reforms revolve around creating a </w:t>
      </w:r>
      <w:r w:rsidR="00727DB2" w:rsidRPr="00100AF5">
        <w:rPr>
          <w:rFonts w:eastAsiaTheme="minorHAnsi" w:cs="Times New Roman"/>
          <w:i/>
        </w:rPr>
        <w:t>favourable</w:t>
      </w:r>
      <w:r w:rsidR="00442731" w:rsidRPr="00100AF5">
        <w:rPr>
          <w:rFonts w:eastAsiaTheme="minorHAnsi" w:cs="Times New Roman"/>
          <w:i/>
        </w:rPr>
        <w:t xml:space="preserve"> investment environment, fiscal discipline, internal political stability, administrative development, justice,  accountability, transparency, </w:t>
      </w:r>
      <w:r w:rsidR="00727DB2" w:rsidRPr="00100AF5">
        <w:rPr>
          <w:rFonts w:eastAsiaTheme="minorHAnsi" w:cs="Times New Roman"/>
          <w:i/>
        </w:rPr>
        <w:t>labour</w:t>
      </w:r>
      <w:r w:rsidR="00442731" w:rsidRPr="00100AF5">
        <w:rPr>
          <w:rFonts w:eastAsiaTheme="minorHAnsi" w:cs="Times New Roman"/>
          <w:i/>
        </w:rPr>
        <w:t xml:space="preserve"> policies, vocational training, employment support, minimum wage, maximum working hours , education</w:t>
      </w:r>
      <w:r w:rsidR="00442731" w:rsidRPr="00100AF5">
        <w:rPr>
          <w:rStyle w:val="FootnoteReference"/>
          <w:rFonts w:ascii="Sabon-Roman" w:eastAsiaTheme="minorHAnsi" w:hAnsi="Sabon-Roman" w:cs="Sabon-Roman"/>
          <w:sz w:val="22"/>
          <w:szCs w:val="22"/>
        </w:rPr>
        <w:footnoteReference w:id="6"/>
      </w:r>
      <w:r w:rsidR="00442731" w:rsidRPr="00100AF5">
        <w:rPr>
          <w:rFonts w:ascii="Sabon-Roman" w:eastAsiaTheme="minorHAnsi" w:hAnsi="Sabon-Roman" w:cs="Sabon-Roman"/>
          <w:sz w:val="22"/>
          <w:szCs w:val="22"/>
        </w:rPr>
        <w:t>.</w:t>
      </w:r>
    </w:p>
    <w:p w:rsidR="00727DB2" w:rsidRPr="00100AF5" w:rsidRDefault="00727DB2" w:rsidP="00442731">
      <w:pPr>
        <w:rPr>
          <w:rFonts w:ascii="Sabon-Roman" w:eastAsiaTheme="minorHAnsi" w:hAnsi="Sabon-Roman" w:cs="Sabon-Roman"/>
          <w:sz w:val="22"/>
          <w:szCs w:val="22"/>
        </w:rPr>
      </w:pPr>
      <w:r w:rsidRPr="00100AF5">
        <w:rPr>
          <w:rFonts w:eastAsiaTheme="minorHAnsi"/>
        </w:rPr>
        <w:t xml:space="preserve">2006 was an important year for the progress of public sector reform. In January </w:t>
      </w:r>
      <w:r w:rsidRPr="00100AF5">
        <w:t>the King Abdullah Centre for Excellence (KACE) was established</w:t>
      </w:r>
      <w:r>
        <w:rPr>
          <w:rFonts w:cs="Times New Roman"/>
        </w:rPr>
        <w:t xml:space="preserve">, with the objective </w:t>
      </w:r>
      <w:r w:rsidRPr="00100AF5">
        <w:rPr>
          <w:rFonts w:cs="Times New Roman"/>
        </w:rPr>
        <w:t>to be the national reference for quality and excellence among public, private, business associations, educational service providers and</w:t>
      </w:r>
      <w:r>
        <w:rPr>
          <w:rFonts w:cs="Times New Roman"/>
        </w:rPr>
        <w:t xml:space="preserve"> non-governmental institutions. </w:t>
      </w:r>
      <w:r w:rsidRPr="00100AF5">
        <w:t>KACE also contracts</w:t>
      </w:r>
      <w:r>
        <w:t xml:space="preserve"> non-biased parties to measure </w:t>
      </w:r>
      <w:r w:rsidRPr="00100AF5">
        <w:t>customer satisfaction (citizens, investors, or entities).</w:t>
      </w:r>
    </w:p>
    <w:p w:rsidR="00C13944" w:rsidRPr="00100AF5" w:rsidRDefault="00FD3543" w:rsidP="0025498F">
      <w:pPr>
        <w:spacing w:after="120"/>
        <w:rPr>
          <w:color w:val="000000"/>
          <w:kern w:val="28"/>
        </w:rPr>
      </w:pPr>
      <w:r w:rsidRPr="00100AF5">
        <w:rPr>
          <w:color w:val="000000"/>
          <w:kern w:val="28"/>
        </w:rPr>
        <w:t xml:space="preserve">In </w:t>
      </w:r>
      <w:proofErr w:type="spellStart"/>
      <w:r w:rsidRPr="00100AF5">
        <w:rPr>
          <w:color w:val="000000"/>
          <w:kern w:val="28"/>
        </w:rPr>
        <w:t>mid 2006</w:t>
      </w:r>
      <w:proofErr w:type="spellEnd"/>
      <w:r w:rsidRPr="00100AF5">
        <w:rPr>
          <w:color w:val="000000"/>
          <w:kern w:val="28"/>
        </w:rPr>
        <w:t xml:space="preserve"> </w:t>
      </w:r>
      <w:r w:rsidR="007C4033" w:rsidRPr="00100AF5">
        <w:rPr>
          <w:color w:val="000000"/>
          <w:kern w:val="28"/>
        </w:rPr>
        <w:t>t</w:t>
      </w:r>
      <w:r w:rsidRPr="00100AF5">
        <w:rPr>
          <w:color w:val="000000"/>
          <w:kern w:val="28"/>
        </w:rPr>
        <w:t>he Ministry of Public Sector Development (</w:t>
      </w:r>
      <w:proofErr w:type="spellStart"/>
      <w:r w:rsidRPr="00100AF5">
        <w:rPr>
          <w:color w:val="000000"/>
          <w:kern w:val="28"/>
        </w:rPr>
        <w:t>MoPSD</w:t>
      </w:r>
      <w:proofErr w:type="spellEnd"/>
      <w:r w:rsidRPr="00100AF5">
        <w:rPr>
          <w:color w:val="000000"/>
          <w:kern w:val="28"/>
        </w:rPr>
        <w:t>) was established as the legal and actual successor to the Public Sector Development Directorate, which was part of the Office of the Prime Minister. The new ministry also incorporated functions of the previous Ministry for Administrative Development, whose tasks and functions were therefore expanded.</w:t>
      </w:r>
    </w:p>
    <w:p w:rsidR="00AD6690" w:rsidRPr="00100AF5" w:rsidRDefault="007E4B56" w:rsidP="00BB0A15">
      <w:pPr>
        <w:autoSpaceDE w:val="0"/>
        <w:autoSpaceDN w:val="0"/>
        <w:adjustRightInd w:val="0"/>
        <w:spacing w:after="120"/>
        <w:rPr>
          <w:i/>
        </w:rPr>
      </w:pPr>
      <w:r w:rsidRPr="00100AF5">
        <w:rPr>
          <w:rFonts w:eastAsiaTheme="minorHAnsi" w:cs="Times New Roman"/>
        </w:rPr>
        <w:t>In 2006</w:t>
      </w:r>
      <w:r w:rsidR="00BB0A15" w:rsidRPr="00100AF5">
        <w:rPr>
          <w:rFonts w:eastAsiaTheme="minorHAnsi" w:cs="Times New Roman"/>
        </w:rPr>
        <w:t>,</w:t>
      </w:r>
      <w:r w:rsidRPr="00100AF5">
        <w:rPr>
          <w:rFonts w:eastAsiaTheme="minorHAnsi" w:cs="Times New Roman"/>
        </w:rPr>
        <w:t xml:space="preserve"> t</w:t>
      </w:r>
      <w:r w:rsidR="00030ED6" w:rsidRPr="00100AF5">
        <w:rPr>
          <w:rFonts w:eastAsiaTheme="minorHAnsi" w:cs="Times New Roman"/>
        </w:rPr>
        <w:t xml:space="preserve">he </w:t>
      </w:r>
      <w:proofErr w:type="spellStart"/>
      <w:r w:rsidR="00030ED6" w:rsidRPr="00100AF5">
        <w:rPr>
          <w:rFonts w:eastAsiaTheme="minorHAnsi" w:cs="Times New Roman"/>
        </w:rPr>
        <w:t>Go</w:t>
      </w:r>
      <w:r w:rsidR="00BB0A15" w:rsidRPr="00100AF5">
        <w:rPr>
          <w:rFonts w:eastAsiaTheme="minorHAnsi" w:cs="Times New Roman"/>
        </w:rPr>
        <w:t>J</w:t>
      </w:r>
      <w:proofErr w:type="spellEnd"/>
      <w:r w:rsidR="00030ED6" w:rsidRPr="00100AF5">
        <w:rPr>
          <w:rFonts w:eastAsiaTheme="minorHAnsi" w:cs="Times New Roman"/>
        </w:rPr>
        <w:t xml:space="preserve"> </w:t>
      </w:r>
      <w:r w:rsidR="00BB0A15" w:rsidRPr="00100AF5">
        <w:rPr>
          <w:rFonts w:eastAsiaTheme="minorHAnsi" w:cs="Times New Roman"/>
        </w:rPr>
        <w:t>ratified</w:t>
      </w:r>
      <w:r w:rsidR="00030ED6" w:rsidRPr="00100AF5">
        <w:rPr>
          <w:rFonts w:eastAsiaTheme="minorHAnsi" w:cs="Times New Roman"/>
        </w:rPr>
        <w:t xml:space="preserve"> the UN Convent</w:t>
      </w:r>
      <w:r w:rsidR="00BB0A15" w:rsidRPr="00100AF5">
        <w:rPr>
          <w:rFonts w:eastAsiaTheme="minorHAnsi" w:cs="Times New Roman"/>
        </w:rPr>
        <w:t>ion against corruption, defined</w:t>
      </w:r>
      <w:r w:rsidR="00030ED6" w:rsidRPr="00100AF5">
        <w:rPr>
          <w:rFonts w:eastAsiaTheme="minorHAnsi" w:cs="Times New Roman"/>
        </w:rPr>
        <w:t xml:space="preserve"> an anticorruption strategy and a dece</w:t>
      </w:r>
      <w:r w:rsidR="00BB0A15" w:rsidRPr="00100AF5">
        <w:rPr>
          <w:rFonts w:eastAsiaTheme="minorHAnsi" w:cs="Times New Roman"/>
        </w:rPr>
        <w:t>ntralization plan, strengthened</w:t>
      </w:r>
      <w:r w:rsidR="00030ED6" w:rsidRPr="00100AF5">
        <w:rPr>
          <w:rFonts w:eastAsiaTheme="minorHAnsi" w:cs="Times New Roman"/>
        </w:rPr>
        <w:t xml:space="preserve"> its Audit Bureau, and </w:t>
      </w:r>
      <w:r w:rsidR="00BB0A15" w:rsidRPr="00100AF5">
        <w:rPr>
          <w:rFonts w:eastAsiaTheme="minorHAnsi" w:cs="Times New Roman"/>
        </w:rPr>
        <w:t>submitted</w:t>
      </w:r>
      <w:r w:rsidR="00030ED6" w:rsidRPr="00100AF5">
        <w:rPr>
          <w:rFonts w:eastAsiaTheme="minorHAnsi" w:cs="Times New Roman"/>
        </w:rPr>
        <w:t xml:space="preserve"> a draft financial disclosure law to Parliament.</w:t>
      </w:r>
      <w:r w:rsidR="00030ED6" w:rsidRPr="00100AF5">
        <w:rPr>
          <w:rFonts w:eastAsiaTheme="minorHAnsi" w:cs="Times New Roman"/>
          <w:i/>
        </w:rPr>
        <w:t xml:space="preserve"> </w:t>
      </w:r>
      <w:r w:rsidR="00030ED6" w:rsidRPr="00100AF5">
        <w:rPr>
          <w:rFonts w:eastAsiaTheme="minorHAnsi" w:cs="Times New Roman"/>
        </w:rPr>
        <w:t>A start was made with public sector reform within various Ministries</w:t>
      </w:r>
      <w:r w:rsidRPr="00100AF5">
        <w:rPr>
          <w:rFonts w:eastAsiaTheme="minorHAnsi" w:cs="Times New Roman"/>
          <w:i/>
        </w:rPr>
        <w:t>,</w:t>
      </w:r>
      <w:r w:rsidR="00030ED6" w:rsidRPr="00100AF5">
        <w:rPr>
          <w:rFonts w:eastAsiaTheme="minorHAnsi" w:cs="Times New Roman"/>
          <w:i/>
        </w:rPr>
        <w:t xml:space="preserve"> </w:t>
      </w:r>
      <w:r w:rsidR="00030ED6" w:rsidRPr="00100AF5">
        <w:rPr>
          <w:rFonts w:eastAsiaTheme="minorHAnsi" w:cs="Times New Roman"/>
        </w:rPr>
        <w:t>but</w:t>
      </w:r>
      <w:r w:rsidR="00030ED6" w:rsidRPr="00100AF5">
        <w:rPr>
          <w:rFonts w:eastAsiaTheme="minorHAnsi" w:cs="Times New Roman"/>
          <w:i/>
        </w:rPr>
        <w:t xml:space="preserve"> </w:t>
      </w:r>
      <w:r w:rsidRPr="00100AF5">
        <w:rPr>
          <w:rFonts w:eastAsiaTheme="minorHAnsi" w:cs="Times New Roman"/>
          <w:i/>
        </w:rPr>
        <w:t>–</w:t>
      </w:r>
      <w:r w:rsidRPr="00100AF5">
        <w:rPr>
          <w:rFonts w:eastAsiaTheme="minorHAnsi" w:cs="Times New Roman"/>
        </w:rPr>
        <w:t xml:space="preserve"> as reported in the</w:t>
      </w:r>
      <w:r w:rsidRPr="00100AF5">
        <w:rPr>
          <w:rFonts w:eastAsiaTheme="minorHAnsi" w:cs="Times New Roman"/>
          <w:i/>
        </w:rPr>
        <w:t>.</w:t>
      </w:r>
      <w:r w:rsidRPr="00100AF5">
        <w:rPr>
          <w:rFonts w:eastAsiaTheme="minorHAnsi" w:cs="Times New Roman"/>
        </w:rPr>
        <w:t xml:space="preserve"> 2006 EC progress report </w:t>
      </w:r>
      <w:r w:rsidR="00D06F0E" w:rsidRPr="00100AF5">
        <w:rPr>
          <w:rFonts w:eastAsiaTheme="minorHAnsi" w:cs="Times New Roman"/>
        </w:rPr>
        <w:t xml:space="preserve">on Jordan: </w:t>
      </w:r>
      <w:r w:rsidR="00030ED6" w:rsidRPr="00100AF5">
        <w:rPr>
          <w:rFonts w:eastAsiaTheme="minorHAnsi" w:cs="Times New Roman"/>
          <w:i/>
        </w:rPr>
        <w:t>a strategy for overall reform of the sector is not yet in place and does not seem to be high on the authorities’ agenda. Public sector reform is, however, essential as it is a precondition for other reforms</w:t>
      </w:r>
      <w:r w:rsidRPr="00100AF5">
        <w:rPr>
          <w:rFonts w:eastAsiaTheme="minorHAnsi" w:cs="Times New Roman"/>
          <w:i/>
        </w:rPr>
        <w:t>’.</w:t>
      </w:r>
      <w:r w:rsidRPr="00100AF5">
        <w:rPr>
          <w:rStyle w:val="FootnoteReference"/>
          <w:rFonts w:eastAsiaTheme="minorHAnsi" w:cs="Times New Roman"/>
          <w:i/>
        </w:rPr>
        <w:footnoteReference w:id="7"/>
      </w:r>
    </w:p>
    <w:p w:rsidR="00FD3543" w:rsidRPr="00100AF5" w:rsidRDefault="00FD3543" w:rsidP="0025498F">
      <w:pPr>
        <w:spacing w:after="120"/>
      </w:pPr>
      <w:r w:rsidRPr="00100AF5">
        <w:t xml:space="preserve">The </w:t>
      </w:r>
      <w:proofErr w:type="spellStart"/>
      <w:r w:rsidRPr="00100AF5">
        <w:t>GoJ</w:t>
      </w:r>
      <w:proofErr w:type="spellEnd"/>
      <w:r w:rsidRPr="00100AF5">
        <w:t xml:space="preserve"> programme presented to Parliament in December 2007 ran along the same lines of the National Agenda; in particular, continuing education reform and fighting poverty and unemployment were the top development priorities of the </w:t>
      </w:r>
      <w:proofErr w:type="spellStart"/>
      <w:r w:rsidRPr="00100AF5">
        <w:t>GoJ</w:t>
      </w:r>
      <w:proofErr w:type="spellEnd"/>
      <w:r w:rsidRPr="00100AF5">
        <w:t>.</w:t>
      </w:r>
    </w:p>
    <w:p w:rsidR="00FD3543" w:rsidRPr="00100AF5" w:rsidRDefault="00FD3543" w:rsidP="00030ED6">
      <w:pPr>
        <w:widowControl w:val="0"/>
        <w:overflowPunct w:val="0"/>
        <w:autoSpaceDE w:val="0"/>
        <w:autoSpaceDN w:val="0"/>
        <w:adjustRightInd w:val="0"/>
        <w:spacing w:after="120"/>
        <w:rPr>
          <w:color w:val="000000"/>
          <w:kern w:val="28"/>
        </w:rPr>
      </w:pPr>
      <w:r w:rsidRPr="00100AF5">
        <w:rPr>
          <w:color w:val="000000"/>
          <w:kern w:val="28"/>
        </w:rPr>
        <w:lastRenderedPageBreak/>
        <w:t xml:space="preserve">In 2008, </w:t>
      </w:r>
      <w:proofErr w:type="spellStart"/>
      <w:r w:rsidRPr="00100AF5">
        <w:rPr>
          <w:color w:val="000000"/>
          <w:kern w:val="28"/>
        </w:rPr>
        <w:t>MoPSD</w:t>
      </w:r>
      <w:proofErr w:type="spellEnd"/>
      <w:r w:rsidRPr="00100AF5">
        <w:rPr>
          <w:color w:val="000000"/>
          <w:kern w:val="28"/>
        </w:rPr>
        <w:t xml:space="preserve">, in collaboration with partners, developed a strategic plan for the public sector development (2008-2013), with a vision for efficient and effective government management in order to deliver better services. The mission of the strategy focused on empowering public sector ministries, especially in terms of their functions; developing policies and procedures based on national priorities; and enhancing principles of excellence, accountability and transparency. </w:t>
      </w:r>
    </w:p>
    <w:p w:rsidR="004E1062" w:rsidRPr="00100AF5" w:rsidRDefault="004E1062" w:rsidP="00030ED6">
      <w:pPr>
        <w:spacing w:after="120"/>
      </w:pPr>
      <w:r w:rsidRPr="00100AF5">
        <w:t xml:space="preserve">In spite of these efforts, progress has been </w:t>
      </w:r>
      <w:r w:rsidR="00DA734F" w:rsidRPr="00100AF5">
        <w:t xml:space="preserve">in general </w:t>
      </w:r>
      <w:r w:rsidRPr="00100AF5">
        <w:t>slow. Most areas, ranging from reforms in pay and grading to improving meritocracy and human resources management to strengthening policy coordination and streamlining government, have</w:t>
      </w:r>
      <w:r w:rsidR="00BC2594" w:rsidRPr="00100AF5">
        <w:t xml:space="preserve"> witnessed limited </w:t>
      </w:r>
      <w:r w:rsidR="00DA734F" w:rsidRPr="00100AF5">
        <w:t>advancement</w:t>
      </w:r>
      <w:r w:rsidR="00BC2594" w:rsidRPr="00100AF5">
        <w:t>. Some</w:t>
      </w:r>
      <w:r w:rsidRPr="00100AF5">
        <w:t xml:space="preserve"> </w:t>
      </w:r>
      <w:r w:rsidR="00DA734F" w:rsidRPr="00100AF5">
        <w:t>though limited evolution</w:t>
      </w:r>
      <w:r w:rsidRPr="00100AF5">
        <w:t xml:space="preserve"> has been registered within several ministries and public institutions using different tools, such as the </w:t>
      </w:r>
      <w:r w:rsidR="00F550D6" w:rsidRPr="00100AF5">
        <w:t xml:space="preserve">KACE </w:t>
      </w:r>
      <w:r w:rsidRPr="00100AF5">
        <w:t>and</w:t>
      </w:r>
      <w:r w:rsidR="00380F56">
        <w:t xml:space="preserve"> some</w:t>
      </w:r>
      <w:r w:rsidRPr="00100AF5">
        <w:t xml:space="preserve"> twinning projects with EU institutions which proved effective in harmonizing Jordan’s institutional framework with the EU’s. </w:t>
      </w:r>
    </w:p>
    <w:p w:rsidR="00BC2594" w:rsidRPr="00100AF5" w:rsidRDefault="00BC2594" w:rsidP="00BC2594">
      <w:pPr>
        <w:autoSpaceDE w:val="0"/>
        <w:autoSpaceDN w:val="0"/>
        <w:adjustRightInd w:val="0"/>
        <w:spacing w:after="120"/>
        <w:rPr>
          <w:rFonts w:eastAsiaTheme="minorHAnsi" w:cs="Times New Roman"/>
          <w:i/>
        </w:rPr>
      </w:pPr>
      <w:r w:rsidRPr="00100AF5">
        <w:rPr>
          <w:rFonts w:eastAsiaTheme="minorHAnsi" w:cs="Times New Roman"/>
        </w:rPr>
        <w:t xml:space="preserve">Slow pace of reform in the public sector is also highlighted in EC reports. The 2008 Progress Report states: </w:t>
      </w:r>
      <w:r w:rsidRPr="00100AF5">
        <w:rPr>
          <w:rFonts w:eastAsiaTheme="minorHAnsi" w:cs="Times New Roman"/>
          <w:i/>
        </w:rPr>
        <w:t xml:space="preserve">Limited progress was made on </w:t>
      </w:r>
      <w:r w:rsidRPr="00100AF5">
        <w:rPr>
          <w:rFonts w:eastAsiaTheme="minorHAnsi" w:cs="Times New Roman"/>
          <w:bCs/>
          <w:i/>
        </w:rPr>
        <w:t>public sector reform</w:t>
      </w:r>
      <w:r w:rsidRPr="00100AF5">
        <w:rPr>
          <w:rFonts w:eastAsiaTheme="minorHAnsi" w:cs="Times New Roman"/>
          <w:i/>
        </w:rPr>
        <w:t xml:space="preserve">. Some ministries, such as the Ministry of Environment, proceed with successful unilateral internal reforms, yet there is no clear effort </w:t>
      </w:r>
      <w:proofErr w:type="spellStart"/>
      <w:r w:rsidRPr="00100AF5">
        <w:rPr>
          <w:rFonts w:eastAsiaTheme="minorHAnsi" w:cs="Times New Roman"/>
          <w:i/>
        </w:rPr>
        <w:t>ongoing</w:t>
      </w:r>
      <w:proofErr w:type="spellEnd"/>
      <w:r w:rsidRPr="00100AF5">
        <w:rPr>
          <w:rFonts w:eastAsiaTheme="minorHAnsi" w:cs="Times New Roman"/>
          <w:i/>
        </w:rPr>
        <w:t xml:space="preserve"> across the public sector as a whole</w:t>
      </w:r>
      <w:r w:rsidRPr="00100AF5">
        <w:rPr>
          <w:rStyle w:val="FootnoteReference"/>
          <w:rFonts w:eastAsiaTheme="minorHAnsi" w:cs="Times New Roman"/>
          <w:i/>
        </w:rPr>
        <w:footnoteReference w:id="8"/>
      </w:r>
      <w:r w:rsidRPr="00100AF5">
        <w:rPr>
          <w:rFonts w:eastAsiaTheme="minorHAnsi" w:cs="Times New Roman"/>
          <w:i/>
        </w:rPr>
        <w:t>.</w:t>
      </w:r>
    </w:p>
    <w:p w:rsidR="009C7830" w:rsidRPr="00100AF5" w:rsidRDefault="009C7830" w:rsidP="00BC2594">
      <w:pPr>
        <w:autoSpaceDE w:val="0"/>
        <w:autoSpaceDN w:val="0"/>
        <w:adjustRightInd w:val="0"/>
        <w:spacing w:after="120"/>
        <w:rPr>
          <w:rFonts w:eastAsiaTheme="minorHAnsi" w:cs="Times New Roman"/>
        </w:rPr>
      </w:pPr>
      <w:r w:rsidRPr="00380F56">
        <w:rPr>
          <w:rFonts w:eastAsiaTheme="minorHAnsi" w:cs="Times New Roman"/>
        </w:rPr>
        <w:t xml:space="preserve">Another sign of slow progress in the public sector can be the limited, if non existing, amount of external aid </w:t>
      </w:r>
      <w:proofErr w:type="spellStart"/>
      <w:r w:rsidRPr="00380F56">
        <w:rPr>
          <w:rFonts w:eastAsiaTheme="minorHAnsi" w:cs="Times New Roman"/>
        </w:rPr>
        <w:t>GoJ</w:t>
      </w:r>
      <w:proofErr w:type="spellEnd"/>
      <w:r w:rsidRPr="00380F56">
        <w:rPr>
          <w:rFonts w:eastAsiaTheme="minorHAnsi" w:cs="Times New Roman"/>
        </w:rPr>
        <w:t xml:space="preserve"> received in this field. Donors concentrated to other priorities; the World Bank cancel</w:t>
      </w:r>
      <w:r w:rsidR="00380F56" w:rsidRPr="00380F56">
        <w:rPr>
          <w:rFonts w:eastAsiaTheme="minorHAnsi" w:cs="Times New Roman"/>
        </w:rPr>
        <w:t>l</w:t>
      </w:r>
      <w:r w:rsidRPr="00380F56">
        <w:rPr>
          <w:rFonts w:eastAsiaTheme="minorHAnsi" w:cs="Times New Roman"/>
        </w:rPr>
        <w:t xml:space="preserve">ed </w:t>
      </w:r>
      <w:r w:rsidR="00380F56" w:rsidRPr="00380F56">
        <w:rPr>
          <w:rFonts w:eastAsiaTheme="minorHAnsi" w:cs="Times New Roman"/>
        </w:rPr>
        <w:t xml:space="preserve"> in 2006 </w:t>
      </w:r>
      <w:r w:rsidRPr="00380F56">
        <w:rPr>
          <w:rFonts w:eastAsiaTheme="minorHAnsi" w:cs="Times New Roman"/>
        </w:rPr>
        <w:t xml:space="preserve">a 15Million US$ </w:t>
      </w:r>
      <w:r w:rsidR="00380F56" w:rsidRPr="00380F56">
        <w:rPr>
          <w:rFonts w:eastAsiaTheme="minorHAnsi" w:cs="Times New Roman"/>
        </w:rPr>
        <w:t xml:space="preserve">support to </w:t>
      </w:r>
      <w:r w:rsidRPr="00380F56">
        <w:rPr>
          <w:rFonts w:eastAsiaTheme="minorHAnsi" w:cs="Times New Roman"/>
        </w:rPr>
        <w:t>PSR because of lack of appropriate commitment a</w:t>
      </w:r>
      <w:r w:rsidR="00380F56" w:rsidRPr="00380F56">
        <w:rPr>
          <w:rFonts w:eastAsiaTheme="minorHAnsi" w:cs="Times New Roman"/>
        </w:rPr>
        <w:t>n</w:t>
      </w:r>
      <w:r w:rsidRPr="00380F56">
        <w:rPr>
          <w:rFonts w:eastAsiaTheme="minorHAnsi" w:cs="Times New Roman"/>
        </w:rPr>
        <w:t xml:space="preserve">d proper framework, and only </w:t>
      </w:r>
      <w:r w:rsidR="00380F56" w:rsidRPr="00380F56">
        <w:rPr>
          <w:rFonts w:eastAsiaTheme="minorHAnsi" w:cs="Times New Roman"/>
        </w:rPr>
        <w:t xml:space="preserve">recently has </w:t>
      </w:r>
      <w:r w:rsidRPr="00380F56">
        <w:rPr>
          <w:rFonts w:eastAsiaTheme="minorHAnsi" w:cs="Times New Roman"/>
        </w:rPr>
        <w:t>reappeared to negotiate a new, revised possible intervention</w:t>
      </w:r>
      <w:r w:rsidRPr="00100AF5">
        <w:rPr>
          <w:rFonts w:eastAsiaTheme="minorHAnsi" w:cs="Times New Roman"/>
        </w:rPr>
        <w:t>.</w:t>
      </w:r>
    </w:p>
    <w:p w:rsidR="00CD63A8" w:rsidRDefault="00CD63A8" w:rsidP="00100AF5">
      <w:pPr>
        <w:autoSpaceDE w:val="0"/>
        <w:autoSpaceDN w:val="0"/>
        <w:adjustRightInd w:val="0"/>
        <w:spacing w:after="120"/>
        <w:rPr>
          <w:rFonts w:eastAsiaTheme="minorHAnsi" w:cs="Times New Roman"/>
          <w:lang w:val="en-US"/>
        </w:rPr>
      </w:pPr>
      <w:r w:rsidRPr="00100AF5">
        <w:rPr>
          <w:rFonts w:eastAsiaTheme="minorHAnsi"/>
        </w:rPr>
        <w:t>The last quarter of 2009 witnessed important changes on the political scene. King Abdullah dissolved the Parliament in November 2009 and called for pre-term elections. A new government was appointed in December 2009, tasked with an ambitious reform programme notably touching upon economic recovery and development of key sectors such as energy and transport, good governance, transparency and efficiency of the public service, decentralization and citizens' participation.</w:t>
      </w:r>
      <w:r w:rsidR="00100AF5">
        <w:rPr>
          <w:rFonts w:eastAsiaTheme="minorHAnsi"/>
        </w:rPr>
        <w:t xml:space="preserve"> </w:t>
      </w:r>
      <w:r w:rsidR="00100AF5">
        <w:rPr>
          <w:rFonts w:eastAsiaTheme="minorHAnsi" w:cs="Times New Roman"/>
          <w:lang w:val="en-US"/>
        </w:rPr>
        <w:t>Progress was made in the area of governance and transparency, with the start of work of the Ombudsman office and the adoption of a code of conduct streamlining the relationship between the Government and the media.</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 xml:space="preserve">A major step was undertaken by the </w:t>
      </w:r>
      <w:proofErr w:type="spellStart"/>
      <w:r w:rsidRPr="00945B77">
        <w:rPr>
          <w:rFonts w:ascii="MinionPro-Regular" w:hAnsi="MinionPro-Regular" w:cs="MinionPro-Regular"/>
          <w:lang w:val="en-US"/>
        </w:rPr>
        <w:t>GoJ</w:t>
      </w:r>
      <w:proofErr w:type="spellEnd"/>
      <w:r w:rsidRPr="00945B77">
        <w:rPr>
          <w:rFonts w:ascii="MinionPro-Regular" w:hAnsi="MinionPro-Regular" w:cs="MinionPro-Regular"/>
          <w:lang w:val="en-US"/>
        </w:rPr>
        <w:t xml:space="preserve"> in 2010. The Government adopted seven strategic initiatives to help focus its efforts in 2010 and to better define and prioritize its activities going forward.</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The seven strategic initiatives are as follows:</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1. Strengthening Government Performance and Accountability</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2. Encouraging Political and Civic Participation</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3. Enhancing the Business and Investment Environment</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4. Empowering Jordanian Citizens with the Skills to Succeed and Enter the Labor Market</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5. Feeding and Fueling Growth and Security through Infrastructure Mega Projects</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t>6. Expanding the Middle Class and Empowering the Underprivileged</w:t>
      </w:r>
    </w:p>
    <w:p w:rsidR="00E15085" w:rsidRPr="00945B77" w:rsidRDefault="00E15085" w:rsidP="00E15085">
      <w:pPr>
        <w:autoSpaceDE w:val="0"/>
        <w:autoSpaceDN w:val="0"/>
        <w:adjustRightInd w:val="0"/>
        <w:rPr>
          <w:rFonts w:ascii="MinionPro-Regular" w:hAnsi="MinionPro-Regular" w:cs="MinionPro-Regular"/>
          <w:lang w:val="en-US"/>
        </w:rPr>
      </w:pPr>
      <w:r w:rsidRPr="00945B77">
        <w:rPr>
          <w:rFonts w:ascii="MinionPro-Regular" w:hAnsi="MinionPro-Regular" w:cs="MinionPro-Regular"/>
          <w:lang w:val="en-US"/>
        </w:rPr>
        <w:lastRenderedPageBreak/>
        <w:t>7. Improving Citizen Services</w:t>
      </w:r>
    </w:p>
    <w:p w:rsidR="002A2C01" w:rsidRPr="002A2C01" w:rsidRDefault="00E15085" w:rsidP="002A2C01">
      <w:pPr>
        <w:autoSpaceDE w:val="0"/>
        <w:autoSpaceDN w:val="0"/>
        <w:adjustRightInd w:val="0"/>
        <w:spacing w:after="120"/>
        <w:rPr>
          <w:rFonts w:ascii="MinionPro-Regular" w:hAnsi="MinionPro-Regular" w:cs="MinionPro-Regular"/>
        </w:rPr>
      </w:pPr>
      <w:r w:rsidRPr="00945B77">
        <w:rPr>
          <w:rFonts w:ascii="MinionPro-Regular" w:hAnsi="MinionPro-Regular" w:cs="MinionPro-Regular"/>
          <w:lang w:val="en-US"/>
        </w:rPr>
        <w:t xml:space="preserve">To improve policy development, institutionalize decision making, and to better implement Cabinet </w:t>
      </w:r>
      <w:r w:rsidR="00380F56">
        <w:rPr>
          <w:rFonts w:ascii="MinionPro-Regular" w:hAnsi="MinionPro-Regular" w:cs="MinionPro-Regular"/>
          <w:lang w:val="en-US"/>
        </w:rPr>
        <w:t>decisions, the Government</w:t>
      </w:r>
      <w:r w:rsidRPr="00945B77">
        <w:rPr>
          <w:rFonts w:ascii="MinionPro-Regular" w:hAnsi="MinionPro-Regular" w:cs="MinionPro-Regular"/>
          <w:lang w:val="en-US"/>
        </w:rPr>
        <w:t xml:space="preserve"> established a number of new oversight mechanisms, including the creation of Ministerial Committees to oversee</w:t>
      </w:r>
      <w:r>
        <w:rPr>
          <w:rFonts w:ascii="MinionPro-Regular" w:hAnsi="MinionPro-Regular" w:cs="MinionPro-Regular"/>
          <w:lang w:val="en-US"/>
        </w:rPr>
        <w:t xml:space="preserve"> the</w:t>
      </w:r>
      <w:r w:rsidRPr="00945B77">
        <w:rPr>
          <w:rFonts w:ascii="MinionPro-Regular" w:hAnsi="MinionPro-Regular" w:cs="MinionPro-Regular"/>
          <w:lang w:val="en-US"/>
        </w:rPr>
        <w:t xml:space="preserve"> seven strategic initiatives.</w:t>
      </w:r>
      <w:r w:rsidR="002A2C01" w:rsidRPr="002A2C01">
        <w:rPr>
          <w:rStyle w:val="FootnoteReference"/>
          <w:rFonts w:ascii="MinionPro-Regular" w:hAnsi="MinionPro-Regular" w:cs="MinionPro-Regular"/>
        </w:rPr>
        <w:t xml:space="preserve"> </w:t>
      </w:r>
      <w:r w:rsidR="002A2C01">
        <w:rPr>
          <w:rStyle w:val="FootnoteReference"/>
          <w:rFonts w:ascii="MinionPro-Regular" w:hAnsi="MinionPro-Regular" w:cs="MinionPro-Regular"/>
        </w:rPr>
        <w:footnoteReference w:id="9"/>
      </w:r>
      <w:r w:rsidR="002A2C01" w:rsidRPr="004E0A3C">
        <w:rPr>
          <w:rFonts w:ascii="MinionPro-Regular" w:hAnsi="MinionPro-Regular" w:cs="MinionPro-Regular"/>
        </w:rPr>
        <w:t>.</w:t>
      </w:r>
      <w:r w:rsidR="00380F56">
        <w:rPr>
          <w:rFonts w:ascii="MinionPro-Regular" w:hAnsi="MinionPro-Regular" w:cs="MinionPro-Regular"/>
          <w:lang w:val="en-US"/>
        </w:rPr>
        <w:t xml:space="preserve"> They </w:t>
      </w:r>
      <w:r w:rsidRPr="00E15085">
        <w:rPr>
          <w:rFonts w:ascii="MinionPro-Regular" w:hAnsi="MinionPro-Regular" w:cs="MinionPro-Regular"/>
          <w:lang w:val="en-US"/>
        </w:rPr>
        <w:t>are supplemented by three other specialized committees</w:t>
      </w:r>
      <w:r>
        <w:rPr>
          <w:rFonts w:ascii="MinionPro-Regular" w:hAnsi="MinionPro-Regular" w:cs="MinionPro-Regular"/>
          <w:lang w:val="en-US"/>
        </w:rPr>
        <w:t xml:space="preserve"> </w:t>
      </w:r>
      <w:r w:rsidRPr="00E15085">
        <w:rPr>
          <w:rFonts w:ascii="MinionPro-Regular" w:hAnsi="MinionPro-Regular" w:cs="MinionPro-Regular"/>
          <w:lang w:val="en-US"/>
        </w:rPr>
        <w:t xml:space="preserve">of the Council of Ministers to provide </w:t>
      </w:r>
      <w:r w:rsidRPr="00E15085">
        <w:rPr>
          <w:rFonts w:ascii="MinionPro-Regular" w:hAnsi="MinionPro-Regular" w:cs="MinionPro-Regular"/>
          <w:lang w:val="en-US"/>
        </w:rPr>
        <w:lastRenderedPageBreak/>
        <w:t>overall administrative, financial and strategic coordination</w:t>
      </w:r>
      <w:r>
        <w:rPr>
          <w:rFonts w:ascii="MinionPro-Regular" w:hAnsi="MinionPro-Regular" w:cs="MinionPro-Regular"/>
          <w:lang w:val="en-US"/>
        </w:rPr>
        <w:t xml:space="preserve"> </w:t>
      </w:r>
      <w:r w:rsidRPr="00E15085">
        <w:rPr>
          <w:rFonts w:ascii="MinionPro-Regular" w:hAnsi="MinionPro-Regular" w:cs="MinionPro-Regular"/>
          <w:lang w:val="en-US"/>
        </w:rPr>
        <w:t>support.</w:t>
      </w:r>
      <w:r w:rsidR="002A2C01">
        <w:rPr>
          <w:rFonts w:ascii="MinionPro-Regular" w:hAnsi="MinionPro-Regular" w:cs="MinionPro-Regular"/>
          <w:lang w:val="en-US"/>
        </w:rPr>
        <w:t xml:space="preserve"> </w:t>
      </w:r>
      <w:r w:rsidR="002A2C01" w:rsidRPr="002A2C01">
        <w:rPr>
          <w:rFonts w:ascii="MinionPro-Regular" w:hAnsi="MinionPro-Regular" w:cs="MinionPro-Regular"/>
          <w:lang w:val="en-US"/>
        </w:rPr>
        <w:t xml:space="preserve">A </w:t>
      </w:r>
      <w:r w:rsidR="002A2C01" w:rsidRPr="002A2C01">
        <w:rPr>
          <w:rFonts w:ascii="TrajanPro-Bold" w:hAnsi="TrajanPro-Bold" w:cs="TrajanPro-Bold"/>
          <w:bCs/>
        </w:rPr>
        <w:t>Delivery Unit has also</w:t>
      </w:r>
      <w:r w:rsidR="002A2C01">
        <w:rPr>
          <w:rFonts w:ascii="TrajanPro-Bold" w:hAnsi="TrajanPro-Bold" w:cs="TrajanPro-Bold"/>
          <w:b/>
          <w:bCs/>
        </w:rPr>
        <w:t xml:space="preserve"> </w:t>
      </w:r>
      <w:r w:rsidR="002A2C01" w:rsidRPr="004E0A3C">
        <w:rPr>
          <w:rFonts w:ascii="MinionPro-Regular" w:hAnsi="MinionPro-Regular" w:cs="MinionPro-Regular"/>
        </w:rPr>
        <w:t>been established in the Prime Minister’s office</w:t>
      </w:r>
      <w:r w:rsidR="002A2C01">
        <w:rPr>
          <w:rFonts w:ascii="MinionPro-Regular" w:hAnsi="MinionPro-Regular" w:cs="MinionPro-Regular"/>
        </w:rPr>
        <w:t>,</w:t>
      </w:r>
      <w:r w:rsidR="002A2C01" w:rsidRPr="004E0A3C">
        <w:rPr>
          <w:rFonts w:ascii="MinionPro-Regular" w:hAnsi="MinionPro-Regular" w:cs="MinionPro-Regular"/>
        </w:rPr>
        <w:t xml:space="preserve"> to support the Prime Minister</w:t>
      </w:r>
      <w:r w:rsidR="002A2C01">
        <w:rPr>
          <w:rFonts w:ascii="MinionPro-Regular" w:hAnsi="MinionPro-Regular" w:cs="MinionPro-Regular"/>
        </w:rPr>
        <w:t xml:space="preserve"> </w:t>
      </w:r>
      <w:r w:rsidR="002A2C01" w:rsidRPr="004E0A3C">
        <w:rPr>
          <w:rFonts w:ascii="MinionPro-Regular" w:hAnsi="MinionPro-Regular" w:cs="MinionPro-Regular"/>
        </w:rPr>
        <w:t>and the Council of Ministers with actual implementation of the pr</w:t>
      </w:r>
      <w:r w:rsidR="002A2C01">
        <w:rPr>
          <w:rFonts w:ascii="MinionPro-Regular" w:hAnsi="MinionPro-Regular" w:cs="MinionPro-Regular"/>
        </w:rPr>
        <w:t>iority projects outlined in the</w:t>
      </w:r>
      <w:r w:rsidR="002A2C01" w:rsidRPr="004E0A3C">
        <w:rPr>
          <w:rFonts w:ascii="MinionPro-Regular" w:hAnsi="MinionPro-Regular" w:cs="MinionPro-Regular"/>
        </w:rPr>
        <w:t xml:space="preserve"> Government Plan </w:t>
      </w:r>
      <w:r w:rsidR="002A2C01" w:rsidRPr="002A2C01">
        <w:rPr>
          <w:rFonts w:ascii="MinionPro-Regular" w:hAnsi="MinionPro-Regular" w:cs="MinionPro-Regular"/>
        </w:rPr>
        <w:t>2010. The Unit collates information on implementation progress and provides progress reports to the Prime Minister and the Council of Ministers.</w:t>
      </w:r>
    </w:p>
    <w:p w:rsidR="005024A2" w:rsidRPr="002A2C01" w:rsidRDefault="005024A2" w:rsidP="001948CF">
      <w:pPr>
        <w:pStyle w:val="Heading3"/>
        <w:rPr>
          <w:rFonts w:eastAsiaTheme="minorHAnsi"/>
        </w:rPr>
      </w:pPr>
      <w:bookmarkStart w:id="18" w:name="_Toc273263621"/>
      <w:bookmarkStart w:id="19" w:name="_Toc276461230"/>
      <w:r w:rsidRPr="002A2C01">
        <w:rPr>
          <w:rFonts w:eastAsiaTheme="minorHAnsi"/>
        </w:rPr>
        <w:t>Service delivery</w:t>
      </w:r>
      <w:bookmarkEnd w:id="18"/>
      <w:bookmarkEnd w:id="19"/>
      <w:r w:rsidRPr="002A2C01">
        <w:rPr>
          <w:rFonts w:eastAsiaTheme="minorHAnsi"/>
        </w:rPr>
        <w:t xml:space="preserve"> </w:t>
      </w:r>
    </w:p>
    <w:p w:rsidR="00DF6573" w:rsidRPr="00100AF5" w:rsidRDefault="00AE2480" w:rsidP="001948CF">
      <w:pPr>
        <w:rPr>
          <w:rFonts w:eastAsiaTheme="minorHAnsi"/>
        </w:rPr>
      </w:pPr>
      <w:r w:rsidRPr="002A2C01">
        <w:rPr>
          <w:rFonts w:eastAsiaTheme="minorHAnsi"/>
        </w:rPr>
        <w:t xml:space="preserve">Service delivery is regulated in Jordan </w:t>
      </w:r>
      <w:r w:rsidR="00863DB2" w:rsidRPr="002A2C01">
        <w:rPr>
          <w:rFonts w:eastAsiaTheme="minorHAnsi"/>
        </w:rPr>
        <w:t>by Regulation No. 64 of 2006. The Bylaw only provides for some general indications, but does not include a proper definition of service delivery and of responsibilities</w:t>
      </w:r>
      <w:r w:rsidR="00863DB2" w:rsidRPr="00100AF5">
        <w:rPr>
          <w:rFonts w:eastAsiaTheme="minorHAnsi"/>
        </w:rPr>
        <w:t xml:space="preserve"> to be attributed to entities. </w:t>
      </w:r>
    </w:p>
    <w:p w:rsidR="00DF6573" w:rsidRPr="00100AF5" w:rsidRDefault="00DF6573" w:rsidP="001948CF">
      <w:pPr>
        <w:rPr>
          <w:rFonts w:eastAsiaTheme="minorHAnsi"/>
        </w:rPr>
      </w:pPr>
      <w:r w:rsidRPr="00100AF5">
        <w:rPr>
          <w:rFonts w:eastAsiaTheme="minorHAnsi"/>
        </w:rPr>
        <w:t xml:space="preserve">A number of initiatives </w:t>
      </w:r>
      <w:r w:rsidR="002A2C01" w:rsidRPr="00100AF5">
        <w:rPr>
          <w:rFonts w:eastAsiaTheme="minorHAnsi"/>
        </w:rPr>
        <w:t>have</w:t>
      </w:r>
      <w:r w:rsidRPr="00100AF5">
        <w:rPr>
          <w:rFonts w:eastAsiaTheme="minorHAnsi"/>
        </w:rPr>
        <w:t xml:space="preserve"> been developed in the last 10 years to improve service delivery.</w:t>
      </w:r>
      <w:r w:rsidR="00EE269C">
        <w:t xml:space="preserve"> </w:t>
      </w:r>
      <w:r w:rsidRPr="00100AF5">
        <w:t xml:space="preserve">  A</w:t>
      </w:r>
      <w:r w:rsidRPr="00100AF5">
        <w:rPr>
          <w:rFonts w:ascii="Garamond" w:hAnsi="Garamond"/>
        </w:rPr>
        <w:t xml:space="preserve"> </w:t>
      </w:r>
      <w:r w:rsidRPr="00100AF5">
        <w:rPr>
          <w:bCs/>
        </w:rPr>
        <w:t>Municipal Capacity Assessment Study was prepared by RTI and approved by M</w:t>
      </w:r>
      <w:r w:rsidR="00EE269C">
        <w:rPr>
          <w:bCs/>
        </w:rPr>
        <w:t>inistry of Planning and International Cooperation (M</w:t>
      </w:r>
      <w:r w:rsidRPr="00100AF5">
        <w:rPr>
          <w:bCs/>
        </w:rPr>
        <w:t>oPIC</w:t>
      </w:r>
      <w:r w:rsidR="00EE269C">
        <w:rPr>
          <w:bCs/>
        </w:rPr>
        <w:t>)</w:t>
      </w:r>
      <w:r w:rsidRPr="00100AF5">
        <w:rPr>
          <w:bCs/>
        </w:rPr>
        <w:t xml:space="preserve"> in 2006; it provides an overview of municipal service delivery, with particular focus on municipal, service partnerships with the private sector</w:t>
      </w:r>
      <w:r w:rsidR="00EE269C">
        <w:rPr>
          <w:bCs/>
        </w:rPr>
        <w:t>.</w:t>
      </w:r>
      <w:r w:rsidRPr="00100AF5">
        <w:rPr>
          <w:rFonts w:eastAsiaTheme="minorHAnsi"/>
        </w:rPr>
        <w:t xml:space="preserve"> </w:t>
      </w:r>
    </w:p>
    <w:p w:rsidR="00096C64" w:rsidRDefault="00EE269C" w:rsidP="001948CF">
      <w:pPr>
        <w:rPr>
          <w:rFonts w:eastAsiaTheme="minorHAnsi"/>
          <w:i/>
        </w:rPr>
      </w:pPr>
      <w:r>
        <w:rPr>
          <w:rFonts w:eastAsiaTheme="minorHAnsi"/>
        </w:rPr>
        <w:t>It has been said that c</w:t>
      </w:r>
      <w:r w:rsidR="005024A2" w:rsidRPr="00100AF5">
        <w:rPr>
          <w:rFonts w:eastAsiaTheme="minorHAnsi"/>
        </w:rPr>
        <w:t>urrent efforts to improve service delivery</w:t>
      </w:r>
      <w:r w:rsidR="001948CF" w:rsidRPr="00100AF5">
        <w:rPr>
          <w:rFonts w:eastAsiaTheme="minorHAnsi"/>
        </w:rPr>
        <w:t xml:space="preserve"> </w:t>
      </w:r>
      <w:r w:rsidR="005024A2" w:rsidRPr="00100AF5">
        <w:rPr>
          <w:rFonts w:eastAsiaTheme="minorHAnsi"/>
        </w:rPr>
        <w:t>in Jordan tend to focus on the supply side</w:t>
      </w:r>
      <w:r w:rsidR="001948CF" w:rsidRPr="00100AF5">
        <w:rPr>
          <w:rFonts w:eastAsiaTheme="minorHAnsi"/>
        </w:rPr>
        <w:t xml:space="preserve"> </w:t>
      </w:r>
      <w:r w:rsidR="005024A2" w:rsidRPr="00100AF5">
        <w:rPr>
          <w:rFonts w:eastAsiaTheme="minorHAnsi"/>
        </w:rPr>
        <w:t>of service provision, through public sector</w:t>
      </w:r>
      <w:r w:rsidR="001948CF" w:rsidRPr="00100AF5">
        <w:rPr>
          <w:rFonts w:eastAsiaTheme="minorHAnsi"/>
        </w:rPr>
        <w:t xml:space="preserve"> </w:t>
      </w:r>
      <w:r w:rsidR="005024A2" w:rsidRPr="00100AF5">
        <w:rPr>
          <w:rFonts w:eastAsiaTheme="minorHAnsi"/>
        </w:rPr>
        <w:t>reform, capacity building of government</w:t>
      </w:r>
      <w:r w:rsidR="001948CF" w:rsidRPr="00100AF5">
        <w:rPr>
          <w:rFonts w:eastAsiaTheme="minorHAnsi"/>
        </w:rPr>
        <w:t xml:space="preserve"> </w:t>
      </w:r>
      <w:r w:rsidR="005024A2" w:rsidRPr="00100AF5">
        <w:rPr>
          <w:rFonts w:eastAsiaTheme="minorHAnsi"/>
        </w:rPr>
        <w:t>institutions and, to a</w:t>
      </w:r>
      <w:r w:rsidR="001948CF" w:rsidRPr="00100AF5">
        <w:rPr>
          <w:rFonts w:eastAsiaTheme="minorHAnsi"/>
        </w:rPr>
        <w:t xml:space="preserve"> le</w:t>
      </w:r>
      <w:r w:rsidR="005024A2" w:rsidRPr="00100AF5">
        <w:rPr>
          <w:rFonts w:eastAsiaTheme="minorHAnsi"/>
        </w:rPr>
        <w:t>sser extent, the reform</w:t>
      </w:r>
      <w:r w:rsidR="001948CF" w:rsidRPr="00100AF5">
        <w:rPr>
          <w:rFonts w:eastAsiaTheme="minorHAnsi"/>
        </w:rPr>
        <w:t xml:space="preserve"> </w:t>
      </w:r>
      <w:r w:rsidR="005024A2" w:rsidRPr="00100AF5">
        <w:rPr>
          <w:rFonts w:eastAsiaTheme="minorHAnsi"/>
        </w:rPr>
        <w:t>of policies and laws in order to promote</w:t>
      </w:r>
      <w:r w:rsidR="001948CF" w:rsidRPr="00100AF5">
        <w:rPr>
          <w:rFonts w:eastAsiaTheme="minorHAnsi"/>
        </w:rPr>
        <w:t xml:space="preserve"> </w:t>
      </w:r>
      <w:r w:rsidR="005024A2" w:rsidRPr="00100AF5">
        <w:rPr>
          <w:rFonts w:eastAsiaTheme="minorHAnsi"/>
        </w:rPr>
        <w:t xml:space="preserve">poverty alleviation. </w:t>
      </w:r>
      <w:r w:rsidR="00863DB2" w:rsidRPr="00100AF5">
        <w:rPr>
          <w:rFonts w:eastAsiaTheme="minorHAnsi"/>
        </w:rPr>
        <w:t xml:space="preserve">As recent UNDP reports state, </w:t>
      </w:r>
      <w:r w:rsidR="005024A2" w:rsidRPr="00100AF5">
        <w:rPr>
          <w:rFonts w:eastAsiaTheme="minorHAnsi"/>
          <w:i/>
        </w:rPr>
        <w:t>more attention</w:t>
      </w:r>
      <w:r w:rsidR="001948CF" w:rsidRPr="00100AF5">
        <w:rPr>
          <w:rFonts w:eastAsiaTheme="minorHAnsi"/>
          <w:i/>
        </w:rPr>
        <w:t xml:space="preserve"> </w:t>
      </w:r>
      <w:r w:rsidR="005024A2" w:rsidRPr="00100AF5">
        <w:rPr>
          <w:rFonts w:eastAsiaTheme="minorHAnsi"/>
          <w:i/>
        </w:rPr>
        <w:t>is required in relation to the demand side of</w:t>
      </w:r>
      <w:r w:rsidR="001948CF" w:rsidRPr="00100AF5">
        <w:rPr>
          <w:rFonts w:eastAsiaTheme="minorHAnsi"/>
          <w:i/>
        </w:rPr>
        <w:t xml:space="preserve"> </w:t>
      </w:r>
      <w:r w:rsidR="005024A2" w:rsidRPr="00100AF5">
        <w:rPr>
          <w:rFonts w:eastAsiaTheme="minorHAnsi"/>
          <w:i/>
        </w:rPr>
        <w:t xml:space="preserve">service delivery. Civil society </w:t>
      </w:r>
      <w:r w:rsidR="001948CF" w:rsidRPr="00100AF5">
        <w:rPr>
          <w:rFonts w:eastAsiaTheme="minorHAnsi"/>
          <w:i/>
        </w:rPr>
        <w:t xml:space="preserve">organizations </w:t>
      </w:r>
      <w:r w:rsidR="005024A2" w:rsidRPr="00100AF5">
        <w:rPr>
          <w:rFonts w:eastAsiaTheme="minorHAnsi"/>
          <w:i/>
        </w:rPr>
        <w:t>that aim to represent the interests of the poor</w:t>
      </w:r>
      <w:r w:rsidR="001948CF" w:rsidRPr="00100AF5">
        <w:rPr>
          <w:rFonts w:eastAsiaTheme="minorHAnsi"/>
          <w:i/>
        </w:rPr>
        <w:t xml:space="preserve"> </w:t>
      </w:r>
      <w:r w:rsidR="005024A2" w:rsidRPr="00100AF5">
        <w:rPr>
          <w:rFonts w:eastAsiaTheme="minorHAnsi"/>
          <w:i/>
        </w:rPr>
        <w:t>should take a more proactive role at the local</w:t>
      </w:r>
      <w:r w:rsidR="001948CF" w:rsidRPr="00100AF5">
        <w:rPr>
          <w:rFonts w:eastAsiaTheme="minorHAnsi"/>
          <w:i/>
        </w:rPr>
        <w:t xml:space="preserve"> </w:t>
      </w:r>
      <w:r w:rsidR="005024A2" w:rsidRPr="00100AF5">
        <w:rPr>
          <w:rFonts w:eastAsiaTheme="minorHAnsi"/>
          <w:i/>
        </w:rPr>
        <w:t>level by informing citizens of their rights and</w:t>
      </w:r>
      <w:r w:rsidR="001948CF" w:rsidRPr="00100AF5">
        <w:rPr>
          <w:rFonts w:eastAsiaTheme="minorHAnsi"/>
          <w:i/>
        </w:rPr>
        <w:t xml:space="preserve"> </w:t>
      </w:r>
      <w:r w:rsidR="005024A2" w:rsidRPr="00100AF5">
        <w:rPr>
          <w:rFonts w:eastAsiaTheme="minorHAnsi"/>
          <w:i/>
        </w:rPr>
        <w:t>entitlements and helping them claim them</w:t>
      </w:r>
      <w:r w:rsidR="001948CF" w:rsidRPr="00100AF5">
        <w:rPr>
          <w:rFonts w:eastAsiaTheme="minorHAnsi"/>
          <w:i/>
        </w:rPr>
        <w:t xml:space="preserve"> </w:t>
      </w:r>
      <w:r w:rsidR="005024A2" w:rsidRPr="00100AF5">
        <w:rPr>
          <w:rFonts w:eastAsiaTheme="minorHAnsi"/>
          <w:i/>
        </w:rPr>
        <w:t>effectivel</w:t>
      </w:r>
      <w:r w:rsidR="00863DB2" w:rsidRPr="00100AF5">
        <w:rPr>
          <w:rFonts w:eastAsiaTheme="minorHAnsi"/>
          <w:i/>
        </w:rPr>
        <w:t>y</w:t>
      </w:r>
      <w:r>
        <w:rPr>
          <w:rFonts w:eastAsiaTheme="minorHAnsi"/>
          <w:i/>
        </w:rPr>
        <w:t>.</w:t>
      </w:r>
      <w:r w:rsidR="00863DB2" w:rsidRPr="00100AF5">
        <w:rPr>
          <w:rStyle w:val="FootnoteReference"/>
          <w:rFonts w:eastAsiaTheme="minorHAnsi"/>
          <w:i/>
        </w:rPr>
        <w:footnoteReference w:id="10"/>
      </w:r>
    </w:p>
    <w:p w:rsidR="00380F56" w:rsidRDefault="00380F56" w:rsidP="00380F56">
      <w:pPr>
        <w:pStyle w:val="Heading3"/>
      </w:pPr>
      <w:bookmarkStart w:id="20" w:name="_Toc276461231"/>
      <w:r>
        <w:t>Human resources</w:t>
      </w:r>
      <w:bookmarkEnd w:id="20"/>
    </w:p>
    <w:p w:rsidR="00380F56" w:rsidRPr="00100AF5" w:rsidRDefault="00380F56" w:rsidP="00380F56">
      <w:pPr>
        <w:autoSpaceDE w:val="0"/>
        <w:autoSpaceDN w:val="0"/>
        <w:adjustRightInd w:val="0"/>
        <w:rPr>
          <w:rFonts w:cs="Times New Roman"/>
        </w:rPr>
      </w:pPr>
      <w:r w:rsidRPr="00100AF5">
        <w:rPr>
          <w:rFonts w:cs="Times New Roman"/>
        </w:rPr>
        <w:t>In terms of human resources, the Civil Service Bylaw that was approved by the Cabinet in June 2002 called for the application of transparent, merit-based systems for hiring and promoting civil servants. Training programmes for existing staff were also reportedly launched and carried out.</w:t>
      </w:r>
    </w:p>
    <w:p w:rsidR="00380F56" w:rsidRPr="00100AF5" w:rsidRDefault="00677A3F" w:rsidP="00677A3F">
      <w:pPr>
        <w:rPr>
          <w:bCs/>
        </w:rPr>
      </w:pPr>
      <w:r w:rsidRPr="00677A3F">
        <w:t xml:space="preserve">The bylaw was subsequently revised. The </w:t>
      </w:r>
      <w:r w:rsidR="00380F56" w:rsidRPr="00677A3F">
        <w:t>current Civil Service Bylaw 30 /2007</w:t>
      </w:r>
      <w:r w:rsidRPr="00677A3F">
        <w:t xml:space="preserve"> </w:t>
      </w:r>
      <w:r w:rsidR="00380F56" w:rsidRPr="00677A3F">
        <w:t>ha</w:t>
      </w:r>
      <w:r w:rsidR="00380F56" w:rsidRPr="00100AF5">
        <w:t xml:space="preserve">s made significant changes in the way of managing human resource in civil service. Some changes reflect good practices, especially in the areas of </w:t>
      </w:r>
      <w:r w:rsidR="00380F56" w:rsidRPr="00100AF5">
        <w:rPr>
          <w:bCs/>
        </w:rPr>
        <w:t>HR Planning</w:t>
      </w:r>
      <w:r w:rsidR="00380F56" w:rsidRPr="00100AF5">
        <w:t xml:space="preserve">, </w:t>
      </w:r>
      <w:r w:rsidRPr="00100AF5">
        <w:rPr>
          <w:bCs/>
        </w:rPr>
        <w:t>employees’</w:t>
      </w:r>
      <w:r w:rsidR="00380F56" w:rsidRPr="00100AF5">
        <w:rPr>
          <w:bCs/>
        </w:rPr>
        <w:t xml:space="preserve"> performance appraisal management</w:t>
      </w:r>
      <w:r w:rsidR="00380F56" w:rsidRPr="00100AF5">
        <w:t xml:space="preserve">, </w:t>
      </w:r>
      <w:r w:rsidR="00380F56" w:rsidRPr="00100AF5">
        <w:rPr>
          <w:bCs/>
        </w:rPr>
        <w:t>HR Development and Training, Co</w:t>
      </w:r>
      <w:r>
        <w:rPr>
          <w:bCs/>
        </w:rPr>
        <w:t>mplaints and Complaint Handling</w:t>
      </w:r>
      <w:r w:rsidR="00380F56" w:rsidRPr="00100AF5">
        <w:rPr>
          <w:bCs/>
        </w:rPr>
        <w:t>, conduct and discipline.</w:t>
      </w:r>
    </w:p>
    <w:p w:rsidR="004E1062" w:rsidRPr="00100AF5" w:rsidRDefault="004E1062" w:rsidP="004E1062">
      <w:pPr>
        <w:pStyle w:val="Heading3"/>
      </w:pPr>
      <w:bookmarkStart w:id="21" w:name="_Toc273263622"/>
      <w:bookmarkStart w:id="22" w:name="_Toc276461232"/>
      <w:r w:rsidRPr="00100AF5">
        <w:t>Decentralization</w:t>
      </w:r>
      <w:bookmarkEnd w:id="21"/>
      <w:bookmarkEnd w:id="22"/>
    </w:p>
    <w:p w:rsidR="004E1062" w:rsidRPr="00100AF5" w:rsidRDefault="004E1062" w:rsidP="004E1062">
      <w:pPr>
        <w:spacing w:after="120"/>
        <w:rPr>
          <w:rFonts w:cstheme="minorBidi"/>
          <w:szCs w:val="22"/>
        </w:rPr>
      </w:pPr>
      <w:r w:rsidRPr="00100AF5">
        <w:t>Progress is to be observed with respect to decentralization, although at a slower pace than expected and despite declarations and statements by His Majesty the King</w:t>
      </w:r>
      <w:r w:rsidRPr="00100AF5">
        <w:rPr>
          <w:rStyle w:val="FootnoteReference"/>
          <w:rFonts w:ascii="Arial" w:eastAsiaTheme="majorEastAsia" w:hAnsi="Arial" w:cs="Arial"/>
          <w:sz w:val="20"/>
          <w:szCs w:val="20"/>
        </w:rPr>
        <w:footnoteReference w:id="11"/>
      </w:r>
      <w:r w:rsidRPr="00100AF5">
        <w:t xml:space="preserve">. Among the main </w:t>
      </w:r>
      <w:r w:rsidRPr="00100AF5">
        <w:lastRenderedPageBreak/>
        <w:t>achievements in this field, it is worth mentioning the Cabinet decision issued on 20 October 2008 approving the establishment of a specialized Technical Committee to revise the “Vision for Decentralization in Jordan”, drafted by the Government of Jordan (</w:t>
      </w:r>
      <w:proofErr w:type="spellStart"/>
      <w:r w:rsidRPr="00100AF5">
        <w:t>GoJ</w:t>
      </w:r>
      <w:proofErr w:type="spellEnd"/>
      <w:r w:rsidRPr="00100AF5">
        <w:t>), with the support of the Danish LGDK (the National Association of Municipalities in Denmark).</w:t>
      </w:r>
    </w:p>
    <w:p w:rsidR="004E1062" w:rsidRPr="00100AF5" w:rsidRDefault="004E1062" w:rsidP="004E1062">
      <w:pPr>
        <w:spacing w:after="120"/>
      </w:pPr>
      <w:r w:rsidRPr="00100AF5">
        <w:t>There has been an extensive debate in Jordan over form and kind decentralization should assume in the Country. Recently, the concept moved from the idea of focusing on Regions to that of Governorates. A Law on decentralization (where focus is shifted towards Governorates) has however been drafted and is under scrutiny. However, a comprehensive framework is yet to be fully developed.</w:t>
      </w:r>
    </w:p>
    <w:p w:rsidR="004E1062" w:rsidRPr="00100AF5" w:rsidRDefault="004E1062" w:rsidP="004E1062">
      <w:pPr>
        <w:spacing w:after="120"/>
      </w:pPr>
      <w:r w:rsidRPr="00100AF5">
        <w:t xml:space="preserve">A new Municipalities Law was enacted in February 2007 (Law no. 14/2007), under which the mayors and councils of all municipalities are to be elected, except in Amman where half the members of the council will continue to be appointed by the government. Under the previous 2001 law, all mayors and half of the council members in all municipalities were appointed. The Law also includes a 20% quota for women in the council seats (at the elections of February 2007, twenty women candidates above those elected by quota won council seats and one woman won a </w:t>
      </w:r>
      <w:proofErr w:type="spellStart"/>
      <w:r w:rsidRPr="00100AF5">
        <w:t>mayorship</w:t>
      </w:r>
      <w:proofErr w:type="spellEnd"/>
      <w:r w:rsidRPr="00100AF5">
        <w:t xml:space="preserve">), allows joint membership in the parliament and municipal councils, and reduces the age of eligible voters from 19 to 18 years. The Law delegates to Municipalities 28 specific functions (as per art. 40 of the Law, including town and street planning, building system, sewage system, etc.) and a general function which allows municipalities to “practice any developmental authority and establish developmental projects that generate public benefits to the municipal residents”. </w:t>
      </w:r>
    </w:p>
    <w:p w:rsidR="004E1062" w:rsidRPr="00100AF5" w:rsidRDefault="004E1062" w:rsidP="004E1062">
      <w:pPr>
        <w:spacing w:after="120"/>
      </w:pPr>
      <w:r w:rsidRPr="00100AF5">
        <w:t>The Directive issued by Prime Minister’s Office on 12 February 2008 transferring 92 specific functions from the central level Ministries to their representatives of line Ministries at the Governorate level. Tasks attributed to Governors have been widened to include development planning and Local Development Units (LDUs) have been established at the Governorate levels. The LDUs have elaborated Governorates’ development plans, merging and/or including proposed plans and projects by the Municipalities enclosed in their borders. Governorates fall under the responsibility of the Ministry of Interior (Governors are not elected as Mayors in Municipalities but are appointed), which has established a specific Directorate responsible for development.</w:t>
      </w:r>
    </w:p>
    <w:p w:rsidR="00BC2CE8" w:rsidRDefault="00BC2CE8" w:rsidP="00BC2CE8">
      <w:pPr>
        <w:rPr>
          <w:rFonts w:ascii="Verdana" w:hAnsi="Verdana"/>
        </w:rPr>
      </w:pPr>
      <w:r w:rsidRPr="00100AF5">
        <w:t>Governmen</w:t>
      </w:r>
      <w:r w:rsidR="009C1F4D">
        <w:t>t transfers to Municipalities are</w:t>
      </w:r>
      <w:r w:rsidRPr="00100AF5">
        <w:t xml:space="preserve"> based on provisions by the Municipalities’ Law, and derive mainly from petroleum tax, therefore fluctuating according to oil prices, which makes good municipal planning and budgeting processes difficult. Recently, the% transfer to Municipalities from Central Government has been increased from 3 to 6%. </w:t>
      </w:r>
      <w:r w:rsidRPr="00100AF5">
        <w:rPr>
          <w:rFonts w:ascii="Verdana" w:hAnsi="Verdana"/>
        </w:rPr>
        <w:t xml:space="preserve"> </w:t>
      </w:r>
    </w:p>
    <w:p w:rsidR="00380F56" w:rsidRDefault="00380F56" w:rsidP="00380F56">
      <w:pPr>
        <w:pStyle w:val="Heading2"/>
        <w:spacing w:before="240"/>
      </w:pPr>
      <w:bookmarkStart w:id="23" w:name="_Toc276461233"/>
      <w:r>
        <w:t xml:space="preserve">The </w:t>
      </w:r>
      <w:proofErr w:type="spellStart"/>
      <w:r w:rsidRPr="00891D63">
        <w:t>MoPSD</w:t>
      </w:r>
      <w:bookmarkEnd w:id="23"/>
      <w:proofErr w:type="spellEnd"/>
    </w:p>
    <w:p w:rsidR="00380F56" w:rsidRPr="00100AF5" w:rsidRDefault="00380F56" w:rsidP="00380F56">
      <w:pPr>
        <w:spacing w:after="120"/>
        <w:rPr>
          <w:rFonts w:cs="Times New Roman"/>
        </w:rPr>
      </w:pPr>
      <w:r w:rsidRPr="00100AF5">
        <w:rPr>
          <w:color w:val="000000"/>
          <w:kern w:val="28"/>
        </w:rPr>
        <w:t xml:space="preserve">In 2006, the </w:t>
      </w:r>
      <w:r w:rsidR="00013D0B">
        <w:rPr>
          <w:rFonts w:cs="Times New Roman"/>
        </w:rPr>
        <w:t>Regulation no. 64</w:t>
      </w:r>
      <w:r w:rsidRPr="00100AF5">
        <w:rPr>
          <w:rFonts w:cs="Times New Roman"/>
        </w:rPr>
        <w:t xml:space="preserve"> for the year 2006 on Public service delivery improveme</w:t>
      </w:r>
      <w:r w:rsidR="002A2C01">
        <w:rPr>
          <w:rFonts w:cs="Times New Roman"/>
        </w:rPr>
        <w:t>nt, issued pursuant to Article 120</w:t>
      </w:r>
      <w:r w:rsidRPr="00100AF5">
        <w:rPr>
          <w:rFonts w:cs="Times New Roman"/>
        </w:rPr>
        <w:t xml:space="preserve"> of the Constitution, was enacted. It assigned to </w:t>
      </w:r>
      <w:proofErr w:type="spellStart"/>
      <w:r w:rsidRPr="00100AF5">
        <w:rPr>
          <w:rFonts w:cs="Times New Roman"/>
        </w:rPr>
        <w:t>MoPSD</w:t>
      </w:r>
      <w:proofErr w:type="spellEnd"/>
      <w:r w:rsidRPr="00100AF5">
        <w:rPr>
          <w:rFonts w:cs="Times New Roman"/>
        </w:rPr>
        <w:t xml:space="preserve"> the following tasks:</w:t>
      </w:r>
    </w:p>
    <w:p w:rsidR="00380F56" w:rsidRPr="00100AF5" w:rsidRDefault="00380F56" w:rsidP="00380F56">
      <w:pPr>
        <w:spacing w:before="0"/>
        <w:contextualSpacing/>
        <w:jc w:val="left"/>
        <w:rPr>
          <w:rFonts w:cs="Times New Roman"/>
          <w:i/>
        </w:rPr>
      </w:pPr>
      <w:r w:rsidRPr="00100AF5">
        <w:rPr>
          <w:rFonts w:cs="Times New Roman"/>
          <w:i/>
        </w:rPr>
        <w:t>Article 3 – The Ministry shall have the following responsibilities:</w:t>
      </w:r>
    </w:p>
    <w:p w:rsidR="00380F56" w:rsidRPr="00100AF5" w:rsidRDefault="00380F56" w:rsidP="00380F56">
      <w:pPr>
        <w:pStyle w:val="ListParagraph"/>
        <w:numPr>
          <w:ilvl w:val="0"/>
          <w:numId w:val="24"/>
        </w:numPr>
        <w:spacing w:before="0" w:line="276" w:lineRule="auto"/>
        <w:rPr>
          <w:rFonts w:cs="Times New Roman"/>
          <w:i/>
        </w:rPr>
      </w:pPr>
      <w:r w:rsidRPr="00100AF5">
        <w:rPr>
          <w:rFonts w:cs="Times New Roman"/>
          <w:i/>
        </w:rPr>
        <w:lastRenderedPageBreak/>
        <w:t xml:space="preserve">Provide technical advice to the Department to contribute to building its capacities in public service delivery improvement. </w:t>
      </w:r>
    </w:p>
    <w:p w:rsidR="00380F56" w:rsidRPr="00100AF5" w:rsidRDefault="00380F56" w:rsidP="00380F56">
      <w:pPr>
        <w:pStyle w:val="ListParagraph"/>
        <w:numPr>
          <w:ilvl w:val="0"/>
          <w:numId w:val="24"/>
        </w:numPr>
        <w:spacing w:before="0" w:line="276" w:lineRule="auto"/>
        <w:jc w:val="left"/>
        <w:rPr>
          <w:rFonts w:cs="Times New Roman"/>
          <w:i/>
        </w:rPr>
      </w:pPr>
      <w:r w:rsidRPr="00100AF5">
        <w:rPr>
          <w:rFonts w:cs="Times New Roman"/>
          <w:i/>
        </w:rPr>
        <w:t>Spread public awareness in the area of service delivery improvement in cooperation with the concerned Department.</w:t>
      </w:r>
    </w:p>
    <w:p w:rsidR="00380F56" w:rsidRPr="00100AF5" w:rsidRDefault="00380F56" w:rsidP="00380F56">
      <w:pPr>
        <w:pStyle w:val="ListParagraph"/>
        <w:numPr>
          <w:ilvl w:val="0"/>
          <w:numId w:val="24"/>
        </w:numPr>
        <w:spacing w:before="0" w:line="276" w:lineRule="auto"/>
        <w:rPr>
          <w:rFonts w:cs="Times New Roman"/>
          <w:i/>
        </w:rPr>
      </w:pPr>
      <w:r w:rsidRPr="00100AF5">
        <w:rPr>
          <w:rFonts w:cs="Times New Roman"/>
          <w:i/>
        </w:rPr>
        <w:t>Assist the Department in utilizing the necessary mechanisms to develop Service Standards and identify Desired Levels.</w:t>
      </w:r>
    </w:p>
    <w:p w:rsidR="00380F56" w:rsidRPr="00100AF5" w:rsidRDefault="00380F56" w:rsidP="00380F56">
      <w:pPr>
        <w:pStyle w:val="ListParagraph"/>
        <w:numPr>
          <w:ilvl w:val="0"/>
          <w:numId w:val="24"/>
        </w:numPr>
        <w:spacing w:before="0" w:line="276" w:lineRule="auto"/>
        <w:rPr>
          <w:rFonts w:cs="Times New Roman"/>
          <w:i/>
        </w:rPr>
      </w:pPr>
      <w:r w:rsidRPr="00100AF5">
        <w:rPr>
          <w:rFonts w:cs="Times New Roman"/>
          <w:i/>
        </w:rPr>
        <w:t xml:space="preserve">Cooperate with the Department in the area of measuring level of Service provided and identify possible areas for improvement for this Service. </w:t>
      </w:r>
    </w:p>
    <w:p w:rsidR="00380F56" w:rsidRPr="00100AF5" w:rsidRDefault="00380F56" w:rsidP="00380F56">
      <w:pPr>
        <w:pStyle w:val="ListParagraph"/>
        <w:numPr>
          <w:ilvl w:val="0"/>
          <w:numId w:val="24"/>
        </w:numPr>
        <w:spacing w:before="0" w:line="276" w:lineRule="auto"/>
        <w:rPr>
          <w:rFonts w:cs="Times New Roman"/>
          <w:i/>
        </w:rPr>
      </w:pPr>
      <w:r w:rsidRPr="00100AF5">
        <w:rPr>
          <w:rFonts w:cs="Times New Roman"/>
          <w:i/>
        </w:rPr>
        <w:t>Prepare studies related to public services in cooperation with entities that provide them to improve its services and present recommendations in this regard to the cabinet.</w:t>
      </w:r>
    </w:p>
    <w:p w:rsidR="00380F56" w:rsidRPr="00100AF5" w:rsidRDefault="00380F56" w:rsidP="00380F56">
      <w:pPr>
        <w:spacing w:before="0"/>
        <w:rPr>
          <w:rFonts w:cs="Times New Roman"/>
          <w:i/>
        </w:rPr>
      </w:pPr>
      <w:r w:rsidRPr="00100AF5">
        <w:rPr>
          <w:rFonts w:cs="Times New Roman"/>
          <w:i/>
        </w:rPr>
        <w:t>Article 4 – For the purposes of this Regulation, the Department shall have the following responsibilities:</w:t>
      </w:r>
    </w:p>
    <w:p w:rsidR="00380F56" w:rsidRPr="00100AF5" w:rsidRDefault="00380F56" w:rsidP="00380F56">
      <w:pPr>
        <w:pStyle w:val="ListParagraph"/>
        <w:numPr>
          <w:ilvl w:val="0"/>
          <w:numId w:val="25"/>
        </w:numPr>
        <w:spacing w:before="0" w:line="276" w:lineRule="auto"/>
        <w:jc w:val="left"/>
        <w:rPr>
          <w:rFonts w:cs="Times New Roman"/>
          <w:i/>
        </w:rPr>
      </w:pPr>
      <w:r w:rsidRPr="00100AF5">
        <w:rPr>
          <w:rFonts w:cs="Times New Roman"/>
          <w:i/>
        </w:rPr>
        <w:t>Coordinate and cooperate with the Ministry in terms of implementing necessary mechanisms and tools for improvement of Services provided.</w:t>
      </w:r>
    </w:p>
    <w:p w:rsidR="00380F56" w:rsidRPr="00100AF5" w:rsidRDefault="00380F56" w:rsidP="00380F56">
      <w:pPr>
        <w:pStyle w:val="ListParagraph"/>
        <w:numPr>
          <w:ilvl w:val="0"/>
          <w:numId w:val="25"/>
        </w:numPr>
        <w:spacing w:before="0" w:line="276" w:lineRule="auto"/>
        <w:jc w:val="left"/>
        <w:rPr>
          <w:rFonts w:cs="Times New Roman"/>
          <w:i/>
        </w:rPr>
      </w:pPr>
      <w:r w:rsidRPr="00100AF5">
        <w:rPr>
          <w:rFonts w:cs="Times New Roman"/>
          <w:i/>
        </w:rPr>
        <w:t>Identify needs and expectations of the Client</w:t>
      </w:r>
    </w:p>
    <w:p w:rsidR="00380F56" w:rsidRPr="00100AF5" w:rsidRDefault="00380F56" w:rsidP="00380F56">
      <w:pPr>
        <w:pStyle w:val="ListParagraph"/>
        <w:numPr>
          <w:ilvl w:val="0"/>
          <w:numId w:val="25"/>
        </w:numPr>
        <w:spacing w:before="0" w:line="276" w:lineRule="auto"/>
        <w:jc w:val="left"/>
        <w:rPr>
          <w:rFonts w:cs="Times New Roman"/>
          <w:i/>
        </w:rPr>
      </w:pPr>
      <w:r w:rsidRPr="00100AF5">
        <w:rPr>
          <w:rFonts w:cs="Times New Roman"/>
          <w:i/>
        </w:rPr>
        <w:t xml:space="preserve">Develop standards of services provided and identify Desired Level and circulate it to concerned entities. </w:t>
      </w:r>
    </w:p>
    <w:p w:rsidR="00380F56" w:rsidRPr="00100AF5" w:rsidRDefault="00380F56" w:rsidP="00380F56">
      <w:pPr>
        <w:pStyle w:val="ListParagraph"/>
        <w:numPr>
          <w:ilvl w:val="0"/>
          <w:numId w:val="25"/>
        </w:numPr>
        <w:spacing w:before="0" w:line="276" w:lineRule="auto"/>
        <w:jc w:val="left"/>
        <w:rPr>
          <w:rFonts w:cs="Times New Roman"/>
          <w:i/>
        </w:rPr>
      </w:pPr>
      <w:r w:rsidRPr="00100AF5">
        <w:rPr>
          <w:rFonts w:cs="Times New Roman"/>
          <w:i/>
        </w:rPr>
        <w:t xml:space="preserve">Measure actual performance level for its services in comparison with the set standards for learning and improvement purposes. </w:t>
      </w:r>
    </w:p>
    <w:p w:rsidR="00380F56" w:rsidRPr="00100AF5" w:rsidRDefault="00380F56" w:rsidP="00380F56">
      <w:pPr>
        <w:pStyle w:val="ListParagraph"/>
        <w:numPr>
          <w:ilvl w:val="0"/>
          <w:numId w:val="25"/>
        </w:numPr>
        <w:spacing w:before="0" w:line="276" w:lineRule="auto"/>
        <w:jc w:val="left"/>
        <w:rPr>
          <w:rFonts w:cs="Times New Roman"/>
          <w:i/>
        </w:rPr>
      </w:pPr>
      <w:r w:rsidRPr="00100AF5">
        <w:rPr>
          <w:rFonts w:cs="Times New Roman"/>
          <w:i/>
        </w:rPr>
        <w:t>Measure the level of satisfaction of Client.</w:t>
      </w:r>
    </w:p>
    <w:p w:rsidR="00380F56" w:rsidRPr="00100AF5" w:rsidRDefault="00380F56" w:rsidP="00380F56">
      <w:pPr>
        <w:spacing w:before="0"/>
        <w:rPr>
          <w:rFonts w:cs="Times New Roman"/>
          <w:i/>
        </w:rPr>
      </w:pPr>
      <w:r w:rsidRPr="00100AF5">
        <w:rPr>
          <w:rFonts w:cs="Times New Roman"/>
          <w:i/>
        </w:rPr>
        <w:t xml:space="preserve">Article 5 – for the purposes of </w:t>
      </w:r>
      <w:proofErr w:type="spellStart"/>
      <w:r w:rsidRPr="00100AF5">
        <w:rPr>
          <w:rFonts w:cs="Times New Roman"/>
          <w:i/>
        </w:rPr>
        <w:t>indentifying</w:t>
      </w:r>
      <w:proofErr w:type="spellEnd"/>
      <w:r w:rsidRPr="00100AF5">
        <w:rPr>
          <w:rFonts w:cs="Times New Roman"/>
          <w:i/>
        </w:rPr>
        <w:t xml:space="preserve"> needs of Service Recipient , the Department shall, at least once a year, measure the Client voice and identify their needs using more than one adequate methodology and tool including customer service office, suggestions and complaints system, opinion polls and structured interviews. </w:t>
      </w:r>
    </w:p>
    <w:p w:rsidR="00380F56" w:rsidRPr="00100AF5" w:rsidRDefault="00380F56" w:rsidP="00380F56">
      <w:pPr>
        <w:spacing w:before="0"/>
        <w:ind w:left="90"/>
        <w:rPr>
          <w:rFonts w:cs="Times New Roman"/>
          <w:i/>
        </w:rPr>
      </w:pPr>
      <w:r w:rsidRPr="00100AF5">
        <w:rPr>
          <w:rFonts w:cs="Times New Roman"/>
          <w:i/>
        </w:rPr>
        <w:t>Article 6 – for the purposes of Service Standards development and publishing, the Department shall establish adequate foundations and mechanisms and ensure that the standards are comprehensive and adequate from all service delivery aspects, and identify Desired Level for each standard.</w:t>
      </w:r>
    </w:p>
    <w:p w:rsidR="00380F56" w:rsidRPr="00100AF5" w:rsidRDefault="00380F56" w:rsidP="00380F56">
      <w:pPr>
        <w:spacing w:before="0"/>
        <w:ind w:left="90"/>
        <w:rPr>
          <w:rFonts w:cs="Times New Roman"/>
          <w:i/>
        </w:rPr>
      </w:pPr>
      <w:r w:rsidRPr="00100AF5">
        <w:rPr>
          <w:rFonts w:cs="Times New Roman"/>
          <w:i/>
        </w:rPr>
        <w:t xml:space="preserve">Article 7 – for the purposes of reviewing, measuring and improving actual performance for services provided, the Department shall utilize mechanisms and tools in order to identify areas for service improvement and establish necessary plans for implementation. </w:t>
      </w:r>
    </w:p>
    <w:p w:rsidR="00380F56" w:rsidRPr="00100AF5" w:rsidRDefault="00380F56" w:rsidP="00380F56">
      <w:pPr>
        <w:spacing w:before="0"/>
        <w:rPr>
          <w:rFonts w:cs="Times New Roman"/>
          <w:i/>
        </w:rPr>
      </w:pPr>
      <w:r w:rsidRPr="00100AF5">
        <w:rPr>
          <w:rFonts w:cs="Times New Roman"/>
          <w:i/>
        </w:rPr>
        <w:t>Article 8 – for the purposes of implementing the provisions of this Regulation, the Department shall:</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Identify the services it provides</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Identify the directorates that provide the service and identify other relevant entities</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Prepare services manual</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 xml:space="preserve">Undertake necessary measures to implement the provisions of this Regulation including naming a relevant entity in the Department to undertake the responsibility of implementing it and facilitating the mission of the Ministry team in the area of service improvement. </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Spread awareness among staff and train them on mechanisms, tools, procedures and standards for services established to ensure efficient delivery of service.</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lastRenderedPageBreak/>
        <w:t xml:space="preserve">Establish an action plan to improve its services within a specific timeline. </w:t>
      </w:r>
    </w:p>
    <w:p w:rsidR="00380F56" w:rsidRPr="00100AF5" w:rsidRDefault="00380F56" w:rsidP="00380F56">
      <w:pPr>
        <w:pStyle w:val="ListParagraph"/>
        <w:numPr>
          <w:ilvl w:val="0"/>
          <w:numId w:val="26"/>
        </w:numPr>
        <w:spacing w:before="0" w:line="276" w:lineRule="auto"/>
        <w:rPr>
          <w:rFonts w:cs="Times New Roman"/>
          <w:i/>
        </w:rPr>
      </w:pPr>
      <w:r w:rsidRPr="00100AF5">
        <w:rPr>
          <w:rFonts w:cs="Times New Roman"/>
          <w:i/>
        </w:rPr>
        <w:t>Ensure that the Client receives information relevant to services provided at the Department.</w:t>
      </w:r>
    </w:p>
    <w:p w:rsidR="00380F56" w:rsidRPr="00100AF5" w:rsidRDefault="00380F56" w:rsidP="00380F56">
      <w:pPr>
        <w:spacing w:before="0"/>
        <w:contextualSpacing/>
        <w:rPr>
          <w:rFonts w:cs="Times New Roman"/>
          <w:i/>
        </w:rPr>
      </w:pPr>
    </w:p>
    <w:p w:rsidR="00380F56" w:rsidRPr="00100AF5" w:rsidRDefault="00380F56" w:rsidP="00380F56">
      <w:pPr>
        <w:spacing w:before="0"/>
        <w:contextualSpacing/>
        <w:rPr>
          <w:rFonts w:cs="Times New Roman"/>
          <w:i/>
        </w:rPr>
      </w:pPr>
      <w:r w:rsidRPr="00100AF5">
        <w:rPr>
          <w:rFonts w:cs="Times New Roman"/>
          <w:i/>
        </w:rPr>
        <w:t xml:space="preserve">Article 9 – </w:t>
      </w:r>
    </w:p>
    <w:p w:rsidR="00380F56" w:rsidRPr="00100AF5" w:rsidRDefault="00380F56" w:rsidP="00380F56">
      <w:pPr>
        <w:pStyle w:val="ListParagraph"/>
        <w:numPr>
          <w:ilvl w:val="0"/>
          <w:numId w:val="27"/>
        </w:numPr>
        <w:spacing w:before="0" w:line="276" w:lineRule="auto"/>
        <w:rPr>
          <w:rFonts w:cs="Times New Roman"/>
          <w:i/>
        </w:rPr>
      </w:pPr>
      <w:r w:rsidRPr="00100AF5">
        <w:rPr>
          <w:rFonts w:cs="Times New Roman"/>
          <w:i/>
        </w:rPr>
        <w:t>The Department shall commit to explanation of reasons and justifications for not providing the required Service to the Client.</w:t>
      </w:r>
    </w:p>
    <w:p w:rsidR="00380F56" w:rsidRPr="00100AF5" w:rsidRDefault="00380F56" w:rsidP="00380F56">
      <w:pPr>
        <w:pStyle w:val="ListParagraph"/>
        <w:numPr>
          <w:ilvl w:val="0"/>
          <w:numId w:val="27"/>
        </w:numPr>
        <w:spacing w:before="0" w:line="276" w:lineRule="auto"/>
        <w:rPr>
          <w:rFonts w:cs="Times New Roman"/>
          <w:i/>
        </w:rPr>
      </w:pPr>
      <w:r w:rsidRPr="00100AF5">
        <w:rPr>
          <w:rFonts w:cs="Times New Roman"/>
          <w:i/>
        </w:rPr>
        <w:t>The Client is entitled for objecting to not providing the Service based on the set and disclosed standards.</w:t>
      </w:r>
    </w:p>
    <w:p w:rsidR="00380F56" w:rsidRPr="00100AF5" w:rsidRDefault="00380F56" w:rsidP="00380F56">
      <w:pPr>
        <w:pStyle w:val="ListParagraph"/>
        <w:numPr>
          <w:ilvl w:val="0"/>
          <w:numId w:val="27"/>
        </w:numPr>
        <w:spacing w:before="0" w:line="276" w:lineRule="auto"/>
        <w:rPr>
          <w:rFonts w:cs="Times New Roman"/>
          <w:i/>
        </w:rPr>
      </w:pPr>
      <w:r w:rsidRPr="00100AF5">
        <w:rPr>
          <w:rFonts w:cs="Times New Roman"/>
          <w:i/>
        </w:rPr>
        <w:t>The Department shall, in coordination with the Ministry, issue the instructions relevant to the procedures of presenting an objection and the mechanisms to decide on the matter</w:t>
      </w:r>
      <w:r w:rsidRPr="00100AF5">
        <w:rPr>
          <w:rStyle w:val="FootnoteReference"/>
          <w:rFonts w:cs="Times New Roman"/>
          <w:i/>
        </w:rPr>
        <w:footnoteReference w:id="12"/>
      </w:r>
      <w:r w:rsidRPr="00100AF5">
        <w:rPr>
          <w:rFonts w:cs="Times New Roman"/>
          <w:i/>
        </w:rPr>
        <w:t xml:space="preserve">. </w:t>
      </w:r>
    </w:p>
    <w:p w:rsidR="00380F56" w:rsidRPr="00100AF5" w:rsidRDefault="000C19E8" w:rsidP="00380F56">
      <w:pPr>
        <w:rPr>
          <w:rFonts w:eastAsiaTheme="minorHAnsi" w:cs="Times New Roman"/>
        </w:rPr>
      </w:pPr>
      <w:r>
        <w:rPr>
          <w:rFonts w:eastAsiaTheme="minorHAnsi" w:cs="Times New Roman"/>
        </w:rPr>
        <w:t>Since its establishment, t</w:t>
      </w:r>
      <w:r w:rsidR="00380F56">
        <w:rPr>
          <w:rFonts w:eastAsiaTheme="minorHAnsi" w:cs="Times New Roman"/>
        </w:rPr>
        <w:t>he Ministry undertook several changes in priorities and strategic directions due to the rapid succession of several ministers. A</w:t>
      </w:r>
      <w:r w:rsidR="00380F56" w:rsidRPr="00100AF5">
        <w:rPr>
          <w:rFonts w:eastAsiaTheme="minorHAnsi" w:cs="Times New Roman"/>
        </w:rPr>
        <w:t xml:space="preserve"> new boost was given by the appointment in December 2009 of the current Minister of </w:t>
      </w:r>
      <w:proofErr w:type="spellStart"/>
      <w:r w:rsidR="00380F56" w:rsidRPr="00100AF5">
        <w:rPr>
          <w:rFonts w:eastAsiaTheme="minorHAnsi" w:cs="Times New Roman"/>
        </w:rPr>
        <w:t>MoPSD</w:t>
      </w:r>
      <w:proofErr w:type="spellEnd"/>
      <w:r w:rsidR="00380F56" w:rsidRPr="00100AF5">
        <w:rPr>
          <w:rFonts w:eastAsiaTheme="minorHAnsi" w:cs="Times New Roman"/>
        </w:rPr>
        <w:t xml:space="preserve">, </w:t>
      </w:r>
      <w:proofErr w:type="spellStart"/>
      <w:r w:rsidR="00380F56" w:rsidRPr="00100AF5">
        <w:rPr>
          <w:rFonts w:eastAsiaTheme="minorHAnsi" w:cs="Times New Roman"/>
        </w:rPr>
        <w:t>Mr.</w:t>
      </w:r>
      <w:proofErr w:type="spellEnd"/>
      <w:r w:rsidR="00380F56" w:rsidRPr="00100AF5">
        <w:rPr>
          <w:rFonts w:eastAsiaTheme="minorHAnsi" w:cs="Times New Roman"/>
        </w:rPr>
        <w:t xml:space="preserve"> </w:t>
      </w:r>
      <w:proofErr w:type="spellStart"/>
      <w:r w:rsidR="00380F56" w:rsidRPr="00100AF5">
        <w:rPr>
          <w:rFonts w:cs="Times New Roman"/>
        </w:rPr>
        <w:t>Imad</w:t>
      </w:r>
      <w:proofErr w:type="spellEnd"/>
      <w:r w:rsidR="00380F56" w:rsidRPr="00100AF5">
        <w:rPr>
          <w:rFonts w:cs="Times New Roman"/>
        </w:rPr>
        <w:t xml:space="preserve"> </w:t>
      </w:r>
      <w:proofErr w:type="spellStart"/>
      <w:r w:rsidR="00380F56" w:rsidRPr="00100AF5">
        <w:rPr>
          <w:rFonts w:cs="Times New Roman"/>
        </w:rPr>
        <w:t>Fakhoury</w:t>
      </w:r>
      <w:proofErr w:type="spellEnd"/>
      <w:r w:rsidR="00380F56" w:rsidRPr="00100AF5">
        <w:rPr>
          <w:rFonts w:cs="Times New Roman"/>
        </w:rPr>
        <w:t xml:space="preserve">, who is also State Minister for </w:t>
      </w:r>
      <w:r>
        <w:rPr>
          <w:rFonts w:cs="Times New Roman"/>
        </w:rPr>
        <w:t xml:space="preserve">Infrastructures and </w:t>
      </w:r>
      <w:r w:rsidR="00380F56" w:rsidRPr="00100AF5">
        <w:rPr>
          <w:rFonts w:cs="Times New Roman"/>
        </w:rPr>
        <w:t>Mega Projects.</w:t>
      </w:r>
      <w:r w:rsidR="00380F56" w:rsidRPr="00100AF5">
        <w:rPr>
          <w:rFonts w:eastAsiaTheme="minorHAnsi" w:cs="Times New Roman"/>
        </w:rPr>
        <w:t xml:space="preserve"> </w:t>
      </w:r>
      <w:proofErr w:type="spellStart"/>
      <w:r w:rsidR="00380F56" w:rsidRPr="00100AF5">
        <w:rPr>
          <w:rFonts w:eastAsiaTheme="minorHAnsi" w:cs="Times New Roman"/>
        </w:rPr>
        <w:t>Mr.</w:t>
      </w:r>
      <w:proofErr w:type="spellEnd"/>
      <w:r w:rsidR="00380F56" w:rsidRPr="00100AF5">
        <w:rPr>
          <w:rFonts w:eastAsiaTheme="minorHAnsi" w:cs="Times New Roman"/>
        </w:rPr>
        <w:t xml:space="preserve"> </w:t>
      </w:r>
      <w:proofErr w:type="spellStart"/>
      <w:r w:rsidR="00380F56" w:rsidRPr="00100AF5">
        <w:rPr>
          <w:rFonts w:eastAsiaTheme="minorHAnsi" w:cs="Times New Roman"/>
        </w:rPr>
        <w:t>Fakhoury</w:t>
      </w:r>
      <w:proofErr w:type="spellEnd"/>
      <w:r w:rsidR="00380F56" w:rsidRPr="00100AF5">
        <w:rPr>
          <w:rFonts w:eastAsiaTheme="minorHAnsi" w:cs="Times New Roman"/>
        </w:rPr>
        <w:t xml:space="preserve"> init</w:t>
      </w:r>
      <w:r>
        <w:rPr>
          <w:rFonts w:eastAsiaTheme="minorHAnsi" w:cs="Times New Roman"/>
        </w:rPr>
        <w:t xml:space="preserve">iated intensive work on </w:t>
      </w:r>
      <w:proofErr w:type="spellStart"/>
      <w:r>
        <w:rPr>
          <w:rFonts w:eastAsiaTheme="minorHAnsi" w:cs="Times New Roman"/>
        </w:rPr>
        <w:t>MoPSD</w:t>
      </w:r>
      <w:proofErr w:type="spellEnd"/>
      <w:r>
        <w:rPr>
          <w:rFonts w:eastAsiaTheme="minorHAnsi" w:cs="Times New Roman"/>
        </w:rPr>
        <w:t>.</w:t>
      </w:r>
      <w:r w:rsidR="00380F56" w:rsidRPr="00100AF5">
        <w:rPr>
          <w:rFonts w:eastAsiaTheme="minorHAnsi" w:cs="Times New Roman"/>
        </w:rPr>
        <w:t xml:space="preserve"> </w:t>
      </w:r>
      <w:r w:rsidRPr="00100AF5">
        <w:rPr>
          <w:rFonts w:eastAsiaTheme="minorHAnsi" w:cs="Times New Roman"/>
        </w:rPr>
        <w:t>An</w:t>
      </w:r>
      <w:r w:rsidR="00380F56" w:rsidRPr="00100AF5">
        <w:rPr>
          <w:rFonts w:eastAsiaTheme="minorHAnsi" w:cs="Times New Roman"/>
        </w:rPr>
        <w:t xml:space="preserve"> Operational Plan 2010-2013 was </w:t>
      </w:r>
      <w:r>
        <w:rPr>
          <w:rFonts w:eastAsiaTheme="minorHAnsi" w:cs="Times New Roman"/>
        </w:rPr>
        <w:t>recently prepared; a</w:t>
      </w:r>
      <w:r w:rsidR="00380F56" w:rsidRPr="00100AF5">
        <w:rPr>
          <w:rFonts w:eastAsiaTheme="minorHAnsi" w:cs="Times New Roman"/>
        </w:rPr>
        <w:t xml:space="preserve">lso, a revision of the country public sector reform strategy was elaborated (with USAID support) on behalf of the ministry and is now being revised by the World Bank. A Plan to link </w:t>
      </w:r>
      <w:proofErr w:type="spellStart"/>
      <w:r w:rsidR="00380F56" w:rsidRPr="00100AF5">
        <w:rPr>
          <w:rFonts w:eastAsiaTheme="minorHAnsi" w:cs="Times New Roman"/>
        </w:rPr>
        <w:t>MoPSD</w:t>
      </w:r>
      <w:proofErr w:type="spellEnd"/>
      <w:r w:rsidR="00380F56" w:rsidRPr="00100AF5">
        <w:rPr>
          <w:rFonts w:eastAsiaTheme="minorHAnsi" w:cs="Times New Roman"/>
        </w:rPr>
        <w:t xml:space="preserve"> activities and projects with the Millennium Development Goals (MDG</w:t>
      </w:r>
      <w:r w:rsidRPr="00100AF5">
        <w:rPr>
          <w:rFonts w:eastAsiaTheme="minorHAnsi" w:cs="Times New Roman"/>
        </w:rPr>
        <w:t>) has</w:t>
      </w:r>
      <w:r w:rsidR="00380F56" w:rsidRPr="00100AF5">
        <w:rPr>
          <w:rFonts w:eastAsiaTheme="minorHAnsi" w:cs="Times New Roman"/>
        </w:rPr>
        <w:t xml:space="preserve"> also been prepared.</w:t>
      </w:r>
    </w:p>
    <w:p w:rsidR="00380F56" w:rsidRPr="00100AF5" w:rsidRDefault="00380F56" w:rsidP="00380F56">
      <w:pPr>
        <w:rPr>
          <w:rFonts w:eastAsiaTheme="minorHAnsi" w:cs="Times New Roman"/>
        </w:rPr>
      </w:pPr>
      <w:r w:rsidRPr="00100AF5">
        <w:rPr>
          <w:rFonts w:eastAsiaTheme="minorHAnsi" w:cs="Times New Roman"/>
        </w:rPr>
        <w:t xml:space="preserve">In addition, a consultant has been hired to prepare a plan for pilot projects on public services </w:t>
      </w:r>
      <w:r w:rsidR="000C19E8" w:rsidRPr="00100AF5">
        <w:rPr>
          <w:rFonts w:eastAsiaTheme="minorHAnsi" w:cs="Times New Roman"/>
        </w:rPr>
        <w:t>channelled</w:t>
      </w:r>
      <w:r w:rsidRPr="00100AF5">
        <w:rPr>
          <w:rFonts w:eastAsiaTheme="minorHAnsi" w:cs="Times New Roman"/>
        </w:rPr>
        <w:t xml:space="preserve"> through focal points, provisionally called reception stations. The initiative is reportedly highly supported by H</w:t>
      </w:r>
      <w:r w:rsidR="000C19E8">
        <w:rPr>
          <w:rFonts w:eastAsiaTheme="minorHAnsi" w:cs="Times New Roman"/>
        </w:rPr>
        <w:t>.</w:t>
      </w:r>
      <w:r w:rsidRPr="00100AF5">
        <w:rPr>
          <w:rFonts w:eastAsiaTheme="minorHAnsi" w:cs="Times New Roman"/>
        </w:rPr>
        <w:t>E</w:t>
      </w:r>
      <w:r w:rsidR="000C19E8">
        <w:rPr>
          <w:rFonts w:eastAsiaTheme="minorHAnsi" w:cs="Times New Roman"/>
        </w:rPr>
        <w:t>.</w:t>
      </w:r>
      <w:r w:rsidRPr="00100AF5">
        <w:rPr>
          <w:rFonts w:eastAsiaTheme="minorHAnsi" w:cs="Times New Roman"/>
        </w:rPr>
        <w:t xml:space="preserve"> the Minister.</w:t>
      </w:r>
    </w:p>
    <w:p w:rsidR="005B40CC" w:rsidRPr="00100AF5" w:rsidRDefault="005B40CC" w:rsidP="00CD7605">
      <w:pPr>
        <w:pStyle w:val="Heading1"/>
      </w:pPr>
      <w:bookmarkStart w:id="24" w:name="_Toc273263623"/>
      <w:bookmarkStart w:id="25" w:name="_Toc276461234"/>
      <w:r w:rsidRPr="00100AF5">
        <w:t>Description of the program – its logic theory, results framework and external factors likely to affect success</w:t>
      </w:r>
      <w:bookmarkEnd w:id="24"/>
      <w:bookmarkEnd w:id="25"/>
    </w:p>
    <w:p w:rsidR="007342D5" w:rsidRPr="00100AF5" w:rsidRDefault="007342D5" w:rsidP="007342D5">
      <w:pPr>
        <w:pStyle w:val="Heading2"/>
      </w:pPr>
      <w:bookmarkStart w:id="26" w:name="_Toc273263624"/>
      <w:bookmarkStart w:id="27" w:name="_Toc276461235"/>
      <w:r w:rsidRPr="00100AF5">
        <w:t>Logic Theory</w:t>
      </w:r>
      <w:bookmarkEnd w:id="26"/>
      <w:bookmarkEnd w:id="27"/>
    </w:p>
    <w:p w:rsidR="000C19E8" w:rsidRPr="000E0626" w:rsidRDefault="000C19E8" w:rsidP="000C19E8">
      <w:r w:rsidRPr="000E0626">
        <w:t xml:space="preserve">At the time of the identification of the Project, the </w:t>
      </w:r>
      <w:proofErr w:type="spellStart"/>
      <w:r w:rsidRPr="000E0626">
        <w:t>GoJ</w:t>
      </w:r>
      <w:proofErr w:type="spellEnd"/>
      <w:r w:rsidRPr="000E0626">
        <w:t xml:space="preserve"> had reportedly a vivid interest in launching and implementing a national strategy for the improvement of the public sector. His Majesty King Abdullah II’s vision for Good Governance</w:t>
      </w:r>
      <w:r w:rsidRPr="000E0626">
        <w:rPr>
          <w:rStyle w:val="FootnoteReference"/>
        </w:rPr>
        <w:footnoteReference w:id="13"/>
      </w:r>
      <w:r w:rsidRPr="000E0626">
        <w:t xml:space="preserve"> recognized the vital link between good governance and Jordan’s socio-economic goals and emphasized the dimension of performance improvement in the delivery of services, which should base on customers’ needs. Until then, Jordan’s public sector institutions had made some efforts in improving services, but results were limited: the capacities of institutions and citizens to embrace such new orientation and lack of institutionalisation of measures severely hampered achievements. </w:t>
      </w:r>
    </w:p>
    <w:p w:rsidR="000C19E8" w:rsidRPr="000E0626" w:rsidRDefault="000C19E8" w:rsidP="000C19E8">
      <w:r w:rsidRPr="000E0626">
        <w:t xml:space="preserve">King Abdullah’s vision on Governance became the subject of a joint initiative on Good Governance for Development in the Arab Countries, launched at a regional conference held in </w:t>
      </w:r>
      <w:r w:rsidRPr="000E0626">
        <w:lastRenderedPageBreak/>
        <w:t>Jordan on 6-7 February 2005, under the patronage of His Majesty King Abdullah II. The initiative was founded on three inter-related reform areas - administrative, financial, and judicial - and had six themes: Civil Service and Integrity</w:t>
      </w:r>
      <w:r>
        <w:t xml:space="preserve">, </w:t>
      </w:r>
      <w:r w:rsidRPr="000E0626">
        <w:t>E-Government and Administrative Simplification</w:t>
      </w:r>
      <w:r>
        <w:t xml:space="preserve">, </w:t>
      </w:r>
      <w:r w:rsidRPr="000E0626">
        <w:t>Governance of Public Finances</w:t>
      </w:r>
      <w:r>
        <w:t xml:space="preserve">, </w:t>
      </w:r>
      <w:r w:rsidRPr="000E0626">
        <w:t>Public Service Delivery, Public-Private Partnership and Regulatory Reform</w:t>
      </w:r>
      <w:r>
        <w:t>, -</w:t>
      </w:r>
      <w:r w:rsidRPr="000E0626">
        <w:t>Role of the Judiciary and Law Enforcement</w:t>
      </w:r>
      <w:r>
        <w:t xml:space="preserve">, </w:t>
      </w:r>
      <w:r w:rsidRPr="000E0626">
        <w:t>Citizens, Civil Society and Public Sector Reform in the Arab Region.</w:t>
      </w:r>
    </w:p>
    <w:p w:rsidR="000C19E8" w:rsidRPr="000E0626" w:rsidRDefault="000C19E8" w:rsidP="009C57AB">
      <w:r w:rsidRPr="000E0626">
        <w:t>It is</w:t>
      </w:r>
      <w:r>
        <w:t xml:space="preserve"> in the spirit of a renovated commitment to good governance that the Project</w:t>
      </w:r>
      <w:r w:rsidRPr="000E0626">
        <w:t xml:space="preserve"> was conceived</w:t>
      </w:r>
      <w:r>
        <w:t xml:space="preserve">. </w:t>
      </w:r>
      <w:r w:rsidRPr="000E0626">
        <w:t xml:space="preserve"> </w:t>
      </w:r>
    </w:p>
    <w:p w:rsidR="00C67DBD" w:rsidRPr="00100AF5" w:rsidRDefault="00C67DBD" w:rsidP="00FC37B5">
      <w:pPr>
        <w:pStyle w:val="Heading3"/>
        <w:rPr>
          <w:color w:val="423212"/>
          <w:lang w:eastAsia="it-IT"/>
        </w:rPr>
      </w:pPr>
      <w:bookmarkStart w:id="28" w:name="_Toc273263625"/>
      <w:bookmarkStart w:id="29" w:name="_Toc276461236"/>
      <w:r w:rsidRPr="00100AF5">
        <w:t>Intervention logic and strategy</w:t>
      </w:r>
      <w:bookmarkEnd w:id="28"/>
      <w:bookmarkEnd w:id="29"/>
    </w:p>
    <w:p w:rsidR="009D0B4E" w:rsidRDefault="009D0B4E" w:rsidP="009D0B4E">
      <w:pPr>
        <w:rPr>
          <w:i/>
        </w:rPr>
      </w:pPr>
      <w:r w:rsidRPr="009D0B4E">
        <w:t>The project document highlights service delivery as main focus of the actions:</w:t>
      </w:r>
      <w:r w:rsidRPr="009D0B4E">
        <w:rPr>
          <w:i/>
        </w:rPr>
        <w:t xml:space="preserve"> </w:t>
      </w:r>
    </w:p>
    <w:p w:rsidR="009D0B4E" w:rsidRPr="009D0B4E" w:rsidRDefault="009D0B4E" w:rsidP="009D0B4E">
      <w:r w:rsidRPr="009D0B4E">
        <w:rPr>
          <w:i/>
        </w:rPr>
        <w:t xml:space="preserve"> A key component of this programme is strengthening the government’s service delivery systems</w:t>
      </w:r>
      <w:r w:rsidRPr="009D0B4E">
        <w:rPr>
          <w:rStyle w:val="FootnoteReference"/>
          <w:i/>
        </w:rPr>
        <w:footnoteReference w:id="14"/>
      </w:r>
      <w:r w:rsidRPr="009D0B4E">
        <w:rPr>
          <w:i/>
        </w:rPr>
        <w:t>.</w:t>
      </w:r>
      <w:r w:rsidRPr="009D0B4E">
        <w:t xml:space="preserve"> </w:t>
      </w:r>
    </w:p>
    <w:p w:rsidR="009D0B4E" w:rsidRPr="009D0B4E" w:rsidRDefault="009D0B4E" w:rsidP="009D0B4E">
      <w:r w:rsidRPr="009D0B4E">
        <w:t>The original project document mentions four key results/expected outcomes:</w:t>
      </w:r>
    </w:p>
    <w:p w:rsidR="009D0B4E" w:rsidRPr="009D0B4E" w:rsidRDefault="009D0B4E" w:rsidP="009D0B4E">
      <w:pPr>
        <w:numPr>
          <w:ilvl w:val="0"/>
          <w:numId w:val="30"/>
        </w:numPr>
        <w:tabs>
          <w:tab w:val="left" w:pos="732"/>
        </w:tabs>
        <w:spacing w:before="0"/>
        <w:rPr>
          <w:i/>
        </w:rPr>
      </w:pPr>
      <w:r w:rsidRPr="009D0B4E">
        <w:rPr>
          <w:i/>
        </w:rPr>
        <w:t>Strengthened Project Coordination Unit to coordinate all project activities and to ensure that timelines are met,</w:t>
      </w:r>
    </w:p>
    <w:p w:rsidR="009D0B4E" w:rsidRPr="009D0B4E" w:rsidRDefault="009D0B4E" w:rsidP="009D0B4E">
      <w:pPr>
        <w:numPr>
          <w:ilvl w:val="0"/>
          <w:numId w:val="30"/>
        </w:numPr>
        <w:tabs>
          <w:tab w:val="left" w:pos="732"/>
        </w:tabs>
        <w:spacing w:before="0"/>
        <w:rPr>
          <w:i/>
        </w:rPr>
      </w:pPr>
      <w:r w:rsidRPr="009D0B4E">
        <w:rPr>
          <w:i/>
        </w:rPr>
        <w:t>Capacities of PSRD strengthened to deliver the Service Delivery Improvement System,</w:t>
      </w:r>
    </w:p>
    <w:p w:rsidR="009D0B4E" w:rsidRPr="009D0B4E" w:rsidRDefault="009D0B4E" w:rsidP="009D0B4E">
      <w:pPr>
        <w:numPr>
          <w:ilvl w:val="0"/>
          <w:numId w:val="30"/>
        </w:numPr>
        <w:tabs>
          <w:tab w:val="left" w:pos="732"/>
        </w:tabs>
        <w:spacing w:before="0"/>
        <w:rPr>
          <w:i/>
        </w:rPr>
      </w:pPr>
      <w:r w:rsidRPr="009D0B4E">
        <w:rPr>
          <w:i/>
        </w:rPr>
        <w:t xml:space="preserve"> Strategy and plan for a unified monitoring and evaluation system [linking the policy level and the operational level performance measurement systems] developed, and</w:t>
      </w:r>
    </w:p>
    <w:p w:rsidR="009D0B4E" w:rsidRPr="009D0B4E" w:rsidRDefault="009D0B4E" w:rsidP="009D0B4E">
      <w:pPr>
        <w:numPr>
          <w:ilvl w:val="0"/>
          <w:numId w:val="30"/>
        </w:numPr>
        <w:tabs>
          <w:tab w:val="left" w:pos="732"/>
        </w:tabs>
        <w:spacing w:before="0"/>
        <w:ind w:left="720" w:hanging="360"/>
        <w:rPr>
          <w:i/>
        </w:rPr>
      </w:pPr>
      <w:r w:rsidRPr="009D0B4E">
        <w:rPr>
          <w:i/>
        </w:rPr>
        <w:t>National Strategy and plan for implementation of SDIS (service delivery improvement system) system government-wide developed and for institutional capacity building needs to support SDIS</w:t>
      </w:r>
      <w:r w:rsidRPr="009D0B4E">
        <w:rPr>
          <w:rStyle w:val="FootnoteReference"/>
          <w:i/>
        </w:rPr>
        <w:footnoteReference w:id="15"/>
      </w:r>
      <w:r w:rsidRPr="009D0B4E">
        <w:rPr>
          <w:i/>
        </w:rPr>
        <w:t>.</w:t>
      </w:r>
    </w:p>
    <w:p w:rsidR="00C67DBD" w:rsidRPr="00100AF5" w:rsidRDefault="00C67DBD" w:rsidP="00FC37B5">
      <w:pPr>
        <w:spacing w:after="120"/>
        <w:ind w:left="60"/>
        <w:textAlignment w:val="top"/>
      </w:pPr>
      <w:r w:rsidRPr="00100AF5">
        <w:t xml:space="preserve">The choice of </w:t>
      </w:r>
      <w:r w:rsidR="00FC37B5" w:rsidRPr="00100AF5">
        <w:t>service delivery as the key component of the Project was probably</w:t>
      </w:r>
      <w:r w:rsidRPr="00100AF5">
        <w:t xml:space="preserve"> appropriate. </w:t>
      </w:r>
      <w:r w:rsidR="00FC37B5" w:rsidRPr="00100AF5">
        <w:t xml:space="preserve">  </w:t>
      </w:r>
      <w:r w:rsidRPr="00100AF5">
        <w:t xml:space="preserve">Empowering </w:t>
      </w:r>
      <w:r w:rsidR="00FC37B5" w:rsidRPr="00100AF5">
        <w:t xml:space="preserve">MDAs to implement SDI </w:t>
      </w:r>
      <w:r w:rsidRPr="00100AF5">
        <w:t>is meaningful not only because it is part of a step-by-step “</w:t>
      </w:r>
      <w:proofErr w:type="spellStart"/>
      <w:r w:rsidRPr="00100AF5">
        <w:t>responsibilisation</w:t>
      </w:r>
      <w:proofErr w:type="spellEnd"/>
      <w:r w:rsidRPr="00100AF5">
        <w:t xml:space="preserve">” process but also because it provides the relevant Counterparts with the means to build their own “development”. It </w:t>
      </w:r>
      <w:r w:rsidR="00FC37B5" w:rsidRPr="00100AF5">
        <w:t xml:space="preserve">theoretically </w:t>
      </w:r>
      <w:r w:rsidRPr="00100AF5">
        <w:t xml:space="preserve">allows for better internal cohesion among different involved stakeholders and enhanced effectiveness, encourage initiative and innovation, and can generate lasting results. </w:t>
      </w:r>
      <w:r w:rsidR="00DB2DE3" w:rsidRPr="00100AF5">
        <w:t>A maj</w:t>
      </w:r>
      <w:r w:rsidR="00CB3FA9" w:rsidRPr="00100AF5">
        <w:t>or shortcoming could</w:t>
      </w:r>
      <w:r w:rsidR="00DB2DE3" w:rsidRPr="00100AF5">
        <w:t xml:space="preserve"> be</w:t>
      </w:r>
      <w:r w:rsidR="00CB3FA9" w:rsidRPr="00100AF5">
        <w:t xml:space="preserve"> represented by</w:t>
      </w:r>
      <w:r w:rsidR="00DB2DE3" w:rsidRPr="00100AF5">
        <w:t xml:space="preserve"> the absence of </w:t>
      </w:r>
      <w:r w:rsidR="009D0B4E">
        <w:t xml:space="preserve">properly </w:t>
      </w:r>
      <w:r w:rsidR="00DB2DE3" w:rsidRPr="00100AF5">
        <w:t>estab</w:t>
      </w:r>
      <w:r w:rsidR="00A54384" w:rsidRPr="00100AF5">
        <w:t xml:space="preserve">lished strategic, operational, </w:t>
      </w:r>
      <w:r w:rsidR="00DB2DE3" w:rsidRPr="00100AF5">
        <w:t>and legislative arrangements for service delivery at that time.</w:t>
      </w:r>
    </w:p>
    <w:p w:rsidR="00C67DBD" w:rsidRPr="00100AF5" w:rsidRDefault="00C67DBD" w:rsidP="00F65FB1"/>
    <w:p w:rsidR="00184ABA" w:rsidRPr="00100AF5" w:rsidRDefault="00184ABA" w:rsidP="000E0626">
      <w:pPr>
        <w:pStyle w:val="Heading2"/>
        <w:spacing w:before="120" w:after="120"/>
      </w:pPr>
      <w:bookmarkStart w:id="30" w:name="_Toc273263626"/>
      <w:bookmarkStart w:id="31" w:name="_Toc276461237"/>
      <w:r w:rsidRPr="00100AF5">
        <w:t>Results Framework</w:t>
      </w:r>
      <w:bookmarkEnd w:id="30"/>
      <w:bookmarkEnd w:id="31"/>
    </w:p>
    <w:p w:rsidR="00FD449C" w:rsidRPr="00100AF5" w:rsidRDefault="000E0626" w:rsidP="000E0626">
      <w:r w:rsidRPr="00100AF5">
        <w:t xml:space="preserve">The results </w:t>
      </w:r>
      <w:r w:rsidR="00F87D8C" w:rsidRPr="00100AF5">
        <w:t>framework of the Project presents</w:t>
      </w:r>
      <w:r w:rsidRPr="00100AF5">
        <w:t xml:space="preserve"> numerous logical shortcomings. </w:t>
      </w:r>
      <w:r w:rsidR="009D0B4E">
        <w:t>The description of objective</w:t>
      </w:r>
      <w:r w:rsidR="00843683" w:rsidRPr="00100AF5">
        <w:t xml:space="preserve"> as stated in the document -</w:t>
      </w:r>
      <w:r w:rsidR="00843683" w:rsidRPr="00100AF5">
        <w:rPr>
          <w:i/>
          <w:sz w:val="22"/>
        </w:rPr>
        <w:t xml:space="preserve"> to build the capacity of the Public Sector Reform Directorate (PSRD) and selected institutions to implement the Service Delivery Improvement System (SDIS) linked to the Public Sector Reform Programm</w:t>
      </w:r>
      <w:r w:rsidR="00A54384" w:rsidRPr="00100AF5">
        <w:rPr>
          <w:i/>
          <w:sz w:val="22"/>
        </w:rPr>
        <w:t>e</w:t>
      </w:r>
      <w:r w:rsidR="00843683" w:rsidRPr="00100AF5">
        <w:rPr>
          <w:i/>
          <w:sz w:val="22"/>
        </w:rPr>
        <w:t xml:space="preserve"> </w:t>
      </w:r>
      <w:r w:rsidR="00843683" w:rsidRPr="00100AF5">
        <w:rPr>
          <w:sz w:val="22"/>
        </w:rPr>
        <w:t xml:space="preserve">– </w:t>
      </w:r>
      <w:r w:rsidR="00843683" w:rsidRPr="00100AF5">
        <w:t xml:space="preserve">does not fully coincides with  </w:t>
      </w:r>
      <w:r w:rsidR="00843683" w:rsidRPr="00100AF5">
        <w:rPr>
          <w:sz w:val="22"/>
        </w:rPr>
        <w:t>the so called ‘outputs’ presented in the framework</w:t>
      </w:r>
      <w:r w:rsidR="00FE4E4F" w:rsidRPr="00100AF5">
        <w:rPr>
          <w:sz w:val="22"/>
        </w:rPr>
        <w:t>.</w:t>
      </w:r>
      <w:r w:rsidR="00843683" w:rsidRPr="00100AF5">
        <w:rPr>
          <w:sz w:val="22"/>
        </w:rPr>
        <w:t xml:space="preserve"> </w:t>
      </w:r>
      <w:r w:rsidR="00F87D8C" w:rsidRPr="00100AF5">
        <w:t xml:space="preserve"> There seems to be </w:t>
      </w:r>
      <w:r w:rsidR="00FE4E4F" w:rsidRPr="00100AF5">
        <w:t xml:space="preserve">some </w:t>
      </w:r>
      <w:r w:rsidR="00F87D8C" w:rsidRPr="00100AF5">
        <w:t>confusion among outputs and results; what is called an output is actually a result</w:t>
      </w:r>
      <w:r w:rsidR="00FD449C" w:rsidRPr="00100AF5">
        <w:t>,</w:t>
      </w:r>
      <w:r w:rsidR="00F87D8C" w:rsidRPr="00100AF5">
        <w:t xml:space="preserve"> or an outcome. Output 1 (strengthened Coordination Unit) is not a result, but a means for achieving the expected results of the Project. </w:t>
      </w:r>
      <w:r w:rsidR="00E94B5C" w:rsidRPr="00100AF5">
        <w:t xml:space="preserve"> </w:t>
      </w:r>
    </w:p>
    <w:p w:rsidR="000E0626" w:rsidRPr="00100AF5" w:rsidRDefault="00E94B5C" w:rsidP="000E0626">
      <w:r w:rsidRPr="00100AF5">
        <w:lastRenderedPageBreak/>
        <w:t xml:space="preserve">It is </w:t>
      </w:r>
      <w:r w:rsidR="00FD449C" w:rsidRPr="00100AF5">
        <w:t xml:space="preserve">also </w:t>
      </w:r>
      <w:r w:rsidRPr="00100AF5">
        <w:t>to be noted that the framework lacks objectively verifiable indicator</w:t>
      </w:r>
      <w:r w:rsidR="00FD449C" w:rsidRPr="00100AF5">
        <w:t xml:space="preserve"> (OVIs). This is an important shortcoming, as they</w:t>
      </w:r>
      <w:r w:rsidRPr="00100AF5">
        <w:t xml:space="preserve"> would have allowed for enhanced monitoring of the Project and for a proper evaluation.</w:t>
      </w:r>
    </w:p>
    <w:p w:rsidR="00184ABA" w:rsidRPr="00100AF5" w:rsidRDefault="00961F55" w:rsidP="00961F55">
      <w:pPr>
        <w:pStyle w:val="Heading2"/>
      </w:pPr>
      <w:bookmarkStart w:id="32" w:name="_Toc273263627"/>
      <w:bookmarkStart w:id="33" w:name="_Toc276461238"/>
      <w:r w:rsidRPr="00100AF5">
        <w:t>External factors</w:t>
      </w:r>
      <w:bookmarkEnd w:id="32"/>
      <w:bookmarkEnd w:id="33"/>
    </w:p>
    <w:p w:rsidR="00430043" w:rsidRPr="00100AF5" w:rsidRDefault="00FD449C" w:rsidP="00F03E5C">
      <w:r w:rsidRPr="00100AF5">
        <w:t>External p</w:t>
      </w:r>
      <w:r w:rsidR="00430043" w:rsidRPr="00100AF5">
        <w:t xml:space="preserve">otential risks </w:t>
      </w:r>
      <w:r w:rsidRPr="00100AF5">
        <w:t xml:space="preserve">of the Project are quite </w:t>
      </w:r>
      <w:r w:rsidR="00430043" w:rsidRPr="00100AF5">
        <w:t>clearly stated in the project document</w:t>
      </w:r>
      <w:r w:rsidRPr="00100AF5">
        <w:t>:</w:t>
      </w:r>
    </w:p>
    <w:p w:rsidR="00FD449C" w:rsidRPr="00100AF5" w:rsidRDefault="00FD449C" w:rsidP="00FD449C">
      <w:pPr>
        <w:spacing w:after="120"/>
        <w:rPr>
          <w:i/>
        </w:rPr>
      </w:pPr>
      <w:r w:rsidRPr="00100AF5">
        <w:rPr>
          <w:i/>
        </w:rPr>
        <w:t xml:space="preserve">The SDIS tools and methodologies are new to Jordan and some are less understood than others.  </w:t>
      </w:r>
    </w:p>
    <w:p w:rsidR="00FD449C" w:rsidRPr="00100AF5" w:rsidRDefault="00FD449C" w:rsidP="00FD449C">
      <w:pPr>
        <w:spacing w:after="120"/>
        <w:rPr>
          <w:i/>
        </w:rPr>
      </w:pPr>
      <w:r w:rsidRPr="00100AF5">
        <w:rPr>
          <w:i/>
        </w:rPr>
        <w:t>Capacity building and change management processes for institutionalizing SDIS need to build into the system: (i) reinforcement for the change process, (ii) rewards for institutions that take the risks, (iii) linkages to required training, (iv) removal of competing priorities, (v) integrating SDIS into other PSRD systems and (vi) continuing assistance.</w:t>
      </w:r>
    </w:p>
    <w:p w:rsidR="0095468E" w:rsidRPr="00100AF5" w:rsidRDefault="00FD449C" w:rsidP="00F03E5C">
      <w:r w:rsidRPr="00100AF5">
        <w:t>The main risk, however – and it should have been mentioned in the document – was</w:t>
      </w:r>
      <w:r w:rsidR="00843683" w:rsidRPr="00100AF5">
        <w:t>, and to some extent still is,</w:t>
      </w:r>
      <w:r w:rsidRPr="00100AF5">
        <w:t xml:space="preserve"> the</w:t>
      </w:r>
      <w:r w:rsidR="009D0B4E">
        <w:t xml:space="preserve"> extent of the</w:t>
      </w:r>
      <w:r w:rsidRPr="00100AF5">
        <w:t xml:space="preserve"> political will of </w:t>
      </w:r>
      <w:proofErr w:type="spellStart"/>
      <w:r w:rsidRPr="00100AF5">
        <w:t>GoJ</w:t>
      </w:r>
      <w:proofErr w:type="spellEnd"/>
      <w:r w:rsidRPr="00100AF5">
        <w:t xml:space="preserve"> to seriously</w:t>
      </w:r>
      <w:r w:rsidR="00843683" w:rsidRPr="00100AF5">
        <w:t xml:space="preserve"> and timely</w:t>
      </w:r>
      <w:r w:rsidRPr="00100AF5">
        <w:t xml:space="preserve"> undertake such complex </w:t>
      </w:r>
      <w:r w:rsidR="009D0B4E">
        <w:t>reform</w:t>
      </w:r>
      <w:r w:rsidRPr="00100AF5">
        <w:t xml:space="preserve">. </w:t>
      </w:r>
      <w:r w:rsidR="00843683" w:rsidRPr="00100AF5">
        <w:t>In fact, this has been one of the major issues undermining an effective and efficient implementation of the Project. Reasons and details will be explored later in this report.</w:t>
      </w:r>
    </w:p>
    <w:p w:rsidR="005B40CC" w:rsidRPr="00100AF5" w:rsidRDefault="005B40CC" w:rsidP="00CD7605">
      <w:pPr>
        <w:pStyle w:val="Heading1"/>
      </w:pPr>
      <w:bookmarkStart w:id="34" w:name="_Toc273263628"/>
      <w:bookmarkStart w:id="35" w:name="_Toc276461239"/>
      <w:r w:rsidRPr="00100AF5">
        <w:t>Purpose of the evaluation</w:t>
      </w:r>
      <w:bookmarkEnd w:id="34"/>
      <w:bookmarkEnd w:id="35"/>
    </w:p>
    <w:p w:rsidR="0098214A" w:rsidRPr="00100AF5" w:rsidRDefault="0098214A" w:rsidP="0098214A">
      <w:r w:rsidRPr="00100AF5">
        <w:t xml:space="preserve">The purpose of the evaluation was to provide the UNDP with key findings and lessons learnt from its co-operation in the framework of the Project, including the extent to which the UNDP support has contributed to progress made towards the Jordanian Public Sector Reform (PSR) objectives, and to provide a valuable aid for future programming. </w:t>
      </w:r>
    </w:p>
    <w:p w:rsidR="00C25EB5" w:rsidRPr="00100AF5" w:rsidRDefault="0098214A" w:rsidP="00290B2F">
      <w:r w:rsidRPr="00100AF5">
        <w:t>A</w:t>
      </w:r>
      <w:r w:rsidR="00C25EB5" w:rsidRPr="00100AF5">
        <w:t xml:space="preserve">s the </w:t>
      </w:r>
      <w:proofErr w:type="spellStart"/>
      <w:r w:rsidR="00C25EB5" w:rsidRPr="00100AF5">
        <w:t>ToRs</w:t>
      </w:r>
      <w:proofErr w:type="spellEnd"/>
      <w:r w:rsidR="00C25EB5" w:rsidRPr="00100AF5">
        <w:t xml:space="preserve"> state, t</w:t>
      </w:r>
      <w:r w:rsidRPr="00100AF5">
        <w:t>his</w:t>
      </w:r>
      <w:r w:rsidR="00C25EB5" w:rsidRPr="00100AF5">
        <w:t xml:space="preserve"> evaluation findings and recommendations </w:t>
      </w:r>
      <w:r w:rsidRPr="00100AF5">
        <w:t>‘</w:t>
      </w:r>
      <w:r w:rsidR="00C25EB5" w:rsidRPr="00100AF5">
        <w:rPr>
          <w:i/>
        </w:rPr>
        <w:t xml:space="preserve">will </w:t>
      </w:r>
      <w:r w:rsidRPr="00100AF5">
        <w:rPr>
          <w:i/>
        </w:rPr>
        <w:t xml:space="preserve">therefore </w:t>
      </w:r>
      <w:r w:rsidR="00C25EB5" w:rsidRPr="00100AF5">
        <w:rPr>
          <w:i/>
        </w:rPr>
        <w:t>be utilized to develop a potential separate project document for the next phase, with a comprehensive and detailed results and resources framework</w:t>
      </w:r>
      <w:r w:rsidRPr="00100AF5">
        <w:t>’</w:t>
      </w:r>
      <w:r w:rsidR="00C25EB5" w:rsidRPr="00100AF5">
        <w:t xml:space="preserve">. </w:t>
      </w:r>
    </w:p>
    <w:p w:rsidR="005B40CC" w:rsidRPr="00100AF5" w:rsidRDefault="005B40CC" w:rsidP="00CD7605">
      <w:pPr>
        <w:pStyle w:val="Heading1"/>
      </w:pPr>
      <w:bookmarkStart w:id="36" w:name="_Toc273263629"/>
      <w:bookmarkStart w:id="37" w:name="_Toc276461240"/>
      <w:r w:rsidRPr="00100AF5">
        <w:t xml:space="preserve">Key questions and scope of the evaluation </w:t>
      </w:r>
      <w:r w:rsidR="007E3A5B" w:rsidRPr="00100AF5">
        <w:t>-</w:t>
      </w:r>
      <w:r w:rsidRPr="00100AF5">
        <w:t xml:space="preserve"> information on limitations and de-limitations</w:t>
      </w:r>
      <w:bookmarkEnd w:id="36"/>
      <w:bookmarkEnd w:id="37"/>
    </w:p>
    <w:p w:rsidR="00B91D93" w:rsidRPr="00100AF5" w:rsidRDefault="00B91D93" w:rsidP="00C25EB5">
      <w:r w:rsidRPr="00100AF5">
        <w:t>Limitations to this evaluation deal mainly with:</w:t>
      </w:r>
    </w:p>
    <w:p w:rsidR="00B91D93" w:rsidRPr="00100AF5" w:rsidRDefault="00B91D93" w:rsidP="00093C36">
      <w:pPr>
        <w:pStyle w:val="ListParagraph"/>
        <w:numPr>
          <w:ilvl w:val="0"/>
          <w:numId w:val="12"/>
        </w:numPr>
      </w:pPr>
      <w:r w:rsidRPr="00100AF5">
        <w:t>Lack of proper project design and absence of key evaluation indicators, such as Objectively Verifiable Indicators (OVI)</w:t>
      </w:r>
    </w:p>
    <w:p w:rsidR="00B91D93" w:rsidRPr="00100AF5" w:rsidRDefault="00B91D93" w:rsidP="00093C36">
      <w:pPr>
        <w:pStyle w:val="ListParagraph"/>
        <w:numPr>
          <w:ilvl w:val="0"/>
          <w:numId w:val="12"/>
        </w:numPr>
      </w:pPr>
      <w:r w:rsidRPr="00100AF5">
        <w:t xml:space="preserve">Unavailability of key staff working at the Project in the first years of implementation. This relates to both UNDP, </w:t>
      </w:r>
      <w:proofErr w:type="spellStart"/>
      <w:r w:rsidRPr="00100AF5">
        <w:t>MoPSD</w:t>
      </w:r>
      <w:proofErr w:type="spellEnd"/>
      <w:r w:rsidRPr="00100AF5">
        <w:t xml:space="preserve"> and other stakeholders, and hampered the establishment of an institutional memory thus hindering the impact of the Project itself</w:t>
      </w:r>
    </w:p>
    <w:p w:rsidR="00B91D93" w:rsidRPr="00100AF5" w:rsidRDefault="00B91D93" w:rsidP="00093C36">
      <w:pPr>
        <w:pStyle w:val="ListParagraph"/>
        <w:numPr>
          <w:ilvl w:val="0"/>
          <w:numId w:val="12"/>
        </w:numPr>
      </w:pPr>
      <w:r w:rsidRPr="00100AF5">
        <w:t xml:space="preserve">Lack of </w:t>
      </w:r>
      <w:r w:rsidR="000332D8" w:rsidRPr="00100AF5">
        <w:t>documented justification for project directions’ changes and deviations from the original project documents</w:t>
      </w:r>
    </w:p>
    <w:p w:rsidR="00B91D93" w:rsidRPr="00100AF5" w:rsidRDefault="00B91D93" w:rsidP="00093C36">
      <w:pPr>
        <w:pStyle w:val="ListParagraph"/>
        <w:numPr>
          <w:ilvl w:val="0"/>
          <w:numId w:val="12"/>
        </w:numPr>
      </w:pPr>
      <w:r w:rsidRPr="00100AF5">
        <w:t>Unavailability or absence of project documentation, such as project reports and Steering Committee (SC) meetings minutes.</w:t>
      </w:r>
    </w:p>
    <w:p w:rsidR="00C25EB5" w:rsidRPr="00100AF5" w:rsidRDefault="00C25EB5" w:rsidP="00CD7605">
      <w:pPr>
        <w:pStyle w:val="Heading2"/>
        <w:rPr>
          <w:szCs w:val="22"/>
        </w:rPr>
      </w:pPr>
      <w:bookmarkStart w:id="38" w:name="_Toc273263630"/>
      <w:bookmarkStart w:id="39" w:name="_Toc276461241"/>
      <w:r w:rsidRPr="00100AF5">
        <w:lastRenderedPageBreak/>
        <w:t xml:space="preserve">Key Evaluation </w:t>
      </w:r>
      <w:r w:rsidRPr="00100AF5">
        <w:rPr>
          <w:szCs w:val="22"/>
        </w:rPr>
        <w:t>Questions</w:t>
      </w:r>
      <w:bookmarkEnd w:id="38"/>
      <w:bookmarkEnd w:id="39"/>
    </w:p>
    <w:p w:rsidR="00C25EB5" w:rsidRPr="00100AF5" w:rsidRDefault="00C25EB5" w:rsidP="00694CCD">
      <w:r w:rsidRPr="00100AF5">
        <w:t>Taking into account the</w:t>
      </w:r>
      <w:r w:rsidR="00694CCD" w:rsidRPr="00100AF5">
        <w:t xml:space="preserve"> </w:t>
      </w:r>
      <w:proofErr w:type="spellStart"/>
      <w:r w:rsidRPr="00100AF5">
        <w:t>ToRs</w:t>
      </w:r>
      <w:proofErr w:type="spellEnd"/>
      <w:r w:rsidRPr="00100AF5">
        <w:t xml:space="preserve"> of the present mission, the implementation status of the programme and the resource disbursements made to date, the final evaluation </w:t>
      </w:r>
      <w:r w:rsidR="00694CCD" w:rsidRPr="00100AF5">
        <w:t>has exp</w:t>
      </w:r>
      <w:r w:rsidRPr="00100AF5">
        <w:t>lore</w:t>
      </w:r>
      <w:r w:rsidR="00694CCD" w:rsidRPr="00100AF5">
        <w:t>d</w:t>
      </w:r>
      <w:r w:rsidRPr="00100AF5">
        <w:t xml:space="preserve"> the following questions:</w:t>
      </w:r>
    </w:p>
    <w:p w:rsidR="00C25EB5" w:rsidRPr="00100AF5" w:rsidRDefault="00C25EB5" w:rsidP="00C25EB5">
      <w:pPr>
        <w:rPr>
          <w:rFonts w:ascii="Calibri" w:hAnsi="Calibri"/>
          <w:color w:val="000000"/>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964"/>
      </w:tblGrid>
      <w:tr w:rsidR="00C25EB5" w:rsidRPr="00100AF5" w:rsidTr="007E3A5B">
        <w:trPr>
          <w:trHeight w:val="683"/>
        </w:trPr>
        <w:tc>
          <w:tcPr>
            <w:tcW w:w="2126" w:type="dxa"/>
            <w:tcBorders>
              <w:bottom w:val="single" w:sz="4" w:space="0" w:color="auto"/>
            </w:tcBorders>
            <w:shd w:val="clear" w:color="auto" w:fill="FDE9D9" w:themeFill="accent6" w:themeFillTint="33"/>
          </w:tcPr>
          <w:p w:rsidR="00C25EB5" w:rsidRPr="00100AF5" w:rsidRDefault="00C25EB5" w:rsidP="00221FC3">
            <w:pPr>
              <w:spacing w:after="120"/>
              <w:contextualSpacing/>
              <w:rPr>
                <w:rFonts w:ascii="Palatino Linotype" w:hAnsi="Palatino Linotype"/>
                <w:b/>
                <w:bCs/>
                <w:sz w:val="20"/>
              </w:rPr>
            </w:pPr>
            <w:r w:rsidRPr="00100AF5">
              <w:rPr>
                <w:rFonts w:ascii="Palatino Linotype" w:hAnsi="Palatino Linotype"/>
                <w:b/>
                <w:bCs/>
                <w:sz w:val="20"/>
                <w:szCs w:val="22"/>
              </w:rPr>
              <w:t xml:space="preserve">Project Management </w:t>
            </w:r>
          </w:p>
        </w:tc>
        <w:tc>
          <w:tcPr>
            <w:tcW w:w="6964" w:type="dxa"/>
            <w:tcBorders>
              <w:bottom w:val="single" w:sz="4" w:space="0" w:color="auto"/>
            </w:tcBorders>
            <w:shd w:val="clear" w:color="auto" w:fill="FDE9D9" w:themeFill="accent6" w:themeFillTint="33"/>
          </w:tcPr>
          <w:p w:rsidR="00C25EB5" w:rsidRPr="00100AF5" w:rsidRDefault="00C25EB5" w:rsidP="009C57AB">
            <w:pPr>
              <w:numPr>
                <w:ilvl w:val="0"/>
                <w:numId w:val="1"/>
              </w:numPr>
              <w:spacing w:after="120"/>
              <w:ind w:left="432" w:hanging="274"/>
              <w:rPr>
                <w:rFonts w:ascii="Palatino Linotype" w:hAnsi="Palatino Linotype"/>
                <w:sz w:val="20"/>
              </w:rPr>
            </w:pPr>
            <w:r w:rsidRPr="00100AF5">
              <w:rPr>
                <w:rFonts w:ascii="Palatino Linotype" w:hAnsi="Palatino Linotype"/>
                <w:sz w:val="20"/>
                <w:szCs w:val="22"/>
              </w:rPr>
              <w:t xml:space="preserve">Are the Project Management arrangements appropriate at the team level and Steering Committee level? </w:t>
            </w:r>
          </w:p>
        </w:tc>
      </w:tr>
      <w:tr w:rsidR="00C25EB5" w:rsidRPr="00100AF5" w:rsidTr="007E3A5B">
        <w:trPr>
          <w:trHeight w:val="1988"/>
        </w:trPr>
        <w:tc>
          <w:tcPr>
            <w:tcW w:w="2126" w:type="dxa"/>
            <w:tcBorders>
              <w:bottom w:val="single" w:sz="4" w:space="0" w:color="auto"/>
            </w:tcBorders>
            <w:shd w:val="clear" w:color="auto" w:fill="EAF1DD" w:themeFill="accent3" w:themeFillTint="33"/>
          </w:tcPr>
          <w:p w:rsidR="00C25EB5" w:rsidRPr="00100AF5" w:rsidRDefault="00C25EB5" w:rsidP="00221FC3">
            <w:pPr>
              <w:spacing w:after="120"/>
              <w:rPr>
                <w:rFonts w:ascii="Palatino Linotype" w:hAnsi="Palatino Linotype"/>
                <w:b/>
                <w:bCs/>
                <w:sz w:val="20"/>
              </w:rPr>
            </w:pPr>
          </w:p>
          <w:p w:rsidR="00C25EB5" w:rsidRPr="00100AF5" w:rsidRDefault="00C25EB5" w:rsidP="00221FC3">
            <w:pPr>
              <w:spacing w:after="120"/>
              <w:rPr>
                <w:rFonts w:ascii="Palatino Linotype" w:hAnsi="Palatino Linotype"/>
                <w:b/>
                <w:bCs/>
                <w:sz w:val="20"/>
              </w:rPr>
            </w:pPr>
          </w:p>
          <w:p w:rsidR="00C25EB5" w:rsidRPr="00100AF5" w:rsidRDefault="00C25EB5" w:rsidP="00221FC3">
            <w:pPr>
              <w:spacing w:after="120"/>
              <w:rPr>
                <w:rFonts w:ascii="Palatino Linotype" w:hAnsi="Palatino Linotype"/>
                <w:sz w:val="20"/>
              </w:rPr>
            </w:pPr>
            <w:r w:rsidRPr="00100AF5">
              <w:rPr>
                <w:rFonts w:ascii="Palatino Linotype" w:hAnsi="Palatino Linotype"/>
                <w:b/>
                <w:bCs/>
                <w:sz w:val="20"/>
                <w:szCs w:val="22"/>
              </w:rPr>
              <w:t xml:space="preserve">Project Design </w:t>
            </w:r>
          </w:p>
        </w:tc>
        <w:tc>
          <w:tcPr>
            <w:tcW w:w="6964" w:type="dxa"/>
            <w:tcBorders>
              <w:bottom w:val="single" w:sz="4" w:space="0" w:color="auto"/>
            </w:tcBorders>
            <w:shd w:val="clear" w:color="auto" w:fill="EAF1DD" w:themeFill="accent3" w:themeFillTint="33"/>
          </w:tcPr>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To what extent did the design of the project help in achieving its own goals?</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Were the context, problem, needs and priorities well </w:t>
            </w:r>
            <w:proofErr w:type="spellStart"/>
            <w:r w:rsidRPr="00100AF5">
              <w:rPr>
                <w:rFonts w:ascii="Palatino Linotype" w:hAnsi="Palatino Linotype"/>
                <w:sz w:val="20"/>
                <w:szCs w:val="22"/>
              </w:rPr>
              <w:t>analyzed</w:t>
            </w:r>
            <w:proofErr w:type="spellEnd"/>
            <w:r w:rsidRPr="00100AF5">
              <w:rPr>
                <w:rFonts w:ascii="Palatino Linotype" w:hAnsi="Palatino Linotype"/>
                <w:sz w:val="20"/>
                <w:szCs w:val="22"/>
              </w:rPr>
              <w:t xml:space="preserve"> while designing the project?</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Were there clear objectives and strategy?  </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Were there clear baselines indicators and/or benchmarks for performance?</w:t>
            </w:r>
          </w:p>
          <w:p w:rsidR="00C25EB5" w:rsidRPr="00100AF5" w:rsidRDefault="00C25EB5" w:rsidP="009C57AB">
            <w:pPr>
              <w:numPr>
                <w:ilvl w:val="0"/>
                <w:numId w:val="1"/>
              </w:numPr>
              <w:spacing w:after="120"/>
              <w:ind w:left="432" w:hanging="274"/>
              <w:rPr>
                <w:rFonts w:ascii="Palatino Linotype" w:hAnsi="Palatino Linotype"/>
                <w:sz w:val="20"/>
              </w:rPr>
            </w:pPr>
            <w:r w:rsidRPr="00100AF5">
              <w:rPr>
                <w:rFonts w:ascii="Palatino Linotype" w:hAnsi="Palatino Linotype"/>
                <w:sz w:val="20"/>
                <w:szCs w:val="22"/>
              </w:rPr>
              <w:t>Was the process of project design sufficiently participatory? Was there any impact of the process?</w:t>
            </w:r>
          </w:p>
        </w:tc>
      </w:tr>
      <w:tr w:rsidR="00C25EB5" w:rsidRPr="00100AF5" w:rsidTr="007E3A5B">
        <w:trPr>
          <w:trHeight w:val="1988"/>
        </w:trPr>
        <w:tc>
          <w:tcPr>
            <w:tcW w:w="2126" w:type="dxa"/>
            <w:tcBorders>
              <w:bottom w:val="single" w:sz="4" w:space="0" w:color="auto"/>
            </w:tcBorders>
            <w:shd w:val="clear" w:color="auto" w:fill="F2DBDB" w:themeFill="accent2" w:themeFillTint="33"/>
          </w:tcPr>
          <w:p w:rsidR="00C25EB5" w:rsidRPr="00100AF5" w:rsidRDefault="00C25EB5" w:rsidP="00221FC3">
            <w:pPr>
              <w:spacing w:after="120"/>
              <w:rPr>
                <w:rFonts w:ascii="Palatino Linotype" w:hAnsi="Palatino Linotype"/>
                <w:b/>
                <w:bCs/>
                <w:sz w:val="20"/>
              </w:rPr>
            </w:pPr>
          </w:p>
          <w:p w:rsidR="00C25EB5" w:rsidRPr="00100AF5" w:rsidRDefault="00C25EB5" w:rsidP="007E3A5B">
            <w:pPr>
              <w:spacing w:after="120"/>
              <w:jc w:val="left"/>
              <w:rPr>
                <w:rFonts w:ascii="Palatino Linotype" w:hAnsi="Palatino Linotype"/>
                <w:sz w:val="20"/>
              </w:rPr>
            </w:pPr>
            <w:r w:rsidRPr="00100AF5">
              <w:rPr>
                <w:rFonts w:ascii="Palatino Linotype" w:hAnsi="Palatino Linotype"/>
                <w:b/>
                <w:bCs/>
                <w:sz w:val="20"/>
                <w:szCs w:val="22"/>
              </w:rPr>
              <w:t>Relevance</w:t>
            </w:r>
            <w:r w:rsidRPr="00100AF5">
              <w:rPr>
                <w:rFonts w:ascii="Palatino Linotype" w:hAnsi="Palatino Linotype"/>
                <w:sz w:val="20"/>
                <w:szCs w:val="22"/>
              </w:rPr>
              <w:t xml:space="preserve"> </w:t>
            </w:r>
            <w:r w:rsidRPr="00100AF5">
              <w:rPr>
                <w:rFonts w:ascii="Palatino Linotype" w:hAnsi="Palatino Linotype"/>
                <w:b/>
                <w:bCs/>
                <w:sz w:val="20"/>
                <w:szCs w:val="22"/>
              </w:rPr>
              <w:t>and</w:t>
            </w:r>
            <w:r w:rsidRPr="00100AF5">
              <w:rPr>
                <w:rFonts w:ascii="Palatino Linotype" w:hAnsi="Palatino Linotype"/>
                <w:sz w:val="20"/>
                <w:szCs w:val="22"/>
              </w:rPr>
              <w:t xml:space="preserve"> </w:t>
            </w:r>
            <w:r w:rsidRPr="00100AF5">
              <w:rPr>
                <w:rFonts w:ascii="Palatino Linotype" w:hAnsi="Palatino Linotype"/>
                <w:b/>
                <w:bCs/>
                <w:sz w:val="20"/>
                <w:szCs w:val="22"/>
              </w:rPr>
              <w:t>appropriateness</w:t>
            </w:r>
            <w:r w:rsidRPr="00100AF5">
              <w:rPr>
                <w:rFonts w:ascii="Palatino Linotype" w:hAnsi="Palatino Linotype"/>
                <w:sz w:val="20"/>
                <w:szCs w:val="22"/>
              </w:rPr>
              <w:t xml:space="preserve"> </w:t>
            </w:r>
          </w:p>
        </w:tc>
        <w:tc>
          <w:tcPr>
            <w:tcW w:w="6964" w:type="dxa"/>
            <w:tcBorders>
              <w:bottom w:val="single" w:sz="4" w:space="0" w:color="auto"/>
            </w:tcBorders>
            <w:shd w:val="clear" w:color="auto" w:fill="F2DBDB" w:themeFill="accent2" w:themeFillTint="33"/>
          </w:tcPr>
          <w:p w:rsidR="00C25EB5" w:rsidRPr="00100AF5" w:rsidRDefault="00C25EB5" w:rsidP="00093C36">
            <w:pPr>
              <w:numPr>
                <w:ilvl w:val="0"/>
                <w:numId w:val="2"/>
              </w:numPr>
              <w:rPr>
                <w:rFonts w:ascii="Palatino Linotype" w:hAnsi="Palatino Linotype"/>
                <w:sz w:val="20"/>
              </w:rPr>
            </w:pPr>
            <w:r w:rsidRPr="00100AF5">
              <w:rPr>
                <w:rFonts w:ascii="Palatino Linotype" w:hAnsi="Palatino Linotype"/>
                <w:sz w:val="20"/>
                <w:szCs w:val="22"/>
              </w:rPr>
              <w:t>Was the project relevant, appropriate and strategic to national goals and challenges?</w:t>
            </w:r>
          </w:p>
          <w:p w:rsidR="00C25EB5" w:rsidRPr="00100AF5" w:rsidRDefault="00C25EB5" w:rsidP="00093C36">
            <w:pPr>
              <w:numPr>
                <w:ilvl w:val="0"/>
                <w:numId w:val="2"/>
              </w:numPr>
              <w:rPr>
                <w:rFonts w:ascii="Palatino Linotype" w:hAnsi="Palatino Linotype"/>
                <w:sz w:val="20"/>
              </w:rPr>
            </w:pPr>
            <w:r w:rsidRPr="00100AF5">
              <w:rPr>
                <w:rFonts w:ascii="Palatino Linotype" w:hAnsi="Palatino Linotype"/>
                <w:sz w:val="20"/>
                <w:szCs w:val="22"/>
              </w:rPr>
              <w:t>Was the project relevant, appropriate and strategic to the mandate, strategy, functions, roles, and responsibilities of MOPSD ?</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Was the project relevant, appropriate and strategic to UNDP mandate?</w:t>
            </w:r>
          </w:p>
        </w:tc>
      </w:tr>
      <w:tr w:rsidR="00C25EB5" w:rsidRPr="00100AF5" w:rsidTr="007E3A5B">
        <w:trPr>
          <w:trHeight w:val="1988"/>
        </w:trPr>
        <w:tc>
          <w:tcPr>
            <w:tcW w:w="2126" w:type="dxa"/>
            <w:tcBorders>
              <w:bottom w:val="single" w:sz="4" w:space="0" w:color="auto"/>
            </w:tcBorders>
            <w:shd w:val="clear" w:color="auto" w:fill="DAEEF3" w:themeFill="accent5" w:themeFillTint="33"/>
          </w:tcPr>
          <w:p w:rsidR="00C25EB5" w:rsidRPr="00100AF5" w:rsidRDefault="00C25EB5" w:rsidP="00221FC3">
            <w:pPr>
              <w:spacing w:after="120"/>
              <w:rPr>
                <w:rFonts w:ascii="Palatino Linotype" w:hAnsi="Palatino Linotype"/>
                <w:b/>
                <w:bCs/>
                <w:sz w:val="20"/>
              </w:rPr>
            </w:pPr>
          </w:p>
          <w:p w:rsidR="00C25EB5" w:rsidRPr="00100AF5" w:rsidRDefault="00C25EB5" w:rsidP="007E3A5B">
            <w:pPr>
              <w:spacing w:after="120"/>
              <w:jc w:val="left"/>
              <w:rPr>
                <w:rFonts w:ascii="Palatino Linotype" w:hAnsi="Palatino Linotype"/>
                <w:b/>
                <w:bCs/>
                <w:sz w:val="20"/>
              </w:rPr>
            </w:pPr>
            <w:r w:rsidRPr="00100AF5">
              <w:rPr>
                <w:rFonts w:ascii="Palatino Linotype" w:hAnsi="Palatino Linotype"/>
                <w:b/>
                <w:bCs/>
                <w:sz w:val="20"/>
                <w:szCs w:val="22"/>
              </w:rPr>
              <w:t>Effectiveness and efficiency</w:t>
            </w:r>
          </w:p>
        </w:tc>
        <w:tc>
          <w:tcPr>
            <w:tcW w:w="6964" w:type="dxa"/>
            <w:tcBorders>
              <w:bottom w:val="single" w:sz="4" w:space="0" w:color="auto"/>
            </w:tcBorders>
            <w:shd w:val="clear" w:color="auto" w:fill="DAEEF3" w:themeFill="accent5" w:themeFillTint="33"/>
          </w:tcPr>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Were the actions to achieve the outputs and outcomes effective and efficient?</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Were there any lessons learned, failures/lost opportunities? What might have been done better or differently? </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How did the project deal with issues and risks?</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Were the outputs achieved in a timely manner?</w:t>
            </w:r>
          </w:p>
          <w:p w:rsidR="00C25EB5" w:rsidRPr="00100AF5" w:rsidRDefault="00C25EB5" w:rsidP="009C57AB">
            <w:pPr>
              <w:numPr>
                <w:ilvl w:val="0"/>
                <w:numId w:val="1"/>
              </w:numPr>
              <w:spacing w:after="120"/>
              <w:ind w:left="432" w:hanging="274"/>
              <w:rPr>
                <w:rFonts w:ascii="Palatino Linotype" w:hAnsi="Palatino Linotype"/>
                <w:sz w:val="20"/>
              </w:rPr>
            </w:pPr>
            <w:r w:rsidRPr="00100AF5">
              <w:rPr>
                <w:rFonts w:ascii="Palatino Linotype" w:hAnsi="Palatino Linotype"/>
                <w:sz w:val="20"/>
                <w:szCs w:val="22"/>
              </w:rPr>
              <w:t>Were the resources utilized in the best way possible?</w:t>
            </w:r>
          </w:p>
        </w:tc>
      </w:tr>
      <w:tr w:rsidR="00C25EB5" w:rsidRPr="00100AF5" w:rsidTr="009C57AB">
        <w:trPr>
          <w:trHeight w:val="1070"/>
        </w:trPr>
        <w:tc>
          <w:tcPr>
            <w:tcW w:w="2126" w:type="dxa"/>
            <w:tcBorders>
              <w:bottom w:val="single" w:sz="4" w:space="0" w:color="auto"/>
            </w:tcBorders>
            <w:shd w:val="clear" w:color="auto" w:fill="E5DFEC" w:themeFill="accent4" w:themeFillTint="33"/>
          </w:tcPr>
          <w:p w:rsidR="00C25EB5" w:rsidRPr="00100AF5" w:rsidRDefault="00C25EB5" w:rsidP="00221FC3">
            <w:pPr>
              <w:spacing w:after="120"/>
              <w:rPr>
                <w:rFonts w:ascii="Palatino Linotype" w:hAnsi="Palatino Linotype"/>
                <w:b/>
                <w:bCs/>
                <w:sz w:val="20"/>
              </w:rPr>
            </w:pPr>
          </w:p>
          <w:p w:rsidR="00C25EB5" w:rsidRPr="00100AF5" w:rsidRDefault="00C25EB5" w:rsidP="007E3A5B">
            <w:pPr>
              <w:spacing w:after="120"/>
              <w:jc w:val="left"/>
              <w:rPr>
                <w:rFonts w:ascii="Palatino Linotype" w:hAnsi="Palatino Linotype"/>
                <w:b/>
                <w:bCs/>
                <w:sz w:val="20"/>
              </w:rPr>
            </w:pPr>
            <w:r w:rsidRPr="00100AF5">
              <w:rPr>
                <w:rFonts w:ascii="Palatino Linotype" w:hAnsi="Palatino Linotype"/>
                <w:b/>
                <w:bCs/>
                <w:sz w:val="20"/>
                <w:szCs w:val="22"/>
              </w:rPr>
              <w:t>Impact and sustainability</w:t>
            </w:r>
          </w:p>
        </w:tc>
        <w:tc>
          <w:tcPr>
            <w:tcW w:w="6964" w:type="dxa"/>
            <w:tcBorders>
              <w:bottom w:val="single" w:sz="4" w:space="0" w:color="auto"/>
            </w:tcBorders>
            <w:shd w:val="clear" w:color="auto" w:fill="E5DFEC" w:themeFill="accent4" w:themeFillTint="33"/>
          </w:tcPr>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Will the outputs/outcomes lead to benefits beyond the life of the existing project? </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Were the actions and results owned by the local partners and stakeholders?  </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Was capacity (individuals, institution, systems) built through the actions of the project?</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 xml:space="preserve">What is the level of contribution of the project management arrangements to national ownership of the set objectives, results, and </w:t>
            </w:r>
            <w:r w:rsidRPr="00100AF5">
              <w:rPr>
                <w:rFonts w:ascii="Palatino Linotype" w:hAnsi="Palatino Linotype"/>
                <w:sz w:val="20"/>
                <w:szCs w:val="22"/>
              </w:rPr>
              <w:lastRenderedPageBreak/>
              <w:t>outputs</w:t>
            </w:r>
            <w:r w:rsidR="009C57AB">
              <w:rPr>
                <w:rFonts w:ascii="Palatino Linotype" w:hAnsi="Palatino Linotype"/>
                <w:sz w:val="20"/>
                <w:szCs w:val="22"/>
              </w:rPr>
              <w:t>?</w:t>
            </w:r>
          </w:p>
          <w:p w:rsidR="00C25EB5" w:rsidRPr="00100AF5" w:rsidRDefault="00C25EB5" w:rsidP="00093C36">
            <w:pPr>
              <w:numPr>
                <w:ilvl w:val="0"/>
                <w:numId w:val="1"/>
              </w:numPr>
              <w:ind w:left="432" w:hanging="270"/>
              <w:rPr>
                <w:rFonts w:ascii="Palatino Linotype" w:hAnsi="Palatino Linotype"/>
                <w:sz w:val="20"/>
              </w:rPr>
            </w:pPr>
            <w:r w:rsidRPr="00100AF5">
              <w:rPr>
                <w:rFonts w:ascii="Palatino Linotype" w:hAnsi="Palatino Linotype"/>
                <w:sz w:val="20"/>
                <w:szCs w:val="22"/>
              </w:rPr>
              <w:t>Were the modes of deliveries of the outputs appropriate to promote national ownership and sustainability of the results achieved?</w:t>
            </w:r>
          </w:p>
        </w:tc>
      </w:tr>
      <w:tr w:rsidR="008A5619" w:rsidRPr="00100AF5" w:rsidTr="008A5619">
        <w:trPr>
          <w:trHeight w:val="1025"/>
        </w:trPr>
        <w:tc>
          <w:tcPr>
            <w:tcW w:w="2126" w:type="dxa"/>
            <w:shd w:val="clear" w:color="auto" w:fill="FDE9D9" w:themeFill="accent6" w:themeFillTint="33"/>
          </w:tcPr>
          <w:p w:rsidR="008A5619" w:rsidRPr="00100AF5" w:rsidRDefault="008A5619" w:rsidP="00221FC3">
            <w:pPr>
              <w:spacing w:after="120"/>
              <w:rPr>
                <w:rFonts w:ascii="Palatino Linotype" w:hAnsi="Palatino Linotype"/>
                <w:b/>
                <w:bCs/>
                <w:sz w:val="20"/>
              </w:rPr>
            </w:pPr>
            <w:r w:rsidRPr="00100AF5">
              <w:rPr>
                <w:rFonts w:ascii="Palatino Linotype" w:hAnsi="Palatino Linotype"/>
                <w:b/>
                <w:bCs/>
                <w:sz w:val="20"/>
              </w:rPr>
              <w:lastRenderedPageBreak/>
              <w:t>Coherence</w:t>
            </w:r>
          </w:p>
        </w:tc>
        <w:tc>
          <w:tcPr>
            <w:tcW w:w="6964" w:type="dxa"/>
            <w:shd w:val="clear" w:color="auto" w:fill="FDE9D9" w:themeFill="accent6" w:themeFillTint="33"/>
          </w:tcPr>
          <w:p w:rsidR="008A5619" w:rsidRPr="00100AF5" w:rsidRDefault="008A5619" w:rsidP="009C57AB">
            <w:pPr>
              <w:ind w:left="376" w:hanging="180"/>
              <w:rPr>
                <w:rFonts w:ascii="Palatino Linotype" w:hAnsi="Palatino Linotype"/>
                <w:sz w:val="20"/>
              </w:rPr>
            </w:pPr>
            <w:r w:rsidRPr="00100AF5">
              <w:rPr>
                <w:iCs/>
              </w:rPr>
              <w:t xml:space="preserve">.  </w:t>
            </w:r>
            <w:r w:rsidR="009C57AB">
              <w:rPr>
                <w:rFonts w:ascii="Palatino Linotype" w:hAnsi="Palatino Linotype"/>
                <w:sz w:val="20"/>
                <w:szCs w:val="22"/>
              </w:rPr>
              <w:t xml:space="preserve">Did </w:t>
            </w:r>
            <w:r w:rsidRPr="00100AF5">
              <w:rPr>
                <w:rFonts w:ascii="Palatino Linotype" w:hAnsi="Palatino Linotype"/>
                <w:sz w:val="20"/>
                <w:szCs w:val="22"/>
              </w:rPr>
              <w:t xml:space="preserve">activities under the </w:t>
            </w:r>
            <w:r w:rsidRPr="00100AF5">
              <w:rPr>
                <w:rFonts w:ascii="Palatino Linotype" w:hAnsi="Palatino Linotype"/>
                <w:sz w:val="20"/>
                <w:szCs w:val="20"/>
              </w:rPr>
              <w:t>project</w:t>
            </w:r>
            <w:r w:rsidRPr="00100AF5">
              <w:rPr>
                <w:rFonts w:ascii="Palatino Linotype" w:hAnsi="Palatino Linotype"/>
                <w:iCs/>
                <w:sz w:val="20"/>
                <w:szCs w:val="20"/>
              </w:rPr>
              <w:t xml:space="preserve"> allow UNDP to achieve its development policy objectives without internal contradiction or without contradiction with other donors’</w:t>
            </w:r>
            <w:r w:rsidR="009D0B4E">
              <w:rPr>
                <w:rFonts w:ascii="Palatino Linotype" w:hAnsi="Palatino Linotype"/>
                <w:iCs/>
                <w:sz w:val="20"/>
                <w:szCs w:val="20"/>
              </w:rPr>
              <w:t xml:space="preserve"> </w:t>
            </w:r>
            <w:r w:rsidRPr="00100AF5">
              <w:rPr>
                <w:rFonts w:ascii="Palatino Linotype" w:hAnsi="Palatino Linotype"/>
                <w:iCs/>
                <w:sz w:val="20"/>
                <w:szCs w:val="20"/>
              </w:rPr>
              <w:t xml:space="preserve">policies? </w:t>
            </w:r>
          </w:p>
        </w:tc>
      </w:tr>
    </w:tbl>
    <w:p w:rsidR="005B40CC" w:rsidRPr="00100AF5" w:rsidRDefault="005B40CC" w:rsidP="00CD7605">
      <w:pPr>
        <w:pStyle w:val="Heading1"/>
      </w:pPr>
      <w:bookmarkStart w:id="40" w:name="_Toc273263631"/>
      <w:bookmarkStart w:id="41" w:name="_Toc276461242"/>
      <w:r w:rsidRPr="00100AF5">
        <w:t>Approach and methodology</w:t>
      </w:r>
      <w:bookmarkEnd w:id="40"/>
      <w:bookmarkEnd w:id="41"/>
    </w:p>
    <w:p w:rsidR="009A1DA1" w:rsidRPr="00100AF5" w:rsidRDefault="009A1DA1" w:rsidP="009A1DA1">
      <w:r w:rsidRPr="00100AF5">
        <w:t xml:space="preserve">In light of the next UNDP intervention in the governance sector, the present evaluation has a particular focus on </w:t>
      </w:r>
      <w:r w:rsidR="009D0B4E">
        <w:t xml:space="preserve">impact, sustainability and </w:t>
      </w:r>
      <w:r w:rsidRPr="00100AF5">
        <w:t>lessons learnt, serving the main purpose of contributing to provide a baseline appraisal for its inception.</w:t>
      </w:r>
    </w:p>
    <w:p w:rsidR="009A1DA1" w:rsidRPr="00100AF5" w:rsidRDefault="009A1DA1" w:rsidP="009A1DA1">
      <w:r w:rsidRPr="00100AF5">
        <w:t xml:space="preserve">This is in agreement with the UNDP Office, as well as with the </w:t>
      </w:r>
      <w:proofErr w:type="spellStart"/>
      <w:r w:rsidRPr="00100AF5">
        <w:t>GoJ</w:t>
      </w:r>
      <w:proofErr w:type="spellEnd"/>
      <w:r w:rsidRPr="00100AF5">
        <w:t xml:space="preserve"> and in line with the overarching goal of the </w:t>
      </w:r>
      <w:proofErr w:type="spellStart"/>
      <w:r w:rsidRPr="00100AF5">
        <w:t>GoJ</w:t>
      </w:r>
      <w:proofErr w:type="spellEnd"/>
      <w:r w:rsidRPr="00100AF5">
        <w:t xml:space="preserve"> in addressing public sector issues.</w:t>
      </w:r>
    </w:p>
    <w:p w:rsidR="00F9280F" w:rsidRPr="00100AF5" w:rsidRDefault="00F9280F" w:rsidP="00430043">
      <w:pPr>
        <w:pStyle w:val="Heading2"/>
      </w:pPr>
      <w:bookmarkStart w:id="42" w:name="_Toc273263632"/>
      <w:bookmarkStart w:id="43" w:name="_Toc276461243"/>
      <w:r w:rsidRPr="00100AF5">
        <w:t>Approach, Structure and Reporting</w:t>
      </w:r>
      <w:bookmarkEnd w:id="42"/>
      <w:bookmarkEnd w:id="43"/>
      <w:r w:rsidRPr="00100AF5">
        <w:t xml:space="preserve"> </w:t>
      </w:r>
    </w:p>
    <w:p w:rsidR="00A17181" w:rsidRPr="00100AF5" w:rsidRDefault="009D0B4E" w:rsidP="00A17181">
      <w:r>
        <w:t>T</w:t>
      </w:r>
      <w:r w:rsidR="00A17181" w:rsidRPr="00100AF5">
        <w:t xml:space="preserve">he Consultant worked closely with UNDP and the </w:t>
      </w:r>
      <w:proofErr w:type="spellStart"/>
      <w:r w:rsidR="00A17181" w:rsidRPr="00100AF5">
        <w:t>MoPSD</w:t>
      </w:r>
      <w:proofErr w:type="spellEnd"/>
      <w:r w:rsidR="00A17181" w:rsidRPr="00100AF5">
        <w:t xml:space="preserve"> staff at all stages of this evaluation exercise, in order to ensure that the mission would be participatory and inclusive by engaging all the stakeholders through participatory evaluation approaches. The evaluation was carried out by an independent consultant. The consultant reported on all stages of the study to the appointed representatives from the </w:t>
      </w:r>
      <w:proofErr w:type="spellStart"/>
      <w:r w:rsidR="00A17181" w:rsidRPr="00100AF5">
        <w:t>MoPSD</w:t>
      </w:r>
      <w:proofErr w:type="spellEnd"/>
      <w:r w:rsidR="00A17181" w:rsidRPr="00100AF5">
        <w:t xml:space="preserve"> and the designated UNDP representatives.</w:t>
      </w:r>
    </w:p>
    <w:p w:rsidR="00F9280F" w:rsidRPr="00100AF5" w:rsidRDefault="00F9280F" w:rsidP="00600778">
      <w:pPr>
        <w:pStyle w:val="Heading2"/>
      </w:pPr>
      <w:bookmarkStart w:id="44" w:name="_Toc273263633"/>
      <w:bookmarkStart w:id="45" w:name="_Toc276461244"/>
      <w:r w:rsidRPr="00100AF5">
        <w:t>Methodology</w:t>
      </w:r>
      <w:bookmarkEnd w:id="44"/>
      <w:bookmarkEnd w:id="45"/>
      <w:r w:rsidRPr="00100AF5">
        <w:t xml:space="preserve"> </w:t>
      </w:r>
    </w:p>
    <w:p w:rsidR="00F9280F" w:rsidRPr="00100AF5" w:rsidRDefault="00F9280F" w:rsidP="00430043">
      <w:r w:rsidRPr="00100AF5">
        <w:t>The evaluation exercise was done following the five evaluation criteria of Relevance, Effectiveness, Efficiency, Sustainability and Impact</w:t>
      </w:r>
      <w:r w:rsidR="009D0B4E">
        <w:t xml:space="preserve">, to which further criteria defined by the UNDP and the consultant </w:t>
      </w:r>
      <w:r w:rsidR="009D0B4E" w:rsidRPr="009D0B4E">
        <w:t>were added</w:t>
      </w:r>
      <w:r w:rsidRPr="009D0B4E">
        <w:t>.</w:t>
      </w:r>
      <w:r w:rsidRPr="00100AF5">
        <w:t xml:space="preserve"> The consultant used participatory methodologies and appreciative inq</w:t>
      </w:r>
      <w:r w:rsidR="009D0B4E">
        <w:t>uiry in evaluating the Project</w:t>
      </w:r>
      <w:r w:rsidRPr="00100AF5">
        <w:t>. This included regular</w:t>
      </w:r>
      <w:r w:rsidR="009D0B4E">
        <w:t xml:space="preserve"> consultation with the Project staff </w:t>
      </w:r>
      <w:r w:rsidRPr="00100AF5">
        <w:t xml:space="preserve">and UNDP. </w:t>
      </w:r>
    </w:p>
    <w:p w:rsidR="00F9280F" w:rsidRPr="00100AF5" w:rsidRDefault="00F9280F" w:rsidP="00600778">
      <w:pPr>
        <w:pStyle w:val="Heading3"/>
      </w:pPr>
      <w:bookmarkStart w:id="46" w:name="_Toc273263634"/>
      <w:bookmarkStart w:id="47" w:name="_Toc276461245"/>
      <w:r w:rsidRPr="00100AF5">
        <w:t>Data Collection and Analysis</w:t>
      </w:r>
      <w:bookmarkEnd w:id="46"/>
      <w:bookmarkEnd w:id="47"/>
      <w:r w:rsidRPr="00100AF5">
        <w:t xml:space="preserve"> </w:t>
      </w:r>
    </w:p>
    <w:p w:rsidR="00F9280F" w:rsidRPr="00100AF5" w:rsidRDefault="00EA1F22" w:rsidP="00430043">
      <w:r w:rsidRPr="00100AF5">
        <w:t>Initial data were</w:t>
      </w:r>
      <w:r w:rsidR="00F9280F" w:rsidRPr="00100AF5">
        <w:t xml:space="preserve"> collected by studying and examining reports and documents provided by the UNDP</w:t>
      </w:r>
      <w:r w:rsidRPr="00100AF5">
        <w:t xml:space="preserve">. Additional data were provided by </w:t>
      </w:r>
      <w:proofErr w:type="spellStart"/>
      <w:r w:rsidRPr="00100AF5">
        <w:t>GoJ</w:t>
      </w:r>
      <w:proofErr w:type="spellEnd"/>
      <w:r w:rsidRPr="00100AF5">
        <w:t xml:space="preserve"> </w:t>
      </w:r>
      <w:r w:rsidR="00F9280F" w:rsidRPr="00100AF5">
        <w:t>designated officers</w:t>
      </w:r>
      <w:r w:rsidRPr="00100AF5">
        <w:t xml:space="preserve"> (</w:t>
      </w:r>
      <w:proofErr w:type="spellStart"/>
      <w:r w:rsidRPr="00100AF5">
        <w:t>MoPSD</w:t>
      </w:r>
      <w:proofErr w:type="spellEnd"/>
      <w:r w:rsidRPr="00100AF5">
        <w:t xml:space="preserve">) </w:t>
      </w:r>
      <w:r w:rsidR="00F9280F" w:rsidRPr="00100AF5">
        <w:t xml:space="preserve">as well as other documents sourced from </w:t>
      </w:r>
      <w:proofErr w:type="spellStart"/>
      <w:r w:rsidR="00A84462">
        <w:t>MoPSD</w:t>
      </w:r>
      <w:proofErr w:type="spellEnd"/>
      <w:r w:rsidR="00A84462">
        <w:t xml:space="preserve"> </w:t>
      </w:r>
      <w:r w:rsidR="00F9280F" w:rsidRPr="00100AF5">
        <w:t xml:space="preserve">and </w:t>
      </w:r>
      <w:r w:rsidR="00A84462">
        <w:t xml:space="preserve">other </w:t>
      </w:r>
      <w:r w:rsidR="00F9280F" w:rsidRPr="00100AF5">
        <w:t xml:space="preserve">MDAs. </w:t>
      </w:r>
      <w:r w:rsidRPr="00100AF5">
        <w:t>These were</w:t>
      </w:r>
      <w:r w:rsidR="00F9280F" w:rsidRPr="00100AF5">
        <w:t xml:space="preserve"> collected through various techniques</w:t>
      </w:r>
      <w:r w:rsidRPr="00100AF5">
        <w:t>,</w:t>
      </w:r>
      <w:r w:rsidR="00F9280F" w:rsidRPr="00100AF5">
        <w:t xml:space="preserve"> including key informant intervi</w:t>
      </w:r>
      <w:r w:rsidRPr="00100AF5">
        <w:t xml:space="preserve">ews and retrieving/recovering data from </w:t>
      </w:r>
      <w:proofErr w:type="spellStart"/>
      <w:r w:rsidRPr="00100AF5">
        <w:t>MoPSD</w:t>
      </w:r>
      <w:proofErr w:type="spellEnd"/>
      <w:r w:rsidRPr="00100AF5">
        <w:t xml:space="preserve"> and other stakeholders’ archives.</w:t>
      </w:r>
      <w:r w:rsidR="00F9280F" w:rsidRPr="00100AF5">
        <w:t xml:space="preserve"> </w:t>
      </w:r>
    </w:p>
    <w:p w:rsidR="00600778" w:rsidRPr="00100AF5" w:rsidRDefault="00EA1F22" w:rsidP="00430043">
      <w:r w:rsidRPr="00100AF5">
        <w:t>Data from desk review were</w:t>
      </w:r>
      <w:r w:rsidR="00F9280F" w:rsidRPr="00100AF5">
        <w:t xml:space="preserve"> </w:t>
      </w:r>
      <w:proofErr w:type="spellStart"/>
      <w:r w:rsidR="00F9280F" w:rsidRPr="00100AF5">
        <w:t>analyzed</w:t>
      </w:r>
      <w:proofErr w:type="spellEnd"/>
      <w:r w:rsidR="00F9280F" w:rsidRPr="00100AF5">
        <w:t xml:space="preserve"> and synthesized per theme</w:t>
      </w:r>
      <w:r w:rsidRPr="00100AF5">
        <w:t xml:space="preserve">. </w:t>
      </w:r>
      <w:r w:rsidR="00F9280F" w:rsidRPr="00100AF5">
        <w:t xml:space="preserve">Appropriate analysis levels were employed to get the best interpretation from the data. </w:t>
      </w:r>
    </w:p>
    <w:p w:rsidR="00F9280F" w:rsidRPr="00100AF5" w:rsidRDefault="00F9280F" w:rsidP="00600778">
      <w:pPr>
        <w:pStyle w:val="Heading3"/>
      </w:pPr>
      <w:bookmarkStart w:id="48" w:name="_Toc273263635"/>
      <w:bookmarkStart w:id="49" w:name="_Toc276461246"/>
      <w:r w:rsidRPr="00100AF5">
        <w:t>Case Studies</w:t>
      </w:r>
      <w:bookmarkEnd w:id="48"/>
      <w:bookmarkEnd w:id="49"/>
      <w:r w:rsidRPr="00100AF5">
        <w:t xml:space="preserve"> </w:t>
      </w:r>
    </w:p>
    <w:p w:rsidR="00600778" w:rsidRPr="00100AF5" w:rsidRDefault="009A1DA1" w:rsidP="00430043">
      <w:r w:rsidRPr="00100AF5">
        <w:t>Two</w:t>
      </w:r>
      <w:r w:rsidR="00F9280F" w:rsidRPr="00100AF5">
        <w:t xml:space="preserve"> success stories in the public sector were d</w:t>
      </w:r>
      <w:r w:rsidRPr="00100AF5">
        <w:t>ocumented,</w:t>
      </w:r>
      <w:r w:rsidR="00F9280F" w:rsidRPr="00100AF5">
        <w:t xml:space="preserve"> with particular emphasis on lessons learnt.</w:t>
      </w:r>
    </w:p>
    <w:p w:rsidR="007A5243" w:rsidRPr="00100AF5" w:rsidRDefault="007A5243" w:rsidP="007A5243">
      <w:pPr>
        <w:pStyle w:val="Heading3"/>
      </w:pPr>
      <w:bookmarkStart w:id="50" w:name="_Toc273263637"/>
      <w:bookmarkStart w:id="51" w:name="_Toc276461247"/>
      <w:r w:rsidRPr="00100AF5">
        <w:lastRenderedPageBreak/>
        <w:t>Analysis and Reporting Phase</w:t>
      </w:r>
      <w:bookmarkEnd w:id="50"/>
      <w:bookmarkEnd w:id="51"/>
      <w:r w:rsidRPr="00100AF5">
        <w:t xml:space="preserve"> </w:t>
      </w:r>
    </w:p>
    <w:p w:rsidR="00F9280F" w:rsidRPr="00100AF5" w:rsidRDefault="007A5243" w:rsidP="00430043">
      <w:r w:rsidRPr="00100AF5">
        <w:t xml:space="preserve">This phase entailed interviews and additional meetings with relevant partners at the central level: UNDP Office, </w:t>
      </w:r>
      <w:proofErr w:type="spellStart"/>
      <w:r w:rsidRPr="00100AF5">
        <w:t>MoPSD</w:t>
      </w:r>
      <w:proofErr w:type="spellEnd"/>
      <w:r w:rsidRPr="00100AF5">
        <w:t>, and other stakeholders relevant to the Project.</w:t>
      </w:r>
    </w:p>
    <w:p w:rsidR="00F9280F" w:rsidRPr="00100AF5" w:rsidRDefault="00F9280F" w:rsidP="00600778">
      <w:pPr>
        <w:pStyle w:val="Heading2"/>
      </w:pPr>
      <w:r w:rsidRPr="00100AF5">
        <w:t xml:space="preserve"> </w:t>
      </w:r>
      <w:bookmarkStart w:id="52" w:name="_Toc273263638"/>
      <w:bookmarkStart w:id="53" w:name="_Toc276461248"/>
      <w:r w:rsidRPr="00100AF5">
        <w:t>Basis of Judgement and Interpretation of Findings</w:t>
      </w:r>
      <w:bookmarkEnd w:id="52"/>
      <w:bookmarkEnd w:id="53"/>
      <w:r w:rsidRPr="00100AF5">
        <w:t xml:space="preserve"> </w:t>
      </w:r>
    </w:p>
    <w:p w:rsidR="00F9280F" w:rsidRPr="00100AF5" w:rsidRDefault="00F9280F" w:rsidP="00430043">
      <w:r w:rsidRPr="00100AF5">
        <w:t xml:space="preserve">In this study, the </w:t>
      </w:r>
      <w:r w:rsidR="00D77C02">
        <w:t xml:space="preserve">consultant </w:t>
      </w:r>
      <w:r w:rsidRPr="00100AF5">
        <w:t>has relied on plan documents, various progress and review reports</w:t>
      </w:r>
      <w:r w:rsidR="00D77C02">
        <w:t>,</w:t>
      </w:r>
      <w:r w:rsidRPr="00100AF5">
        <w:t xml:space="preserve"> stakeholder interviews, questionnaires, discussions and meetings for its findings. Whereas candid conclusions have been drawn on issues where consistent data has been generated, there are several cases where respondents gave divergent information and opinions, leaving the consultants to make judgements based on statistical weighting and/or hindsight. </w:t>
      </w:r>
    </w:p>
    <w:p w:rsidR="005B40CC" w:rsidRPr="00100AF5" w:rsidRDefault="005B40CC" w:rsidP="00CD7605">
      <w:pPr>
        <w:pStyle w:val="Heading1"/>
      </w:pPr>
      <w:bookmarkStart w:id="54" w:name="_Toc273263639"/>
      <w:bookmarkStart w:id="55" w:name="_Toc276461249"/>
      <w:r w:rsidRPr="00100AF5">
        <w:t>Findings</w:t>
      </w:r>
      <w:bookmarkEnd w:id="54"/>
      <w:bookmarkEnd w:id="55"/>
    </w:p>
    <w:p w:rsidR="0068189A" w:rsidRPr="00100AF5" w:rsidRDefault="0068189A" w:rsidP="00430043"/>
    <w:p w:rsidR="00D86FBA" w:rsidRPr="00100AF5" w:rsidRDefault="009A1DA1" w:rsidP="00CB4E49">
      <w:r w:rsidRPr="00100AF5">
        <w:t>The evaluation exercise was carried out</w:t>
      </w:r>
      <w:r w:rsidR="00D86FBA" w:rsidRPr="00100AF5">
        <w:t xml:space="preserve"> following the five criteria of Relevance, Effectiveness, Efficiency, Impact and Sustainability. </w:t>
      </w:r>
      <w:r w:rsidR="00793B41" w:rsidRPr="00100AF5">
        <w:t xml:space="preserve"> </w:t>
      </w:r>
      <w:r w:rsidRPr="00100AF5">
        <w:t>Additional criteria</w:t>
      </w:r>
      <w:r w:rsidR="00793B41" w:rsidRPr="00100AF5">
        <w:t xml:space="preserve"> (project management, pro</w:t>
      </w:r>
      <w:r w:rsidR="000332D8" w:rsidRPr="00100AF5">
        <w:t>ject design,</w:t>
      </w:r>
      <w:r w:rsidR="00924C99" w:rsidRPr="00100AF5">
        <w:t xml:space="preserve"> cross-cutting issues</w:t>
      </w:r>
      <w:r w:rsidR="000332D8" w:rsidRPr="00100AF5">
        <w:t xml:space="preserve">) </w:t>
      </w:r>
      <w:r w:rsidR="00793B41" w:rsidRPr="00100AF5">
        <w:t>were added by the UNDP and the consultant, in order to evidence key elements to be taken into consideration in the design of next UNDP interventions.</w:t>
      </w:r>
    </w:p>
    <w:p w:rsidR="00D86FBA" w:rsidRPr="00100AF5" w:rsidRDefault="00AE7F02" w:rsidP="00CB4E49">
      <w:r>
        <w:t>1. Relevance of the Project</w:t>
      </w:r>
      <w:r w:rsidR="00D86FBA" w:rsidRPr="00100AF5">
        <w:t xml:space="preserve"> was assessed in connection with the </w:t>
      </w:r>
      <w:r w:rsidR="00EA1F22" w:rsidRPr="00100AF5">
        <w:t>development policy of the Jordanian</w:t>
      </w:r>
      <w:r w:rsidR="00D86FBA" w:rsidRPr="00100AF5">
        <w:t xml:space="preserve"> government and the needs </w:t>
      </w:r>
      <w:r w:rsidR="00EA1F22" w:rsidRPr="00100AF5">
        <w:t>of the beneficiaries (Jordanian citizens</w:t>
      </w:r>
      <w:r w:rsidR="00D86FBA" w:rsidRPr="00100AF5">
        <w:t xml:space="preserve">). </w:t>
      </w:r>
    </w:p>
    <w:p w:rsidR="00D86FBA" w:rsidRPr="00100AF5" w:rsidRDefault="00D86FBA" w:rsidP="00CB4E49">
      <w:r w:rsidRPr="00100AF5">
        <w:t xml:space="preserve">2. Effectiveness was assessed by </w:t>
      </w:r>
      <w:proofErr w:type="spellStart"/>
      <w:r w:rsidRPr="00100AF5">
        <w:t>analyzing</w:t>
      </w:r>
      <w:proofErr w:type="spellEnd"/>
      <w:r w:rsidRPr="00100AF5">
        <w:t xml:space="preserve"> t</w:t>
      </w:r>
      <w:r w:rsidR="00AE7F02">
        <w:t>he extent to which the Project</w:t>
      </w:r>
      <w:r w:rsidRPr="00100AF5">
        <w:t xml:space="preserve"> objectives have been met. </w:t>
      </w:r>
    </w:p>
    <w:p w:rsidR="00D86FBA" w:rsidRPr="00100AF5" w:rsidRDefault="00AE7F02" w:rsidP="00CB4E49">
      <w:r>
        <w:t>3. Efficiency of Project implementation was analys</w:t>
      </w:r>
      <w:r w:rsidR="00D86FBA" w:rsidRPr="00100AF5">
        <w:t xml:space="preserve">ed focusing on quality, quantity, timing of inputs, overall management of activities </w:t>
      </w:r>
      <w:r>
        <w:t>and the utilization of Project</w:t>
      </w:r>
      <w:r w:rsidR="00D86FBA" w:rsidRPr="00100AF5">
        <w:t xml:space="preserve"> inputs. </w:t>
      </w:r>
    </w:p>
    <w:p w:rsidR="00D86FBA" w:rsidRPr="00100AF5" w:rsidRDefault="00D86FBA" w:rsidP="00CB4E49">
      <w:r w:rsidRPr="00100AF5">
        <w:t xml:space="preserve">4. Impact was identified focusing mainly on the positive and negative </w:t>
      </w:r>
      <w:r w:rsidR="00AE7F02">
        <w:t>direct outcomes of the Project</w:t>
      </w:r>
      <w:r w:rsidRPr="00100AF5">
        <w:t>, and is related to t</w:t>
      </w:r>
      <w:r w:rsidR="00AE7F02">
        <w:t>he overall goal of the Project</w:t>
      </w:r>
      <w:r w:rsidRPr="00100AF5">
        <w:t xml:space="preserve"> rea</w:t>
      </w:r>
      <w:r w:rsidR="00EA1F22" w:rsidRPr="00100AF5">
        <w:t>lized at the time of evaluation.</w:t>
      </w:r>
    </w:p>
    <w:p w:rsidR="00D86FBA" w:rsidRDefault="00D86FBA" w:rsidP="00CB4E49">
      <w:r w:rsidRPr="00100AF5">
        <w:t>5. Sustainability was assessed by look</w:t>
      </w:r>
      <w:r w:rsidR="00AE7F02">
        <w:t>ing at the extent to which the c</w:t>
      </w:r>
      <w:r w:rsidRPr="00100AF5">
        <w:t>ountry can continue to suc</w:t>
      </w:r>
      <w:r w:rsidR="00AE7F02">
        <w:t>cessfully carry on the Project</w:t>
      </w:r>
      <w:r w:rsidRPr="00100AF5">
        <w:t xml:space="preserve"> activities considering financial, institutional and technical aspects. </w:t>
      </w:r>
    </w:p>
    <w:p w:rsidR="00AE7F02" w:rsidRPr="004811E7" w:rsidRDefault="00AE7F02" w:rsidP="00CB4E49">
      <w:r>
        <w:t>6. Coherence was analysed</w:t>
      </w:r>
      <w:r w:rsidR="004811E7" w:rsidRPr="004811E7">
        <w:rPr>
          <w:rFonts w:ascii="Palatino Linotype" w:hAnsi="Palatino Linotype"/>
          <w:sz w:val="20"/>
          <w:szCs w:val="22"/>
        </w:rPr>
        <w:t xml:space="preserve"> </w:t>
      </w:r>
      <w:r w:rsidR="004811E7" w:rsidRPr="004811E7">
        <w:t xml:space="preserve">by </w:t>
      </w:r>
      <w:r w:rsidR="004811E7">
        <w:t xml:space="preserve">examining to what extent </w:t>
      </w:r>
      <w:r w:rsidR="004811E7" w:rsidRPr="004811E7">
        <w:t xml:space="preserve">activities under the </w:t>
      </w:r>
      <w:r w:rsidR="004811E7">
        <w:t>P</w:t>
      </w:r>
      <w:r w:rsidR="004811E7" w:rsidRPr="004811E7">
        <w:t xml:space="preserve">roject </w:t>
      </w:r>
      <w:r w:rsidR="009C57AB" w:rsidRPr="004811E7">
        <w:t>allow</w:t>
      </w:r>
      <w:r w:rsidR="009C57AB">
        <w:t xml:space="preserve">ed </w:t>
      </w:r>
      <w:r w:rsidR="009C57AB" w:rsidRPr="004811E7">
        <w:t>UNDP</w:t>
      </w:r>
      <w:r w:rsidR="004811E7" w:rsidRPr="004811E7">
        <w:t xml:space="preserve"> to achieve its development policy objectives without internal contradiction</w:t>
      </w:r>
      <w:r w:rsidR="004811E7">
        <w:t>,</w:t>
      </w:r>
      <w:r w:rsidR="004811E7" w:rsidRPr="004811E7">
        <w:t xml:space="preserve"> or without contradiction with other donors’ policies</w:t>
      </w:r>
      <w:r w:rsidR="004811E7">
        <w:t>.</w:t>
      </w:r>
    </w:p>
    <w:p w:rsidR="009A46FE" w:rsidRPr="00100AF5" w:rsidRDefault="004811E7" w:rsidP="009A46FE">
      <w:pPr>
        <w:shd w:val="clear" w:color="auto" w:fill="FFFFFF"/>
        <w:tabs>
          <w:tab w:val="left" w:pos="9336"/>
        </w:tabs>
        <w:spacing w:line="274" w:lineRule="exact"/>
        <w:ind w:right="-20"/>
        <w:rPr>
          <w:color w:val="000000"/>
        </w:rPr>
      </w:pPr>
      <w:r>
        <w:t>7</w:t>
      </w:r>
      <w:r w:rsidR="009A1DA1" w:rsidRPr="00100AF5">
        <w:t xml:space="preserve">. </w:t>
      </w:r>
      <w:r w:rsidR="00924C99" w:rsidRPr="00100AF5">
        <w:t>Finally, cross-cutting issues were dealt with by analysing whether there might have been an indirect or direct contribution of the Project to gender and environment matters.</w:t>
      </w:r>
    </w:p>
    <w:p w:rsidR="009A46FE" w:rsidRPr="00100AF5" w:rsidRDefault="009A46FE" w:rsidP="009A46FE">
      <w:pPr>
        <w:shd w:val="clear" w:color="auto" w:fill="FFFFFF"/>
        <w:tabs>
          <w:tab w:val="left" w:pos="9336"/>
        </w:tabs>
        <w:spacing w:line="274" w:lineRule="exact"/>
        <w:ind w:right="-20"/>
        <w:rPr>
          <w:color w:val="000000"/>
        </w:rPr>
      </w:pPr>
    </w:p>
    <w:p w:rsidR="00D971EF" w:rsidRPr="00100AF5" w:rsidRDefault="00D971EF" w:rsidP="00D971EF">
      <w:pPr>
        <w:pStyle w:val="Heading2"/>
        <w:spacing w:before="120" w:after="120"/>
      </w:pPr>
      <w:bookmarkStart w:id="56" w:name="_Toc273263640"/>
      <w:bookmarkStart w:id="57" w:name="_Toc276461250"/>
      <w:r w:rsidRPr="00100AF5">
        <w:t>Project management</w:t>
      </w:r>
      <w:bookmarkEnd w:id="56"/>
      <w:bookmarkEnd w:id="57"/>
    </w:p>
    <w:p w:rsidR="008E4654" w:rsidRPr="00100AF5" w:rsidRDefault="00D971EF" w:rsidP="00520F31">
      <w:pPr>
        <w:pBdr>
          <w:top w:val="single" w:sz="4" w:space="1" w:color="auto"/>
          <w:left w:val="single" w:sz="4" w:space="4" w:color="auto"/>
          <w:bottom w:val="single" w:sz="4" w:space="1" w:color="auto"/>
          <w:right w:val="single" w:sz="4" w:space="4" w:color="auto"/>
        </w:pBdr>
        <w:rPr>
          <w:sz w:val="22"/>
        </w:rPr>
      </w:pPr>
      <w:r w:rsidRPr="00100AF5">
        <w:rPr>
          <w:rFonts w:ascii="Palatino Linotype" w:hAnsi="Palatino Linotype"/>
          <w:sz w:val="20"/>
          <w:szCs w:val="22"/>
        </w:rPr>
        <w:t>Are the Project Management arrangements appropriate at the team level and Steering Committee level?</w:t>
      </w:r>
      <w:bookmarkStart w:id="58" w:name="_Toc272852800"/>
      <w:bookmarkStart w:id="59" w:name="_Toc272852837"/>
      <w:bookmarkStart w:id="60" w:name="_Toc273024557"/>
      <w:bookmarkStart w:id="61" w:name="_Toc273087898"/>
      <w:bookmarkStart w:id="62" w:name="_Toc273095838"/>
      <w:bookmarkStart w:id="63" w:name="_Toc273095909"/>
      <w:bookmarkStart w:id="64" w:name="_Toc273096017"/>
      <w:bookmarkStart w:id="65" w:name="_Toc273188433"/>
      <w:bookmarkStart w:id="66" w:name="_Toc272852811"/>
      <w:bookmarkStart w:id="67" w:name="_Toc272852848"/>
      <w:bookmarkStart w:id="68" w:name="_Toc273024568"/>
      <w:bookmarkStart w:id="69" w:name="_Toc273087909"/>
      <w:bookmarkStart w:id="70" w:name="_Toc273095849"/>
      <w:bookmarkStart w:id="71" w:name="_Toc273095920"/>
      <w:bookmarkStart w:id="72" w:name="_Toc273096028"/>
      <w:bookmarkStart w:id="73" w:name="_Toc27318844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20F31" w:rsidRPr="00100AF5" w:rsidRDefault="007C4033" w:rsidP="007C4033">
      <w:r w:rsidRPr="00100AF5">
        <w:t>Management arrangements are defined in the project document and have been taken as the basis for this chapter.</w:t>
      </w:r>
    </w:p>
    <w:p w:rsidR="009A46FE" w:rsidRPr="00100AF5" w:rsidRDefault="009A46FE" w:rsidP="009A46FE">
      <w:pPr>
        <w:pStyle w:val="Heading3"/>
      </w:pPr>
      <w:bookmarkStart w:id="74" w:name="_Toc273263505"/>
      <w:bookmarkStart w:id="75" w:name="_Toc273263641"/>
      <w:bookmarkStart w:id="76" w:name="_Toc276461251"/>
      <w:r w:rsidRPr="00100AF5">
        <w:lastRenderedPageBreak/>
        <w:t>Steering Committee</w:t>
      </w:r>
      <w:bookmarkEnd w:id="74"/>
      <w:bookmarkEnd w:id="75"/>
      <w:bookmarkEnd w:id="76"/>
    </w:p>
    <w:p w:rsidR="009A46FE" w:rsidRPr="00100AF5" w:rsidRDefault="009A46FE" w:rsidP="009A46FE">
      <w:r w:rsidRPr="00100AF5">
        <w:t xml:space="preserve">The project documents states that </w:t>
      </w:r>
    </w:p>
    <w:p w:rsidR="009A46FE" w:rsidRPr="00100AF5" w:rsidRDefault="009A46FE" w:rsidP="009A46FE">
      <w:pPr>
        <w:rPr>
          <w:i/>
        </w:rPr>
      </w:pPr>
      <w:r w:rsidRPr="00100AF5">
        <w:rPr>
          <w:i/>
        </w:rPr>
        <w:t xml:space="preserve">the project will be managed by the PSRD under the Prime Minister’s Office through the National </w:t>
      </w:r>
      <w:r w:rsidR="00A54384" w:rsidRPr="00100AF5">
        <w:rPr>
          <w:i/>
        </w:rPr>
        <w:t>Execution Modality (NEX).[ ... ]</w:t>
      </w:r>
      <w:r w:rsidRPr="00100AF5">
        <w:rPr>
          <w:i/>
        </w:rPr>
        <w:t xml:space="preserve"> A Steering Committee will be established for the project with the following composition:</w:t>
      </w:r>
    </w:p>
    <w:p w:rsidR="009A46FE" w:rsidRPr="00100AF5" w:rsidRDefault="009A46FE" w:rsidP="009A46FE">
      <w:pPr>
        <w:rPr>
          <w:i/>
        </w:rPr>
      </w:pPr>
    </w:p>
    <w:p w:rsidR="009A46FE" w:rsidRPr="00100AF5" w:rsidRDefault="009A46FE" w:rsidP="00093C36">
      <w:pPr>
        <w:numPr>
          <w:ilvl w:val="0"/>
          <w:numId w:val="7"/>
        </w:numPr>
        <w:tabs>
          <w:tab w:val="left" w:pos="720"/>
        </w:tabs>
        <w:spacing w:before="0"/>
        <w:rPr>
          <w:i/>
        </w:rPr>
      </w:pPr>
      <w:r w:rsidRPr="00100AF5">
        <w:rPr>
          <w:i/>
        </w:rPr>
        <w:t>Executive Director of PSRD, Chairman of the Steering Committee</w:t>
      </w:r>
    </w:p>
    <w:p w:rsidR="009A46FE" w:rsidRPr="00100AF5" w:rsidRDefault="009A46FE" w:rsidP="00093C36">
      <w:pPr>
        <w:numPr>
          <w:ilvl w:val="0"/>
          <w:numId w:val="8"/>
        </w:numPr>
        <w:tabs>
          <w:tab w:val="left" w:pos="720"/>
        </w:tabs>
        <w:spacing w:before="0"/>
        <w:rPr>
          <w:i/>
        </w:rPr>
      </w:pPr>
      <w:r w:rsidRPr="00100AF5">
        <w:rPr>
          <w:i/>
        </w:rPr>
        <w:t>Ministry of Planning and International Cooperation (MOPIC)</w:t>
      </w:r>
    </w:p>
    <w:p w:rsidR="009A46FE" w:rsidRPr="00100AF5" w:rsidRDefault="009A46FE" w:rsidP="00093C36">
      <w:pPr>
        <w:numPr>
          <w:ilvl w:val="0"/>
          <w:numId w:val="9"/>
        </w:numPr>
        <w:tabs>
          <w:tab w:val="left" w:pos="720"/>
        </w:tabs>
        <w:spacing w:before="0"/>
        <w:rPr>
          <w:i/>
        </w:rPr>
      </w:pPr>
      <w:r w:rsidRPr="00100AF5">
        <w:rPr>
          <w:i/>
        </w:rPr>
        <w:t>United Nations Development Programme (UNDP)</w:t>
      </w:r>
    </w:p>
    <w:p w:rsidR="009A46FE" w:rsidRPr="00100AF5" w:rsidRDefault="009A46FE" w:rsidP="00093C36">
      <w:pPr>
        <w:numPr>
          <w:ilvl w:val="0"/>
          <w:numId w:val="10"/>
        </w:numPr>
        <w:tabs>
          <w:tab w:val="left" w:pos="720"/>
        </w:tabs>
        <w:spacing w:before="0"/>
        <w:rPr>
          <w:i/>
        </w:rPr>
      </w:pPr>
      <w:r w:rsidRPr="00100AF5">
        <w:rPr>
          <w:i/>
        </w:rPr>
        <w:t>Executive Director of GPD</w:t>
      </w:r>
    </w:p>
    <w:p w:rsidR="009A46FE" w:rsidRPr="00100AF5" w:rsidRDefault="009A46FE" w:rsidP="00093C36">
      <w:pPr>
        <w:numPr>
          <w:ilvl w:val="0"/>
          <w:numId w:val="11"/>
        </w:numPr>
        <w:tabs>
          <w:tab w:val="left" w:pos="720"/>
        </w:tabs>
        <w:spacing w:before="0"/>
        <w:rPr>
          <w:i/>
        </w:rPr>
      </w:pPr>
      <w:r w:rsidRPr="00100AF5">
        <w:rPr>
          <w:i/>
        </w:rPr>
        <w:t>Project Coordinator / PSRD</w:t>
      </w:r>
    </w:p>
    <w:p w:rsidR="009A46FE" w:rsidRPr="00100AF5" w:rsidRDefault="009A46FE" w:rsidP="009A46FE">
      <w:pPr>
        <w:tabs>
          <w:tab w:val="left" w:pos="720"/>
        </w:tabs>
        <w:spacing w:before="0"/>
        <w:ind w:left="360"/>
        <w:rPr>
          <w:i/>
        </w:rPr>
      </w:pPr>
      <w:r w:rsidRPr="00100AF5">
        <w:rPr>
          <w:i/>
        </w:rPr>
        <w:t>The Steering Committee will meet quarterly to review Project progress and to update work-plans as required.</w:t>
      </w:r>
      <w:r w:rsidRPr="00100AF5">
        <w:rPr>
          <w:rStyle w:val="FootnoteReference"/>
          <w:i/>
        </w:rPr>
        <w:footnoteReference w:id="16"/>
      </w:r>
    </w:p>
    <w:p w:rsidR="00604B5F" w:rsidRPr="00100AF5" w:rsidRDefault="009A46FE" w:rsidP="00430043">
      <w:r w:rsidRPr="00100AF5">
        <w:t xml:space="preserve">It is not clear what the role of the SC has been in the first years of the Project, due to unavailability of </w:t>
      </w:r>
      <w:r w:rsidR="00604B5F" w:rsidRPr="00100AF5">
        <w:t xml:space="preserve">most </w:t>
      </w:r>
      <w:r w:rsidRPr="00100AF5">
        <w:t>minutes</w:t>
      </w:r>
      <w:r w:rsidR="00604B5F" w:rsidRPr="00100AF5">
        <w:t xml:space="preserve"> – if even prepared - </w:t>
      </w:r>
      <w:r w:rsidR="00A54384" w:rsidRPr="00100AF5">
        <w:t>a</w:t>
      </w:r>
      <w:r w:rsidRPr="00100AF5">
        <w:t xml:space="preserve">nd </w:t>
      </w:r>
      <w:r w:rsidR="000332D8" w:rsidRPr="00100AF5">
        <w:t xml:space="preserve">high </w:t>
      </w:r>
      <w:r w:rsidRPr="00100AF5">
        <w:t xml:space="preserve">turnover of relevant staff, including UNDP staff and Secretaries General. </w:t>
      </w:r>
      <w:r w:rsidR="00051DF6" w:rsidRPr="00100AF5">
        <w:t>The project has been factually dormant in years 2006 and 2007 and no SC was held in that period.</w:t>
      </w:r>
      <w:r w:rsidR="000332D8" w:rsidRPr="00100AF5">
        <w:t xml:space="preserve"> There were reportedly three</w:t>
      </w:r>
      <w:r w:rsidR="00051DF6" w:rsidRPr="00100AF5">
        <w:t xml:space="preserve"> -</w:t>
      </w:r>
      <w:r w:rsidR="000332D8" w:rsidRPr="00100AF5">
        <w:t xml:space="preserve"> four</w:t>
      </w:r>
      <w:r w:rsidR="00051DF6" w:rsidRPr="00100AF5">
        <w:t xml:space="preserve"> SC meetings in 2009 and one in 2010.</w:t>
      </w:r>
      <w:r w:rsidR="009C57AB">
        <w:t xml:space="preserve"> </w:t>
      </w:r>
      <w:r w:rsidRPr="00100AF5">
        <w:t xml:space="preserve">One of the current </w:t>
      </w:r>
      <w:proofErr w:type="spellStart"/>
      <w:r w:rsidRPr="00100AF5">
        <w:t>MoPSD</w:t>
      </w:r>
      <w:proofErr w:type="spellEnd"/>
      <w:r w:rsidRPr="00100AF5">
        <w:t xml:space="preserve"> Directors has been present at one of those meetings in 2009 and reported that the meeting was correctly carried out, assessing past developments, new orientations and recommendations on future actions. It seems that participants of SC changed all the time; this hindered a correct monitoring and assessment of Project implementation.</w:t>
      </w:r>
      <w:r w:rsidR="00051DF6" w:rsidRPr="00100AF5">
        <w:t xml:space="preserve"> </w:t>
      </w:r>
    </w:p>
    <w:p w:rsidR="00604B5F" w:rsidRPr="00100AF5" w:rsidRDefault="00604B5F" w:rsidP="00430043">
      <w:r w:rsidRPr="00100AF5">
        <w:t>The consultant found  minutes of what was probably the 1</w:t>
      </w:r>
      <w:r w:rsidRPr="00100AF5">
        <w:rPr>
          <w:vertAlign w:val="superscript"/>
        </w:rPr>
        <w:t>st</w:t>
      </w:r>
      <w:r w:rsidRPr="00100AF5">
        <w:t xml:space="preserve"> SC meeting, held on 6</w:t>
      </w:r>
      <w:r w:rsidRPr="00100AF5">
        <w:rPr>
          <w:vertAlign w:val="superscript"/>
        </w:rPr>
        <w:t>th</w:t>
      </w:r>
      <w:r w:rsidRPr="00100AF5">
        <w:t xml:space="preserve"> November 2005, and of a SC meeting held on 2</w:t>
      </w:r>
      <w:r w:rsidRPr="00100AF5">
        <w:rPr>
          <w:vertAlign w:val="superscript"/>
        </w:rPr>
        <w:t>nd</w:t>
      </w:r>
      <w:r w:rsidRPr="00100AF5">
        <w:t xml:space="preserve"> January 2006 ‘in order to re-activate the project as soon as possible’. It seems that its recommendations were never implemented.</w:t>
      </w:r>
    </w:p>
    <w:p w:rsidR="007C4033" w:rsidRPr="00100AF5" w:rsidRDefault="007C4033" w:rsidP="00430043">
      <w:r w:rsidRPr="00100AF5">
        <w:t>As to participants, one might wonder why representatives of main MDAs involved in service delivery were not foreseen in the project arrangements. This might have facilitated the work, by creating a shared consensus among key stakeholders.</w:t>
      </w:r>
    </w:p>
    <w:p w:rsidR="00430043" w:rsidRPr="00100AF5" w:rsidRDefault="004944E6" w:rsidP="00430043">
      <w:r w:rsidRPr="00100AF5">
        <w:t>Absence of strategic vision in the composition of the SC, l</w:t>
      </w:r>
      <w:r w:rsidR="00051DF6" w:rsidRPr="00100AF5">
        <w:t>ack of minutes</w:t>
      </w:r>
      <w:r w:rsidRPr="00100AF5">
        <w:t xml:space="preserve"> and</w:t>
      </w:r>
      <w:r w:rsidR="000332D8" w:rsidRPr="00100AF5">
        <w:t xml:space="preserve"> lack of regularity in SC meetings were</w:t>
      </w:r>
      <w:r w:rsidR="00051DF6" w:rsidRPr="00100AF5">
        <w:t xml:space="preserve"> serious shortcoming</w:t>
      </w:r>
      <w:r w:rsidR="00A546F7" w:rsidRPr="00100AF5">
        <w:t>s and</w:t>
      </w:r>
      <w:r w:rsidR="000332D8" w:rsidRPr="00100AF5">
        <w:t xml:space="preserve"> did not favour an appropriate consolidation of lessons learnt</w:t>
      </w:r>
      <w:r w:rsidR="00A546F7" w:rsidRPr="00100AF5">
        <w:t>, nor</w:t>
      </w:r>
      <w:r w:rsidR="000332D8" w:rsidRPr="00100AF5">
        <w:t xml:space="preserve"> allow</w:t>
      </w:r>
      <w:r w:rsidR="00A546F7" w:rsidRPr="00100AF5">
        <w:t>ed for</w:t>
      </w:r>
      <w:r w:rsidR="000332D8" w:rsidRPr="00100AF5">
        <w:t xml:space="preserve"> proper communication and information</w:t>
      </w:r>
      <w:r w:rsidR="00A546F7" w:rsidRPr="00100AF5">
        <w:t xml:space="preserve"> flows</w:t>
      </w:r>
      <w:r w:rsidR="000332D8" w:rsidRPr="00100AF5">
        <w:t xml:space="preserve"> among relevant stakeholders’ staff</w:t>
      </w:r>
      <w:r w:rsidRPr="00100AF5">
        <w:t>.</w:t>
      </w:r>
    </w:p>
    <w:p w:rsidR="000332D8" w:rsidRPr="00100AF5" w:rsidRDefault="000332D8" w:rsidP="000332D8">
      <w:pPr>
        <w:pStyle w:val="Heading3"/>
      </w:pPr>
      <w:bookmarkStart w:id="77" w:name="_Toc273263506"/>
      <w:bookmarkStart w:id="78" w:name="_Toc273263642"/>
      <w:bookmarkStart w:id="79" w:name="_Toc276461252"/>
      <w:r w:rsidRPr="00100AF5">
        <w:t>Reporting arrangements</w:t>
      </w:r>
      <w:bookmarkEnd w:id="77"/>
      <w:bookmarkEnd w:id="78"/>
      <w:bookmarkEnd w:id="79"/>
      <w:r w:rsidRPr="00100AF5">
        <w:t xml:space="preserve"> </w:t>
      </w:r>
    </w:p>
    <w:p w:rsidR="000332D8" w:rsidRPr="00100AF5" w:rsidRDefault="00A546F7" w:rsidP="00430043">
      <w:r w:rsidRPr="00100AF5">
        <w:t>The project document states:</w:t>
      </w:r>
    </w:p>
    <w:p w:rsidR="00A546F7" w:rsidRPr="00100AF5" w:rsidRDefault="00A546F7" w:rsidP="00A546F7">
      <w:pPr>
        <w:rPr>
          <w:i/>
        </w:rPr>
      </w:pPr>
      <w:r w:rsidRPr="00100AF5">
        <w:rPr>
          <w:i/>
        </w:rPr>
        <w:t>The Project Coordinator shall prepare, at least one month prior to each tripartite review meeting</w:t>
      </w:r>
      <w:r w:rsidRPr="00100AF5">
        <w:rPr>
          <w:rStyle w:val="FootnoteReference"/>
          <w:i/>
        </w:rPr>
        <w:footnoteReference w:id="17"/>
      </w:r>
      <w:r w:rsidRPr="00100AF5">
        <w:rPr>
          <w:i/>
        </w:rPr>
        <w:t xml:space="preserve">, an Annual Project Report (APR) that: compares project performance with targets specified in the Project Document and work plans approved at previous tripartite reviews; presents revised work plans for the remaining duration of the Project; and which identifies key </w:t>
      </w:r>
      <w:r w:rsidRPr="00100AF5">
        <w:rPr>
          <w:i/>
        </w:rPr>
        <w:lastRenderedPageBreak/>
        <w:t xml:space="preserve">issues that need to be resolved during the review.  Additional Project review reports may be requested, if necessary, by the UNDP, Government or executing agency.  </w:t>
      </w:r>
    </w:p>
    <w:p w:rsidR="00A546F7" w:rsidRPr="00100AF5" w:rsidRDefault="00A546F7" w:rsidP="00A546F7">
      <w:pPr>
        <w:rPr>
          <w:i/>
        </w:rPr>
      </w:pPr>
      <w:r w:rsidRPr="00100AF5">
        <w:rPr>
          <w:i/>
        </w:rPr>
        <w:t xml:space="preserve">A Terminal Project Report (TPR) will be prepared for consideration at the final tripartite review of the project at least 2 months prior to the final tripartite review to allow initial comments to be provided and incorporated in the report prior to the final tripartite review.  PSRD will finalize the TPR and submit this to the Government and UNDP within one month of the final tripartite review.  </w:t>
      </w:r>
    </w:p>
    <w:p w:rsidR="00D971EF" w:rsidRPr="00100AF5" w:rsidRDefault="00A546F7" w:rsidP="00430043">
      <w:r w:rsidRPr="00100AF5">
        <w:t xml:space="preserve">The consultant had </w:t>
      </w:r>
      <w:r w:rsidR="00B9120C" w:rsidRPr="00100AF5">
        <w:t>not access to project</w:t>
      </w:r>
      <w:r w:rsidR="0008691F" w:rsidRPr="00100AF5">
        <w:t xml:space="preserve"> progress</w:t>
      </w:r>
      <w:r w:rsidR="00B9120C" w:rsidRPr="00100AF5">
        <w:t xml:space="preserve"> reports, not it is clear whether were they prepared at all. The only available </w:t>
      </w:r>
      <w:r w:rsidR="00604B5F" w:rsidRPr="00100AF5">
        <w:t xml:space="preserve">document is a </w:t>
      </w:r>
      <w:r w:rsidR="00B9120C" w:rsidRPr="00100AF5">
        <w:t xml:space="preserve">three pages final report prepared in 2010 by the Project Manager at </w:t>
      </w:r>
      <w:proofErr w:type="spellStart"/>
      <w:r w:rsidR="00B9120C" w:rsidRPr="00100AF5">
        <w:t>MoPSD</w:t>
      </w:r>
      <w:proofErr w:type="spellEnd"/>
      <w:r w:rsidR="00B9120C" w:rsidRPr="00100AF5">
        <w:t xml:space="preserve"> for UNDP, which pr</w:t>
      </w:r>
      <w:r w:rsidR="00604B5F" w:rsidRPr="00100AF5">
        <w:t>esents a very brief description</w:t>
      </w:r>
      <w:r w:rsidR="00B9120C" w:rsidRPr="00100AF5">
        <w:t xml:space="preserve"> of activities carried out throughout years 2006-2010.  </w:t>
      </w:r>
    </w:p>
    <w:p w:rsidR="00604B5F" w:rsidRPr="00100AF5" w:rsidRDefault="00604B5F" w:rsidP="00430043">
      <w:r w:rsidRPr="00100AF5">
        <w:t>As far as other reports prepared under the Project, the Consultant could find:</w:t>
      </w:r>
    </w:p>
    <w:p w:rsidR="00604B5F" w:rsidRPr="00100AF5" w:rsidRDefault="00604B5F" w:rsidP="00093C36">
      <w:pPr>
        <w:pStyle w:val="ListParagraph"/>
        <w:numPr>
          <w:ilvl w:val="0"/>
          <w:numId w:val="11"/>
        </w:numPr>
      </w:pPr>
      <w:r w:rsidRPr="00100AF5">
        <w:t xml:space="preserve">A pre-scoping assessment report prepared in 2009 in order to streamline UNDP support in policy making through an assessment of </w:t>
      </w:r>
      <w:proofErr w:type="spellStart"/>
      <w:r w:rsidRPr="00100AF5">
        <w:t>MoPSD</w:t>
      </w:r>
      <w:proofErr w:type="spellEnd"/>
      <w:r w:rsidRPr="00100AF5">
        <w:t xml:space="preserve"> activities and recommendations for moving forward. The report’s suggestions were however not implemented because </w:t>
      </w:r>
      <w:proofErr w:type="spellStart"/>
      <w:r w:rsidRPr="00100AF5">
        <w:t>MoPSD</w:t>
      </w:r>
      <w:proofErr w:type="spellEnd"/>
      <w:r w:rsidRPr="00100AF5">
        <w:t xml:space="preserve"> directors did not agree with contents and conclusions.</w:t>
      </w:r>
    </w:p>
    <w:p w:rsidR="00604B5F" w:rsidRPr="00100AF5" w:rsidRDefault="00604B5F" w:rsidP="00093C36">
      <w:pPr>
        <w:pStyle w:val="ListParagraph"/>
        <w:numPr>
          <w:ilvl w:val="0"/>
          <w:numId w:val="11"/>
        </w:numPr>
      </w:pPr>
      <w:r w:rsidRPr="00100AF5">
        <w:t xml:space="preserve">A </w:t>
      </w:r>
      <w:r w:rsidR="005B6857" w:rsidRPr="00100AF5">
        <w:t xml:space="preserve">report of a mission held in January 2010 to formulate suggestions on decentralisation issues and streamline service delivery systems in the </w:t>
      </w:r>
      <w:proofErr w:type="spellStart"/>
      <w:r w:rsidR="005B6857" w:rsidRPr="00100AF5">
        <w:t>MoPSD</w:t>
      </w:r>
      <w:proofErr w:type="spellEnd"/>
      <w:r w:rsidR="005B6857" w:rsidRPr="00100AF5">
        <w:t>.</w:t>
      </w:r>
    </w:p>
    <w:p w:rsidR="007C4033" w:rsidRPr="00100AF5" w:rsidRDefault="007C4033" w:rsidP="007C4033">
      <w:r w:rsidRPr="00100AF5">
        <w:t xml:space="preserve">There are </w:t>
      </w:r>
      <w:proofErr w:type="spellStart"/>
      <w:r w:rsidRPr="00100AF5">
        <w:t>workplans</w:t>
      </w:r>
      <w:proofErr w:type="spellEnd"/>
      <w:r w:rsidRPr="00100AF5">
        <w:t xml:space="preserve"> for 2006 and 2007, which were reportedly not implemented.</w:t>
      </w:r>
    </w:p>
    <w:p w:rsidR="00604B5F" w:rsidRPr="00100AF5" w:rsidRDefault="005B6857" w:rsidP="00604B5F">
      <w:r w:rsidRPr="00100AF5">
        <w:t xml:space="preserve">No monitoring missions were foreseen under the project, although </w:t>
      </w:r>
      <w:r w:rsidR="007C4033" w:rsidRPr="00100AF5">
        <w:t>the Consultant found a self-</w:t>
      </w:r>
      <w:r w:rsidRPr="00100AF5">
        <w:t xml:space="preserve">assessment for the period January – October 2008 </w:t>
      </w:r>
      <w:r w:rsidR="007C4033" w:rsidRPr="00100AF5">
        <w:t>what was</w:t>
      </w:r>
      <w:r w:rsidRPr="00100AF5">
        <w:t xml:space="preserve"> probably </w:t>
      </w:r>
      <w:r w:rsidR="007C4033" w:rsidRPr="00100AF5">
        <w:t xml:space="preserve">derived from </w:t>
      </w:r>
      <w:r w:rsidRPr="00100AF5">
        <w:t>a UNDP template.</w:t>
      </w:r>
    </w:p>
    <w:p w:rsidR="00154E39" w:rsidRPr="00100AF5" w:rsidRDefault="00154E39" w:rsidP="00604B5F">
      <w:r w:rsidRPr="00100AF5">
        <w:t>All these documents were found in folders located in the UNDP Project manager’s office. No other staff could have access to them, nor are they available in electronic format</w:t>
      </w:r>
      <w:r w:rsidR="00954B87" w:rsidRPr="00100AF5">
        <w:t>. The introduction of an electronic folder</w:t>
      </w:r>
      <w:r w:rsidRPr="00100AF5">
        <w:t xml:space="preserve"> might have made files available and easy to be consulted</w:t>
      </w:r>
      <w:r w:rsidR="00954B87" w:rsidRPr="00100AF5">
        <w:t xml:space="preserve">, provided that </w:t>
      </w:r>
      <w:proofErr w:type="spellStart"/>
      <w:r w:rsidR="00954B87" w:rsidRPr="00100AF5">
        <w:t>MoPSD</w:t>
      </w:r>
      <w:proofErr w:type="spellEnd"/>
      <w:r w:rsidR="00954B87" w:rsidRPr="00100AF5">
        <w:t xml:space="preserve"> was properly equipped</w:t>
      </w:r>
      <w:r w:rsidR="00954B87" w:rsidRPr="00100AF5">
        <w:rPr>
          <w:rStyle w:val="FootnoteReference"/>
        </w:rPr>
        <w:footnoteReference w:id="18"/>
      </w:r>
      <w:r w:rsidRPr="00100AF5">
        <w:t>.</w:t>
      </w:r>
    </w:p>
    <w:p w:rsidR="005B6857" w:rsidRPr="00100AF5" w:rsidRDefault="005B6857" w:rsidP="00604B5F">
      <w:r w:rsidRPr="00100AF5">
        <w:t>It seems that the above reports were not disseminated and provided to rele</w:t>
      </w:r>
      <w:r w:rsidR="00180183" w:rsidRPr="00100AF5">
        <w:t>vant staf</w:t>
      </w:r>
      <w:r w:rsidR="0071260B" w:rsidRPr="00100AF5">
        <w:t xml:space="preserve">f of the </w:t>
      </w:r>
      <w:proofErr w:type="spellStart"/>
      <w:r w:rsidR="0071260B" w:rsidRPr="00100AF5">
        <w:t>MoPSD</w:t>
      </w:r>
      <w:proofErr w:type="spellEnd"/>
      <w:r w:rsidR="0071260B" w:rsidRPr="00100AF5">
        <w:t xml:space="preserve">. This is </w:t>
      </w:r>
      <w:r w:rsidRPr="00100AF5">
        <w:t>in contrast with the principles of openness and transparency, as well with best practices in general and project management requirements.</w:t>
      </w:r>
    </w:p>
    <w:p w:rsidR="005B6857" w:rsidRPr="00100AF5" w:rsidRDefault="00154E39" w:rsidP="005B6857">
      <w:pPr>
        <w:pStyle w:val="Heading3"/>
      </w:pPr>
      <w:bookmarkStart w:id="80" w:name="_Toc273263507"/>
      <w:bookmarkStart w:id="81" w:name="_Toc273263643"/>
      <w:bookmarkStart w:id="82" w:name="_Toc276461253"/>
      <w:r w:rsidRPr="00100AF5">
        <w:t>Conclusion</w:t>
      </w:r>
      <w:bookmarkEnd w:id="80"/>
      <w:bookmarkEnd w:id="81"/>
      <w:bookmarkEnd w:id="82"/>
    </w:p>
    <w:p w:rsidR="005B6857" w:rsidRPr="00100AF5" w:rsidRDefault="00154E39" w:rsidP="005B6857">
      <w:r w:rsidRPr="00100AF5">
        <w:t xml:space="preserve">All in all, management and reporting indications set out in the project documents were not appropriately implemented. </w:t>
      </w:r>
      <w:r w:rsidR="004944E6" w:rsidRPr="00100AF5">
        <w:t>Absence of key stakeholders in the SC, l</w:t>
      </w:r>
      <w:r w:rsidRPr="00100AF5">
        <w:t>ack of regularity in SC meetings, deficiencies in reporting, lack of adequate communication mechanisms with relevant and involved staff, absence of a shared and appropriate filing system brought about insufficient information about the Project among relevant stakeholders and did not allow for adequate implementation, revision and monitoring of its activities.</w:t>
      </w:r>
    </w:p>
    <w:p w:rsidR="004944E6" w:rsidRPr="00100AF5" w:rsidRDefault="004944E6" w:rsidP="005B6857"/>
    <w:p w:rsidR="00694CCD" w:rsidRPr="00100AF5" w:rsidRDefault="00694CCD" w:rsidP="0068189A">
      <w:pPr>
        <w:pStyle w:val="Heading2"/>
        <w:spacing w:before="120"/>
      </w:pPr>
      <w:bookmarkStart w:id="83" w:name="_Toc273263508"/>
      <w:bookmarkStart w:id="84" w:name="_Toc273263644"/>
      <w:bookmarkStart w:id="85" w:name="_Toc276461254"/>
      <w:r w:rsidRPr="00100AF5">
        <w:lastRenderedPageBreak/>
        <w:t>Project design</w:t>
      </w:r>
      <w:bookmarkEnd w:id="83"/>
      <w:bookmarkEnd w:id="84"/>
      <w:bookmarkEnd w:id="85"/>
    </w:p>
    <w:p w:rsidR="00480687" w:rsidRPr="00100AF5" w:rsidRDefault="00480687" w:rsidP="00154E39">
      <w:pPr>
        <w:pStyle w:val="Heading3"/>
      </w:pPr>
      <w:bookmarkStart w:id="86" w:name="_Toc273263509"/>
      <w:bookmarkStart w:id="87" w:name="_Toc273263645"/>
      <w:bookmarkStart w:id="88" w:name="_Toc276461255"/>
      <w:r w:rsidRPr="00100AF5">
        <w:t>Design of the Project vis-à-vis its goals</w:t>
      </w:r>
      <w:bookmarkEnd w:id="86"/>
      <w:bookmarkEnd w:id="87"/>
      <w:bookmarkEnd w:id="88"/>
    </w:p>
    <w:p w:rsidR="00D971EF" w:rsidRPr="00100AF5" w:rsidRDefault="00D971EF" w:rsidP="002030FE">
      <w:pPr>
        <w:pBdr>
          <w:top w:val="single" w:sz="4" w:space="1" w:color="auto"/>
          <w:left w:val="single" w:sz="4" w:space="4" w:color="auto"/>
          <w:bottom w:val="single" w:sz="4" w:space="1" w:color="auto"/>
          <w:right w:val="single" w:sz="4" w:space="4" w:color="auto"/>
        </w:pBdr>
      </w:pPr>
      <w:r w:rsidRPr="00100AF5">
        <w:t>To what extent did the design of the project help in achieving its own goals?</w:t>
      </w:r>
    </w:p>
    <w:p w:rsidR="00623A52" w:rsidRPr="00100AF5" w:rsidRDefault="00623A52" w:rsidP="00623A52">
      <w:pPr>
        <w:rPr>
          <w:i/>
        </w:rPr>
      </w:pPr>
      <w:r w:rsidRPr="00100AF5">
        <w:t xml:space="preserve">The Project was designed in a time where the public sector reform was becoming again one of the </w:t>
      </w:r>
      <w:proofErr w:type="spellStart"/>
      <w:r w:rsidRPr="00100AF5">
        <w:t>GoJ</w:t>
      </w:r>
      <w:proofErr w:type="spellEnd"/>
      <w:r w:rsidRPr="00100AF5">
        <w:t xml:space="preserve"> priorities. The main intended objective of the technical assistance outlined under the Project, according to the original project document, was </w:t>
      </w:r>
      <w:r w:rsidRPr="00100AF5">
        <w:rPr>
          <w:i/>
        </w:rPr>
        <w:t>to build the capacity of the PSRD to support implementation of the SDIS in 14 institutions</w:t>
      </w:r>
      <w:r w:rsidRPr="00100AF5">
        <w:rPr>
          <w:rStyle w:val="FootnoteReference"/>
          <w:i/>
        </w:rPr>
        <w:footnoteReference w:id="19"/>
      </w:r>
      <w:r w:rsidRPr="00100AF5">
        <w:rPr>
          <w:i/>
        </w:rPr>
        <w:t>.</w:t>
      </w:r>
    </w:p>
    <w:p w:rsidR="00C67DBD" w:rsidRPr="00100AF5" w:rsidRDefault="00C67DBD" w:rsidP="009C57AB">
      <w:pPr>
        <w:spacing w:after="120"/>
      </w:pPr>
      <w:r w:rsidRPr="00100AF5">
        <w:t>The original project document mentions four key results/expected outcomes, called outputs:</w:t>
      </w:r>
    </w:p>
    <w:p w:rsidR="00C67DBD" w:rsidRPr="00100AF5" w:rsidRDefault="00C67DBD" w:rsidP="009D0B4E">
      <w:pPr>
        <w:numPr>
          <w:ilvl w:val="0"/>
          <w:numId w:val="30"/>
        </w:numPr>
        <w:tabs>
          <w:tab w:val="left" w:pos="732"/>
        </w:tabs>
        <w:spacing w:before="0"/>
        <w:rPr>
          <w:i/>
        </w:rPr>
      </w:pPr>
      <w:r w:rsidRPr="00100AF5">
        <w:rPr>
          <w:i/>
        </w:rPr>
        <w:t>Strengthened Project Coordination Unit to coordinate all project activities and to ensure that timelines are met,</w:t>
      </w:r>
    </w:p>
    <w:p w:rsidR="00C67DBD" w:rsidRPr="00100AF5" w:rsidRDefault="00C67DBD" w:rsidP="009D0B4E">
      <w:pPr>
        <w:numPr>
          <w:ilvl w:val="0"/>
          <w:numId w:val="30"/>
        </w:numPr>
        <w:tabs>
          <w:tab w:val="left" w:pos="732"/>
        </w:tabs>
        <w:spacing w:before="0"/>
        <w:rPr>
          <w:i/>
        </w:rPr>
      </w:pPr>
      <w:r w:rsidRPr="00100AF5">
        <w:rPr>
          <w:i/>
        </w:rPr>
        <w:t>Capacities of PSRD strengthened to deliver the Service Delivery Improvement System;</w:t>
      </w:r>
    </w:p>
    <w:p w:rsidR="00C67DBD" w:rsidRPr="00100AF5" w:rsidRDefault="00C67DBD" w:rsidP="009D0B4E">
      <w:pPr>
        <w:numPr>
          <w:ilvl w:val="0"/>
          <w:numId w:val="30"/>
        </w:numPr>
        <w:tabs>
          <w:tab w:val="left" w:pos="732"/>
        </w:tabs>
        <w:spacing w:before="0"/>
        <w:rPr>
          <w:i/>
        </w:rPr>
      </w:pPr>
      <w:r w:rsidRPr="00100AF5">
        <w:rPr>
          <w:i/>
        </w:rPr>
        <w:t xml:space="preserve"> Strategy and plan for a unified monitoring and evaluation system [linking the policy level and the operational level performance measurement systems] developed, and</w:t>
      </w:r>
    </w:p>
    <w:p w:rsidR="00C67DBD" w:rsidRPr="00100AF5" w:rsidRDefault="00C67DBD" w:rsidP="009D0B4E">
      <w:pPr>
        <w:numPr>
          <w:ilvl w:val="0"/>
          <w:numId w:val="30"/>
        </w:numPr>
        <w:tabs>
          <w:tab w:val="left" w:pos="732"/>
        </w:tabs>
        <w:spacing w:before="0"/>
        <w:ind w:left="720" w:hanging="360"/>
        <w:rPr>
          <w:i/>
        </w:rPr>
      </w:pPr>
      <w:r w:rsidRPr="00100AF5">
        <w:rPr>
          <w:i/>
        </w:rPr>
        <w:t>National Strategy and plan for implementation of SDIS (service delivery improvement system) system government-wide developed and for institutional capacity building needs to support SDIS</w:t>
      </w:r>
      <w:r w:rsidRPr="00100AF5">
        <w:rPr>
          <w:rStyle w:val="FootnoteReference"/>
          <w:i/>
        </w:rPr>
        <w:footnoteReference w:id="20"/>
      </w:r>
      <w:r w:rsidRPr="00100AF5">
        <w:rPr>
          <w:i/>
        </w:rPr>
        <w:t>.</w:t>
      </w:r>
    </w:p>
    <w:p w:rsidR="00C67DBD" w:rsidRPr="00100AF5" w:rsidRDefault="00C67DBD" w:rsidP="00C67DBD">
      <w:r w:rsidRPr="00100AF5">
        <w:t xml:space="preserve">It seems that there is a sort of discrepancy between the four results and the stated main objective, which focuses on the SD component. Moreover, there is no rationale for the choice of the service delivery component </w:t>
      </w:r>
      <w:r w:rsidR="00623A52">
        <w:t>as main objective of the Project.</w:t>
      </w:r>
      <w:r w:rsidRPr="00100AF5">
        <w:t xml:space="preserve"> At that time, there was an absence of a clear framework on PSR and of a clear definition of roles and responsibilities of both government levels (central bodies, governorates, municipalities?) and institutions (State/local bodies? private agencies?) as regard to nature and type of services to be delivered.</w:t>
      </w:r>
    </w:p>
    <w:p w:rsidR="00C67DBD" w:rsidRPr="00100AF5" w:rsidRDefault="00C67DBD" w:rsidP="00C67DBD">
      <w:r w:rsidRPr="00100AF5">
        <w:t xml:space="preserve">In fact, many Project activities were based on the Service Delivery Improvement Toolkit for Public Sector Reform 2004-2009, a tool developed in 2004 </w:t>
      </w:r>
      <w:r w:rsidR="00D60C95" w:rsidRPr="00100AF5">
        <w:t xml:space="preserve">and adapted </w:t>
      </w:r>
      <w:r w:rsidRPr="00100AF5">
        <w:t>by PSRD with the support of Price Waterhouse</w:t>
      </w:r>
      <w:r w:rsidR="00D60C95" w:rsidRPr="00100AF5">
        <w:t>/W</w:t>
      </w:r>
      <w:r w:rsidR="009C57AB">
        <w:t>orld Bank</w:t>
      </w:r>
      <w:r w:rsidR="004944E6" w:rsidRPr="00100AF5">
        <w:t>.</w:t>
      </w:r>
      <w:r w:rsidR="00D60C95" w:rsidRPr="00100AF5">
        <w:t xml:space="preserve"> </w:t>
      </w:r>
      <w:r w:rsidRPr="00100AF5">
        <w:t xml:space="preserve"> It is to be asked whether such tool should have been developed at a later stage, and whether it would have been more appropriate to undertake at a first stage only some limited awareness measures to </w:t>
      </w:r>
      <w:r w:rsidR="00AD2CBB">
        <w:t>prepare and inform State bodies’</w:t>
      </w:r>
      <w:r w:rsidRPr="00100AF5">
        <w:t xml:space="preserve"> and other relevant stakeholders’ staff  on potential and impact of customer oriented approach in delivering services to citizens. This might have represented a limitation and will be dealt with later in this report.</w:t>
      </w:r>
    </w:p>
    <w:p w:rsidR="00323DD3" w:rsidRPr="00100AF5" w:rsidRDefault="00623A52" w:rsidP="00323DD3">
      <w:r>
        <w:t>D</w:t>
      </w:r>
      <w:r w:rsidR="00323DD3" w:rsidRPr="00100AF5">
        <w:t>uring the implementation the original four components were re</w:t>
      </w:r>
      <w:r w:rsidR="00A54384" w:rsidRPr="00100AF5">
        <w:t>duced to the SDI and capacity building components.</w:t>
      </w:r>
      <w:r w:rsidR="00323DD3" w:rsidRPr="00100AF5">
        <w:t xml:space="preserve"> This delimitation was never formalised, nor justified by a proper situation assessment.</w:t>
      </w:r>
    </w:p>
    <w:p w:rsidR="00154E39" w:rsidRPr="00100AF5" w:rsidRDefault="00B6797D" w:rsidP="00B6797D">
      <w:r w:rsidRPr="00100AF5">
        <w:t xml:space="preserve">In spite of changes in the </w:t>
      </w:r>
      <w:r w:rsidR="0008691F" w:rsidRPr="00100AF5">
        <w:t>scope of the project</w:t>
      </w:r>
      <w:r w:rsidRPr="00100AF5">
        <w:t>, this</w:t>
      </w:r>
      <w:r w:rsidR="0008691F" w:rsidRPr="00100AF5">
        <w:t xml:space="preserve"> was never officially revised, nor was the project document updated</w:t>
      </w:r>
      <w:r w:rsidRPr="00100AF5">
        <w:t>: even the beneficiary –</w:t>
      </w:r>
      <w:r w:rsidR="00AD47F6">
        <w:t xml:space="preserve"> changed </w:t>
      </w:r>
      <w:r w:rsidRPr="00100AF5">
        <w:t xml:space="preserve">from PRSD to </w:t>
      </w:r>
      <w:proofErr w:type="spellStart"/>
      <w:r w:rsidRPr="00100AF5">
        <w:t>MoPSD</w:t>
      </w:r>
      <w:proofErr w:type="spellEnd"/>
      <w:r w:rsidRPr="00100AF5">
        <w:t xml:space="preserve"> – was not changed in the Project document</w:t>
      </w:r>
      <w:r w:rsidR="0008691F" w:rsidRPr="00100AF5">
        <w:t xml:space="preserve">. </w:t>
      </w:r>
      <w:r w:rsidRPr="00100AF5">
        <w:t xml:space="preserve">Such changes, revisions and consequent delimitations of Project scope should have been formally agreed upon, and a set of justification for deviations should have been prepared. The formalisation of changes is a necessary step in project </w:t>
      </w:r>
      <w:r w:rsidRPr="00100AF5">
        <w:lastRenderedPageBreak/>
        <w:t>implementa</w:t>
      </w:r>
      <w:r w:rsidR="003E5ED1">
        <w:t xml:space="preserve">tion and management, providing </w:t>
      </w:r>
      <w:r w:rsidRPr="00100AF5">
        <w:t xml:space="preserve">clearer and shared </w:t>
      </w:r>
      <w:r w:rsidR="00AD47F6">
        <w:t>guideline</w:t>
      </w:r>
      <w:r w:rsidR="003E5ED1">
        <w:t>s</w:t>
      </w:r>
      <w:r w:rsidR="00AD47F6">
        <w:t xml:space="preserve"> </w:t>
      </w:r>
      <w:r w:rsidRPr="00100AF5">
        <w:t>on future priorities and allowing for proper monitoring of both expenditures and results.</w:t>
      </w:r>
    </w:p>
    <w:p w:rsidR="00154E39" w:rsidRPr="00100AF5" w:rsidRDefault="00B6797D" w:rsidP="00B6797D">
      <w:r w:rsidRPr="00100AF5">
        <w:t xml:space="preserve">As a conclusion, the original project design was </w:t>
      </w:r>
      <w:r w:rsidR="007E740B">
        <w:t>probably too broad</w:t>
      </w:r>
      <w:r w:rsidRPr="00100AF5">
        <w:t>.  Next developments in the pace of change and realisation of the public sector reform in Jordan led to the need of changes in the Project implementation</w:t>
      </w:r>
      <w:r w:rsidR="002A61C8" w:rsidRPr="00100AF5">
        <w:t xml:space="preserve"> and to the delimitation of its areas of intervention</w:t>
      </w:r>
      <w:r w:rsidRPr="00100AF5">
        <w:t xml:space="preserve">. This was however never formalised. </w:t>
      </w:r>
      <w:r w:rsidR="002A61C8" w:rsidRPr="00100AF5">
        <w:t>Also, it is to be discussed whether focus on service delivery was appropriate, given the lack of a proper policy, legal and institutional framework at the time of the Project design.</w:t>
      </w:r>
    </w:p>
    <w:p w:rsidR="00480687" w:rsidRPr="00100AF5" w:rsidRDefault="00480687" w:rsidP="00154E39">
      <w:pPr>
        <w:pStyle w:val="Heading3"/>
      </w:pPr>
      <w:bookmarkStart w:id="89" w:name="_Toc273263510"/>
      <w:bookmarkStart w:id="90" w:name="_Toc273263646"/>
      <w:bookmarkStart w:id="91" w:name="_Toc276461256"/>
      <w:r w:rsidRPr="00100AF5">
        <w:t>Analysis</w:t>
      </w:r>
      <w:bookmarkEnd w:id="89"/>
      <w:bookmarkEnd w:id="90"/>
      <w:bookmarkEnd w:id="91"/>
    </w:p>
    <w:p w:rsidR="00D971EF" w:rsidRPr="00100AF5" w:rsidRDefault="00D971EF" w:rsidP="002030FE">
      <w:pPr>
        <w:pBdr>
          <w:top w:val="single" w:sz="4" w:space="1" w:color="auto"/>
          <w:left w:val="single" w:sz="4" w:space="4" w:color="auto"/>
          <w:bottom w:val="single" w:sz="4" w:space="1" w:color="auto"/>
          <w:right w:val="single" w:sz="4" w:space="4" w:color="auto"/>
        </w:pBdr>
      </w:pPr>
      <w:r w:rsidRPr="00100AF5">
        <w:t xml:space="preserve">Were the context, problem, needs and priorities well </w:t>
      </w:r>
      <w:proofErr w:type="spellStart"/>
      <w:r w:rsidRPr="00100AF5">
        <w:t>analyzed</w:t>
      </w:r>
      <w:proofErr w:type="spellEnd"/>
      <w:r w:rsidRPr="00100AF5">
        <w:t xml:space="preserve"> while designing the project?</w:t>
      </w:r>
    </w:p>
    <w:p w:rsidR="00C67DBD" w:rsidRPr="00100AF5" w:rsidRDefault="00C67DBD" w:rsidP="00C67DBD">
      <w:pPr>
        <w:pStyle w:val="Heading3"/>
        <w:rPr>
          <w:color w:val="423212"/>
          <w:lang w:eastAsia="it-IT"/>
        </w:rPr>
      </w:pPr>
      <w:bookmarkStart w:id="92" w:name="_Toc273263511"/>
      <w:bookmarkStart w:id="93" w:name="_Toc273263647"/>
      <w:bookmarkStart w:id="94" w:name="_Toc276461257"/>
      <w:r w:rsidRPr="00100AF5">
        <w:t>Problem Analysis and Project Intervention’s Logic</w:t>
      </w:r>
      <w:bookmarkEnd w:id="92"/>
      <w:bookmarkEnd w:id="93"/>
      <w:bookmarkEnd w:id="94"/>
      <w:r w:rsidRPr="00100AF5">
        <w:t xml:space="preserve"> </w:t>
      </w:r>
    </w:p>
    <w:p w:rsidR="00B25F26" w:rsidRPr="00100AF5" w:rsidRDefault="00C67DBD" w:rsidP="00B25F26">
      <w:pPr>
        <w:pStyle w:val="Heading4"/>
      </w:pPr>
      <w:bookmarkStart w:id="95" w:name="_Toc276461258"/>
      <w:r w:rsidRPr="00100AF5">
        <w:t>Baseline situation analysis/Stakeholders analysis</w:t>
      </w:r>
      <w:bookmarkEnd w:id="95"/>
    </w:p>
    <w:p w:rsidR="00470BD4" w:rsidRPr="00100AF5" w:rsidRDefault="00A00A99" w:rsidP="00C67DBD">
      <w:pPr>
        <w:spacing w:after="120"/>
        <w:textAlignment w:val="top"/>
      </w:pPr>
      <w:r w:rsidRPr="00100AF5">
        <w:t>Given the considerable political dimension of the reform and its high sensitiveness, a thorough analysis of the context should have been a priority in the project preparation phase. Brief indications of the</w:t>
      </w:r>
      <w:r w:rsidR="00C67DBD" w:rsidRPr="00100AF5">
        <w:t xml:space="preserve"> general policy framework at the national level </w:t>
      </w:r>
      <w:r w:rsidR="00470BD4" w:rsidRPr="00100AF5">
        <w:t xml:space="preserve">was presented in the project document; however, it lacked a more articulated and in-depth analysis. </w:t>
      </w:r>
    </w:p>
    <w:p w:rsidR="00C67DBD" w:rsidRPr="00100AF5" w:rsidRDefault="00470BD4" w:rsidP="00C67DBD">
      <w:pPr>
        <w:spacing w:after="120"/>
        <w:textAlignment w:val="top"/>
        <w:rPr>
          <w:color w:val="423212"/>
          <w:lang w:eastAsia="it-IT"/>
        </w:rPr>
      </w:pPr>
      <w:r w:rsidRPr="00100AF5">
        <w:t>A</w:t>
      </w:r>
      <w:r w:rsidR="00C67DBD" w:rsidRPr="00100AF5">
        <w:t xml:space="preserve"> proper stakeholders</w:t>
      </w:r>
      <w:r w:rsidR="00B25F26" w:rsidRPr="00100AF5">
        <w:t>’</w:t>
      </w:r>
      <w:r w:rsidR="00C67DBD" w:rsidRPr="00100AF5">
        <w:t xml:space="preserve"> analysis should have been conducted, in order to have a well detailed baseline situation analysis against which measure progress. For instance</w:t>
      </w:r>
      <w:r w:rsidR="00B25F26" w:rsidRPr="00100AF5">
        <w:t>, c</w:t>
      </w:r>
      <w:r w:rsidR="00C67DBD" w:rsidRPr="00100AF5">
        <w:t xml:space="preserve">ompetencies attributed to </w:t>
      </w:r>
      <w:r w:rsidR="00B25F26" w:rsidRPr="00100AF5">
        <w:t>MDAs in terms of service delivery</w:t>
      </w:r>
      <w:r w:rsidR="00C67DBD" w:rsidRPr="00100AF5">
        <w:t>, as well as capacities which should be strengthened, are not spelt out or commented on. From the Project</w:t>
      </w:r>
      <w:r w:rsidR="00180183" w:rsidRPr="00100AF5">
        <w:t xml:space="preserve"> Result Framework</w:t>
      </w:r>
      <w:r w:rsidR="00C67DBD" w:rsidRPr="00100AF5">
        <w:t xml:space="preserve"> we understand that part of the capacities building efforts of the </w:t>
      </w:r>
      <w:r w:rsidR="00B25F26" w:rsidRPr="00100AF5">
        <w:t xml:space="preserve">Project </w:t>
      </w:r>
      <w:r w:rsidR="00C67DBD" w:rsidRPr="00100AF5">
        <w:t xml:space="preserve">focused on </w:t>
      </w:r>
      <w:r w:rsidR="00180183" w:rsidRPr="00100AF5">
        <w:t xml:space="preserve">strengthening Performance Improvement Units </w:t>
      </w:r>
      <w:r w:rsidR="00773010" w:rsidRPr="00100AF5">
        <w:t xml:space="preserve">(PIUs, later called </w:t>
      </w:r>
      <w:r w:rsidR="00773010" w:rsidRPr="00100AF5">
        <w:rPr>
          <w:rFonts w:cs="Simplified Arabic"/>
        </w:rPr>
        <w:t>Policies and Institutional Development Units - PIDU</w:t>
      </w:r>
      <w:r w:rsidR="00773010" w:rsidRPr="00100AF5">
        <w:t>) within selected institutions over time, linking their goals to their respective ministry’s or institution’s mission, goals and objectives.</w:t>
      </w:r>
      <w:r w:rsidR="00B25F26" w:rsidRPr="00100AF5">
        <w:t xml:space="preserve"> However,</w:t>
      </w:r>
      <w:r w:rsidR="00C67DBD" w:rsidRPr="00100AF5">
        <w:t xml:space="preserve"> a specific capacity</w:t>
      </w:r>
      <w:r w:rsidR="00B25F26" w:rsidRPr="00100AF5">
        <w:t xml:space="preserve"> appraisal i</w:t>
      </w:r>
      <w:r w:rsidR="00C67DBD" w:rsidRPr="00100AF5">
        <w:t xml:space="preserve">s missing and this does not allow for a full understanding of how and if objectives stated in the </w:t>
      </w:r>
      <w:r w:rsidR="00B25F26" w:rsidRPr="00100AF5">
        <w:t>results</w:t>
      </w:r>
      <w:r w:rsidR="00C67DBD" w:rsidRPr="00100AF5">
        <w:t>. A baseline situation analysis (possibly with baseline indicators) would have been helpful in identifying and quantifying results and purposes to be achieved, as well for monito</w:t>
      </w:r>
      <w:r w:rsidR="00B25F26" w:rsidRPr="00100AF5">
        <w:t>ring and measuring the Project</w:t>
      </w:r>
      <w:r w:rsidR="00C67DBD" w:rsidRPr="00100AF5">
        <w:t>. No</w:t>
      </w:r>
      <w:r w:rsidR="00B25F26" w:rsidRPr="00100AF5">
        <w:t xml:space="preserve"> background on current mechanisms of service delivery in Jordan has been elaborated; though, this was due to be one of the Project results.</w:t>
      </w:r>
    </w:p>
    <w:p w:rsidR="00B25F26" w:rsidRPr="00100AF5" w:rsidRDefault="00C67DBD" w:rsidP="00B25F26">
      <w:pPr>
        <w:pStyle w:val="Heading4"/>
      </w:pPr>
      <w:bookmarkStart w:id="96" w:name="_Toc276461259"/>
      <w:r w:rsidRPr="00100AF5">
        <w:t>Problem analysis</w:t>
      </w:r>
      <w:bookmarkEnd w:id="96"/>
    </w:p>
    <w:p w:rsidR="00C67DBD" w:rsidRPr="00100AF5" w:rsidRDefault="00C67DBD" w:rsidP="00C67DBD">
      <w:pPr>
        <w:spacing w:after="120"/>
        <w:textAlignment w:val="top"/>
        <w:rPr>
          <w:color w:val="423212"/>
          <w:lang w:eastAsia="it-IT"/>
        </w:rPr>
      </w:pPr>
      <w:r w:rsidRPr="00100AF5">
        <w:t xml:space="preserve"> In addition</w:t>
      </w:r>
      <w:r w:rsidR="003E5ED1">
        <w:t xml:space="preserve"> to what said above</w:t>
      </w:r>
      <w:r w:rsidRPr="00100AF5">
        <w:t>, problems addressed are not organized in a cause-effect relationship (utilizing “problem tree”</w:t>
      </w:r>
      <w:r w:rsidR="003E5ED1">
        <w:t xml:space="preserve"> techniques or others). The consultant</w:t>
      </w:r>
      <w:r w:rsidRPr="00100AF5">
        <w:t xml:space="preserve"> could not ascertain if the time allotted to </w:t>
      </w:r>
      <w:r w:rsidR="00B25F26" w:rsidRPr="00100AF5">
        <w:t xml:space="preserve">project </w:t>
      </w:r>
      <w:r w:rsidRPr="00100AF5">
        <w:t>formulation was sufficient to include all needed investigations.</w:t>
      </w:r>
    </w:p>
    <w:p w:rsidR="00480687" w:rsidRPr="00100AF5" w:rsidRDefault="00480687" w:rsidP="00154E39">
      <w:pPr>
        <w:pStyle w:val="Heading3"/>
      </w:pPr>
      <w:bookmarkStart w:id="97" w:name="_Toc273263512"/>
      <w:bookmarkStart w:id="98" w:name="_Toc273263648"/>
      <w:bookmarkStart w:id="99" w:name="_Toc276461260"/>
      <w:r w:rsidRPr="00100AF5">
        <w:t>Strategy</w:t>
      </w:r>
      <w:bookmarkEnd w:id="97"/>
      <w:bookmarkEnd w:id="98"/>
      <w:bookmarkEnd w:id="99"/>
    </w:p>
    <w:p w:rsidR="00BA5E1C" w:rsidRPr="00100AF5" w:rsidRDefault="00D971EF" w:rsidP="002030FE">
      <w:pPr>
        <w:pBdr>
          <w:top w:val="single" w:sz="4" w:space="1" w:color="auto"/>
          <w:left w:val="single" w:sz="4" w:space="4" w:color="auto"/>
          <w:bottom w:val="single" w:sz="4" w:space="1" w:color="auto"/>
          <w:right w:val="single" w:sz="4" w:space="4" w:color="auto"/>
        </w:pBdr>
      </w:pPr>
      <w:r w:rsidRPr="00100AF5">
        <w:t xml:space="preserve">Were there clear objectives and strategy?  </w:t>
      </w:r>
    </w:p>
    <w:p w:rsidR="00882502" w:rsidRPr="00100AF5" w:rsidRDefault="00882502" w:rsidP="00BA5E1C">
      <w:r w:rsidRPr="00100AF5">
        <w:t>The project document states:</w:t>
      </w:r>
    </w:p>
    <w:p w:rsidR="00882502" w:rsidRPr="00100AF5" w:rsidRDefault="00882502" w:rsidP="00882502">
      <w:pPr>
        <w:rPr>
          <w:i/>
        </w:rPr>
      </w:pPr>
      <w:r w:rsidRPr="00100AF5">
        <w:rPr>
          <w:i/>
        </w:rPr>
        <w:t xml:space="preserve">The main objective of the technical assistance outlined under this project document is to build the capacity of the PSRD to support implementation of the SDIS in 14 institutions. SDIS is at the core of efforts to improve the delivery and quality of services in Jordan.  It is based on the </w:t>
      </w:r>
      <w:r w:rsidRPr="00100AF5">
        <w:rPr>
          <w:i/>
        </w:rPr>
        <w:lastRenderedPageBreak/>
        <w:t>concept of continuous improvement based on client needs and client satisfaction and is built on a five-stage process.</w:t>
      </w:r>
      <w:r w:rsidRPr="00100AF5">
        <w:rPr>
          <w:rStyle w:val="FootnoteReference"/>
          <w:i/>
        </w:rPr>
        <w:footnoteReference w:id="21"/>
      </w:r>
    </w:p>
    <w:p w:rsidR="00882502" w:rsidRPr="00100AF5" w:rsidRDefault="00882502" w:rsidP="00882502">
      <w:r w:rsidRPr="00100AF5">
        <w:t xml:space="preserve"> The process, illustrated in the following figure, was </w:t>
      </w:r>
      <w:r w:rsidR="00BA5E1C" w:rsidRPr="00100AF5">
        <w:t xml:space="preserve">elaborated in 2003 by the </w:t>
      </w:r>
      <w:proofErr w:type="spellStart"/>
      <w:r w:rsidR="00BA5E1C" w:rsidRPr="00100AF5">
        <w:t>GoJ</w:t>
      </w:r>
      <w:proofErr w:type="spellEnd"/>
      <w:r w:rsidR="00BA5E1C" w:rsidRPr="00100AF5">
        <w:t xml:space="preserve"> with the support of Price Waterhouse</w:t>
      </w:r>
      <w:r w:rsidRPr="00100AF5">
        <w:t xml:space="preserve"> and inserted in the Service Delivery Improvement Toolkit, Public Sector Reform 2004-2009, developed by PSRD. </w:t>
      </w:r>
    </w:p>
    <w:p w:rsidR="00D971EF" w:rsidRPr="00100AF5" w:rsidRDefault="00D971EF" w:rsidP="00BA5E1C"/>
    <w:p w:rsidR="00BA5E1C" w:rsidRPr="00100AF5" w:rsidRDefault="00BA5E1C" w:rsidP="00BA5E1C">
      <w:r w:rsidRPr="00100AF5">
        <w:rPr>
          <w:noProof/>
          <w:lang w:val="en-US" w:eastAsia="zh-CN"/>
        </w:rPr>
        <w:drawing>
          <wp:inline distT="0" distB="0" distL="0" distR="0">
            <wp:extent cx="4914900" cy="981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14900" cy="981075"/>
                    </a:xfrm>
                    <a:prstGeom prst="rect">
                      <a:avLst/>
                    </a:prstGeom>
                    <a:noFill/>
                    <a:ln w="9525">
                      <a:noFill/>
                      <a:miter lim="800000"/>
                      <a:headEnd/>
                      <a:tailEnd/>
                    </a:ln>
                  </pic:spPr>
                </pic:pic>
              </a:graphicData>
            </a:graphic>
          </wp:inline>
        </w:drawing>
      </w:r>
    </w:p>
    <w:p w:rsidR="007F7DD5" w:rsidRPr="00100AF5" w:rsidRDefault="007F7DD5" w:rsidP="00BA5E1C"/>
    <w:p w:rsidR="007F7DD5" w:rsidRPr="00100AF5" w:rsidRDefault="007F7DD5" w:rsidP="00BA5E1C">
      <w:r w:rsidRPr="00100AF5">
        <w:t>The project document show</w:t>
      </w:r>
      <w:r w:rsidR="003E5ED1">
        <w:t>s</w:t>
      </w:r>
      <w:r w:rsidRPr="00100AF5">
        <w:t xml:space="preserve"> some awareness of difficulties the reform will encounter:</w:t>
      </w:r>
    </w:p>
    <w:p w:rsidR="007F7DD5" w:rsidRPr="00100AF5" w:rsidRDefault="007F7DD5" w:rsidP="00BA5E1C">
      <w:pPr>
        <w:rPr>
          <w:i/>
        </w:rPr>
      </w:pPr>
      <w:r w:rsidRPr="00100AF5">
        <w:rPr>
          <w:i/>
        </w:rPr>
        <w:t>Implementing a change of this nature requires not only a change in practices but a change in the way public servants think about their performance responsibilities, and is therefore a long term process.  Based on this understanding, the scope of the project is to initiate the change process by building the capacities in 14 institutions to identify clients for their services, to use the SDIS toolkit in identifying client needs, and to develop and publish standards for a few of the institutions’ main services</w:t>
      </w:r>
      <w:r w:rsidR="00F672F6" w:rsidRPr="00100AF5">
        <w:rPr>
          <w:i/>
        </w:rPr>
        <w:t>.</w:t>
      </w:r>
    </w:p>
    <w:p w:rsidR="00F672F6" w:rsidRPr="00100AF5" w:rsidRDefault="00F672F6" w:rsidP="00F672F6">
      <w:pPr>
        <w:spacing w:after="120"/>
      </w:pPr>
      <w:r w:rsidRPr="00100AF5">
        <w:t>There were no explanations or logical steps in the project documents evidencing the reasons why the particular aspect of service delivery was selected in the identification of the UNDP support, except that this was one of the main goals of UNDP support to governance.</w:t>
      </w:r>
    </w:p>
    <w:p w:rsidR="005A4B4A" w:rsidRPr="00100AF5" w:rsidRDefault="00F672F6" w:rsidP="00BA5E1C">
      <w:r w:rsidRPr="00100AF5">
        <w:t>As to the process itself, it</w:t>
      </w:r>
      <w:r w:rsidR="00B57217" w:rsidRPr="00100AF5">
        <w:t xml:space="preserve"> poses some questions as to its feasibility.</w:t>
      </w:r>
    </w:p>
    <w:p w:rsidR="00B57217" w:rsidRPr="00100AF5" w:rsidRDefault="00B57217" w:rsidP="00F672F6">
      <w:r w:rsidRPr="00100AF5">
        <w:t>There was absence in Jordan of a clear and endorsed framework for division of roles and responsibilities among levels and institutions on what services should be provided at which level by which service provider. As a consequence, the process described above could easily be subject to instability and changes.</w:t>
      </w:r>
    </w:p>
    <w:p w:rsidR="00B57217" w:rsidRPr="00100AF5" w:rsidRDefault="00F672F6" w:rsidP="00F672F6">
      <w:r w:rsidRPr="00100AF5">
        <w:t>P</w:t>
      </w:r>
      <w:r w:rsidR="00B57217" w:rsidRPr="00100AF5">
        <w:t>erformance improvement</w:t>
      </w:r>
      <w:r w:rsidRPr="00100AF5">
        <w:t xml:space="preserve"> measures</w:t>
      </w:r>
      <w:r w:rsidR="00B57217" w:rsidRPr="00100AF5">
        <w:t xml:space="preserve"> can be effectively</w:t>
      </w:r>
      <w:r w:rsidRPr="00100AF5">
        <w:t xml:space="preserve"> designed and</w:t>
      </w:r>
      <w:r w:rsidR="00B57217" w:rsidRPr="00100AF5">
        <w:t xml:space="preserve"> carried out only under condition that appropriate M&amp;E mechanisms are already in place</w:t>
      </w:r>
      <w:r w:rsidRPr="00100AF5">
        <w:t xml:space="preserve"> In fact, Project Result 3 was not dealt with at all in the Project implementation</w:t>
      </w:r>
      <w:r w:rsidR="00B57217" w:rsidRPr="00100AF5">
        <w:t>.</w:t>
      </w:r>
    </w:p>
    <w:p w:rsidR="00882502" w:rsidRDefault="00076812" w:rsidP="00F672F6">
      <w:pPr>
        <w:spacing w:after="120"/>
      </w:pPr>
      <w:r w:rsidRPr="00100AF5">
        <w:t xml:space="preserve">There was no analysis of the situation on the ground and a lack of understanding of the </w:t>
      </w:r>
      <w:r w:rsidR="00882502" w:rsidRPr="00100AF5">
        <w:t xml:space="preserve">deep lack of knowledge </w:t>
      </w:r>
      <w:r w:rsidRPr="00100AF5">
        <w:t xml:space="preserve">at that time </w:t>
      </w:r>
      <w:r w:rsidR="00882502" w:rsidRPr="00100AF5">
        <w:t>among the population and relevant staff of</w:t>
      </w:r>
      <w:r w:rsidRPr="00100AF5">
        <w:t xml:space="preserve"> both citizens and </w:t>
      </w:r>
      <w:proofErr w:type="spellStart"/>
      <w:r w:rsidRPr="00100AF5">
        <w:t>GoJ</w:t>
      </w:r>
      <w:proofErr w:type="spellEnd"/>
      <w:r w:rsidRPr="00100AF5">
        <w:t xml:space="preserve"> in general </w:t>
      </w:r>
      <w:r w:rsidR="00882502" w:rsidRPr="00100AF5">
        <w:t xml:space="preserve">on </w:t>
      </w:r>
      <w:r w:rsidRPr="00100AF5">
        <w:t>the concept of</w:t>
      </w:r>
      <w:r w:rsidR="00F672F6" w:rsidRPr="00100AF5">
        <w:t xml:space="preserve"> </w:t>
      </w:r>
      <w:r w:rsidR="00882502" w:rsidRPr="00100AF5">
        <w:t>customer orientation in service delivery</w:t>
      </w:r>
      <w:r w:rsidRPr="00100AF5">
        <w:t>.</w:t>
      </w:r>
    </w:p>
    <w:p w:rsidR="00076812" w:rsidRPr="00100AF5" w:rsidRDefault="00F672F6" w:rsidP="00076812">
      <w:pPr>
        <w:spacing w:after="120"/>
      </w:pPr>
      <w:r w:rsidRPr="00100AF5">
        <w:t>All t</w:t>
      </w:r>
      <w:r w:rsidR="00076812" w:rsidRPr="00100AF5">
        <w:t xml:space="preserve">hese aspects in fact hindered the project implementation. Service delivery is still an issue in the </w:t>
      </w:r>
      <w:proofErr w:type="spellStart"/>
      <w:r w:rsidR="00076812" w:rsidRPr="00100AF5">
        <w:t>GoJ</w:t>
      </w:r>
      <w:proofErr w:type="spellEnd"/>
      <w:r w:rsidR="00076812" w:rsidRPr="00100AF5">
        <w:t xml:space="preserve"> and has not been adequately addressed to date, for reasons linked to political will, inadequacy of staff, lack of awareness. </w:t>
      </w:r>
    </w:p>
    <w:p w:rsidR="00480687" w:rsidRPr="00100AF5" w:rsidRDefault="00480687" w:rsidP="00154E39">
      <w:pPr>
        <w:pStyle w:val="Heading3"/>
      </w:pPr>
      <w:bookmarkStart w:id="100" w:name="_Toc273263513"/>
      <w:bookmarkStart w:id="101" w:name="_Toc273263649"/>
      <w:bookmarkStart w:id="102" w:name="_Toc276461261"/>
      <w:r w:rsidRPr="00100AF5">
        <w:lastRenderedPageBreak/>
        <w:t>Indicators</w:t>
      </w:r>
      <w:bookmarkEnd w:id="100"/>
      <w:bookmarkEnd w:id="101"/>
      <w:bookmarkEnd w:id="102"/>
    </w:p>
    <w:p w:rsidR="00D971EF" w:rsidRPr="00100AF5" w:rsidRDefault="00D971EF" w:rsidP="002030FE">
      <w:pPr>
        <w:pBdr>
          <w:top w:val="single" w:sz="4" w:space="1" w:color="auto"/>
          <w:left w:val="single" w:sz="4" w:space="4" w:color="auto"/>
          <w:bottom w:val="single" w:sz="4" w:space="1" w:color="auto"/>
          <w:right w:val="single" w:sz="4" w:space="4" w:color="auto"/>
        </w:pBdr>
      </w:pPr>
      <w:r w:rsidRPr="00100AF5">
        <w:t>Were there clear baselines indicators and/or benchmarks for performance?</w:t>
      </w:r>
    </w:p>
    <w:p w:rsidR="00076812" w:rsidRPr="00100AF5" w:rsidRDefault="00076812" w:rsidP="00076812">
      <w:r w:rsidRPr="00100AF5">
        <w:t>No indicators were provided in the project document. As said above, this set heavy constraints in the evaluation exercise and also resulted in lack of proper monitoring of project activities and results.</w:t>
      </w:r>
    </w:p>
    <w:p w:rsidR="00480687" w:rsidRPr="00100AF5" w:rsidRDefault="00480687" w:rsidP="00154E39">
      <w:pPr>
        <w:pStyle w:val="Heading3"/>
        <w:rPr>
          <w:sz w:val="22"/>
        </w:rPr>
      </w:pPr>
      <w:bookmarkStart w:id="103" w:name="_Toc273263514"/>
      <w:bookmarkStart w:id="104" w:name="_Toc273263650"/>
      <w:bookmarkStart w:id="105" w:name="_Toc276461262"/>
      <w:r w:rsidRPr="00100AF5">
        <w:t>Participation</w:t>
      </w:r>
      <w:bookmarkEnd w:id="103"/>
      <w:bookmarkEnd w:id="104"/>
      <w:bookmarkEnd w:id="105"/>
    </w:p>
    <w:p w:rsidR="00D971EF" w:rsidRPr="00100AF5" w:rsidRDefault="00D971EF" w:rsidP="002030FE">
      <w:pPr>
        <w:pBdr>
          <w:top w:val="single" w:sz="4" w:space="1" w:color="auto"/>
          <w:left w:val="single" w:sz="4" w:space="4" w:color="auto"/>
          <w:bottom w:val="single" w:sz="4" w:space="1" w:color="auto"/>
          <w:right w:val="single" w:sz="4" w:space="4" w:color="auto"/>
        </w:pBdr>
        <w:rPr>
          <w:rFonts w:ascii="Palatino Linotype" w:hAnsi="Palatino Linotype"/>
          <w:sz w:val="20"/>
          <w:szCs w:val="20"/>
        </w:rPr>
      </w:pPr>
      <w:r w:rsidRPr="00100AF5">
        <w:rPr>
          <w:rFonts w:ascii="Palatino Linotype" w:hAnsi="Palatino Linotype"/>
          <w:sz w:val="20"/>
          <w:szCs w:val="20"/>
        </w:rPr>
        <w:t>Was the process of project design sufficiently participatory? Was there any impact of the process?</w:t>
      </w:r>
    </w:p>
    <w:p w:rsidR="00FB7CA5" w:rsidRDefault="00323DD3" w:rsidP="00154E39">
      <w:pPr>
        <w:spacing w:after="120"/>
      </w:pPr>
      <w:r w:rsidRPr="00100AF5">
        <w:t xml:space="preserve">The Consultant could not verify modalities and features of the Project design process </w:t>
      </w:r>
      <w:r w:rsidR="007F7DD5" w:rsidRPr="00100AF5">
        <w:t>with staff involved at the time</w:t>
      </w:r>
      <w:r w:rsidRPr="00100AF5">
        <w:t xml:space="preserve">, due to personnel turnover. The desk review documents that several studies and pre-scoping assessment were carried out by UNDP in February 2005. However, no documentation stating the participation of the </w:t>
      </w:r>
      <w:proofErr w:type="spellStart"/>
      <w:r w:rsidRPr="00100AF5">
        <w:t>GoJ</w:t>
      </w:r>
      <w:proofErr w:type="spellEnd"/>
      <w:r w:rsidRPr="00100AF5">
        <w:t xml:space="preserve"> in the designing phase was made available to the Consultant.</w:t>
      </w:r>
    </w:p>
    <w:p w:rsidR="000047D4" w:rsidRPr="007E740B" w:rsidRDefault="000047D4" w:rsidP="007E740B">
      <w:pPr>
        <w:pStyle w:val="Heading3"/>
      </w:pPr>
      <w:bookmarkStart w:id="106" w:name="_Toc276461263"/>
      <w:r w:rsidRPr="007E740B">
        <w:t>Conclusions</w:t>
      </w:r>
      <w:bookmarkEnd w:id="106"/>
    </w:p>
    <w:p w:rsidR="007E740B" w:rsidRDefault="00D4095A" w:rsidP="00D971EF">
      <w:pPr>
        <w:spacing w:after="120"/>
      </w:pPr>
      <w:r>
        <w:t>The focus of the Project o</w:t>
      </w:r>
      <w:r w:rsidR="00234402">
        <w:t xml:space="preserve">n service delivery was probably an appropriate choice, although not supported by adequate justifications. </w:t>
      </w:r>
      <w:r w:rsidR="007E740B">
        <w:t xml:space="preserve">A risk was the absence of a regulatory framework for service delivery at that time. </w:t>
      </w:r>
    </w:p>
    <w:p w:rsidR="00D971EF" w:rsidRPr="00100AF5" w:rsidRDefault="007E740B" w:rsidP="00D971EF">
      <w:pPr>
        <w:spacing w:after="120"/>
      </w:pPr>
      <w:r>
        <w:t xml:space="preserve">The level of analysis was in general poor. No stakeholders’ analysis was carried out. Also, the context as not examined through a cause effect relationship. This negatively impacted on the overall structure of the Project and on its implementation. </w:t>
      </w:r>
    </w:p>
    <w:p w:rsidR="008E4654" w:rsidRPr="00100AF5" w:rsidRDefault="008E4654" w:rsidP="00D971EF">
      <w:pPr>
        <w:pStyle w:val="Heading2"/>
        <w:spacing w:before="120" w:after="120"/>
      </w:pPr>
      <w:bookmarkStart w:id="107" w:name="_Toc273263515"/>
      <w:bookmarkStart w:id="108" w:name="_Toc273263651"/>
      <w:bookmarkStart w:id="109" w:name="_Toc276461264"/>
      <w:r w:rsidRPr="00100AF5">
        <w:t>Relevance</w:t>
      </w:r>
      <w:r w:rsidR="00694CCD" w:rsidRPr="00100AF5">
        <w:t xml:space="preserve"> and appropriateness</w:t>
      </w:r>
      <w:bookmarkEnd w:id="107"/>
      <w:bookmarkEnd w:id="108"/>
      <w:bookmarkEnd w:id="109"/>
    </w:p>
    <w:p w:rsidR="00825F9F" w:rsidRPr="00100AF5" w:rsidRDefault="00480687" w:rsidP="00480687">
      <w:pPr>
        <w:pStyle w:val="Heading3"/>
      </w:pPr>
      <w:bookmarkStart w:id="110" w:name="_Toc273263516"/>
      <w:bookmarkStart w:id="111" w:name="_Toc273263652"/>
      <w:bookmarkStart w:id="112" w:name="_Toc276461265"/>
      <w:r w:rsidRPr="00100AF5">
        <w:t>Relevance to national goals and challenges</w:t>
      </w:r>
      <w:bookmarkEnd w:id="110"/>
      <w:bookmarkEnd w:id="111"/>
      <w:bookmarkEnd w:id="112"/>
    </w:p>
    <w:p w:rsidR="00480687" w:rsidRPr="00100AF5" w:rsidRDefault="00480687" w:rsidP="00480687">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Was the project relevant, appropriate and strategic to national goals and challenges?</w:t>
      </w:r>
    </w:p>
    <w:p w:rsidR="009228FD" w:rsidRPr="00100AF5" w:rsidRDefault="006D78DC" w:rsidP="00D70672">
      <w:r>
        <w:t>Designed in 2005, the Project</w:t>
      </w:r>
      <w:r w:rsidR="009228FD" w:rsidRPr="00100AF5">
        <w:t xml:space="preserve"> answered a political need of the Government of Jordan to initiate a large public sector reform process</w:t>
      </w:r>
      <w:r>
        <w:t xml:space="preserve"> to e</w:t>
      </w:r>
      <w:r w:rsidR="009228FD" w:rsidRPr="00100AF5">
        <w:t xml:space="preserve">nhance transparency and efficiency of the </w:t>
      </w:r>
      <w:proofErr w:type="spellStart"/>
      <w:r w:rsidR="009228FD" w:rsidRPr="00100AF5">
        <w:t>GoJ</w:t>
      </w:r>
      <w:proofErr w:type="spellEnd"/>
      <w:r w:rsidR="009228FD" w:rsidRPr="00100AF5">
        <w:t xml:space="preserve"> institutions,</w:t>
      </w:r>
      <w:r w:rsidR="00D70672">
        <w:t xml:space="preserve"> </w:t>
      </w:r>
      <w:r>
        <w:t>p</w:t>
      </w:r>
      <w:r w:rsidR="009228FD" w:rsidRPr="00100AF5">
        <w:t>rovide citizens with more efficient and effective services,</w:t>
      </w:r>
      <w:r>
        <w:t xml:space="preserve"> c</w:t>
      </w:r>
      <w:r w:rsidR="009228FD" w:rsidRPr="00100AF5">
        <w:t xml:space="preserve">ombat poverty in a more effective way.  </w:t>
      </w:r>
    </w:p>
    <w:p w:rsidR="00C0482B" w:rsidRPr="00100AF5" w:rsidRDefault="006D78DC" w:rsidP="009228FD">
      <w:r>
        <w:t>As a matter of fact, this</w:t>
      </w:r>
      <w:r w:rsidR="009228FD" w:rsidRPr="00100AF5">
        <w:t xml:space="preserve"> was systemically and clearly articulated with the establishment of the National Agenda Committee (700 members including Government and political representatives, private sector, civil society and media representatives) </w:t>
      </w:r>
      <w:r w:rsidR="00A00A99" w:rsidRPr="00100AF5">
        <w:t>a</w:t>
      </w:r>
      <w:r w:rsidR="009228FD" w:rsidRPr="00100AF5">
        <w:t>s a way of strengthening national dialogue and enhancing participation. The Committee debate over Jordan’s future development vision resulted in the National Agenda</w:t>
      </w:r>
      <w:r w:rsidR="009228FD" w:rsidRPr="00100AF5">
        <w:rPr>
          <w:rStyle w:val="FootnoteReference"/>
          <w:rFonts w:ascii="Arial" w:hAnsi="Arial" w:cs="Arial"/>
          <w:sz w:val="20"/>
          <w:szCs w:val="20"/>
        </w:rPr>
        <w:footnoteReference w:id="22"/>
      </w:r>
      <w:r w:rsidR="009228FD" w:rsidRPr="00100AF5">
        <w:t xml:space="preserve"> Initiative of November 2005, a long-term ambitious programmatic document that commits Jordan’s current and future governments to reform, and particularly focuses</w:t>
      </w:r>
      <w:r w:rsidR="00D70672">
        <w:t xml:space="preserve"> on, and gives high priority</w:t>
      </w:r>
      <w:r w:rsidR="009228FD" w:rsidRPr="00100AF5">
        <w:t xml:space="preserve"> to</w:t>
      </w:r>
      <w:r w:rsidR="00D70672">
        <w:t>,</w:t>
      </w:r>
      <w:r w:rsidR="009228FD" w:rsidRPr="00100AF5">
        <w:t xml:space="preserve"> political and administrative reform. Jordan subsequently stressed these efforts with the </w:t>
      </w:r>
      <w:proofErr w:type="spellStart"/>
      <w:r w:rsidR="009228FD" w:rsidRPr="00100AF5">
        <w:rPr>
          <w:i/>
        </w:rPr>
        <w:t>Kulluna</w:t>
      </w:r>
      <w:proofErr w:type="spellEnd"/>
      <w:r w:rsidR="009228FD" w:rsidRPr="00100AF5">
        <w:rPr>
          <w:i/>
        </w:rPr>
        <w:t xml:space="preserve"> al-</w:t>
      </w:r>
      <w:proofErr w:type="spellStart"/>
      <w:r w:rsidR="009228FD" w:rsidRPr="00100AF5">
        <w:rPr>
          <w:i/>
        </w:rPr>
        <w:t>Urdun</w:t>
      </w:r>
      <w:proofErr w:type="spellEnd"/>
      <w:r w:rsidR="009228FD" w:rsidRPr="00100AF5">
        <w:t xml:space="preserve"> or “We are all Jordan” initiative to </w:t>
      </w:r>
      <w:r w:rsidR="009228FD" w:rsidRPr="00100AF5">
        <w:lastRenderedPageBreak/>
        <w:t>provide a comprehensive policy framework for Jordan’s future development</w:t>
      </w:r>
      <w:r w:rsidR="009228FD" w:rsidRPr="00100AF5">
        <w:rPr>
          <w:rStyle w:val="FootnoteReference"/>
        </w:rPr>
        <w:footnoteReference w:id="23"/>
      </w:r>
      <w:r w:rsidR="009228FD" w:rsidRPr="00100AF5">
        <w:t xml:space="preserve">. However, notwithstanding that this document is slightly later than the Project signature, it is worth saying that the political commitment by the Jordanian Government was already strong at the time of the design.  </w:t>
      </w:r>
    </w:p>
    <w:p w:rsidR="00895DF0" w:rsidRPr="00100AF5" w:rsidRDefault="00895DF0" w:rsidP="00895DF0">
      <w:r w:rsidRPr="00100AF5">
        <w:t xml:space="preserve">The Project is fully aligned with the </w:t>
      </w:r>
      <w:r w:rsidRPr="00100AF5">
        <w:rPr>
          <w:i/>
        </w:rPr>
        <w:t>National Social and Economic Programme (NSEP) 2004-2006</w:t>
      </w:r>
      <w:r w:rsidRPr="00100AF5">
        <w:t xml:space="preserve">. The NSEP addressed the need for reforms in legislation, policies and regulatory framework in order to </w:t>
      </w:r>
      <w:r w:rsidR="0026450A">
        <w:t>improve</w:t>
      </w:r>
      <w:r w:rsidRPr="00100AF5">
        <w:t xml:space="preserve"> the quality of life for all. </w:t>
      </w:r>
    </w:p>
    <w:p w:rsidR="00895DF0" w:rsidRDefault="00895DF0" w:rsidP="009228FD"/>
    <w:p w:rsidR="00CB5606" w:rsidRPr="00100AF5" w:rsidRDefault="00CB5606" w:rsidP="009228FD">
      <w:r>
        <w:t>And National Executive programme 2008-2010?</w:t>
      </w:r>
    </w:p>
    <w:p w:rsidR="00480687" w:rsidRPr="00100AF5" w:rsidRDefault="00480687" w:rsidP="00480687">
      <w:pPr>
        <w:pStyle w:val="Heading3"/>
      </w:pPr>
      <w:bookmarkStart w:id="113" w:name="_Toc273263517"/>
      <w:bookmarkStart w:id="114" w:name="_Toc273263653"/>
      <w:bookmarkStart w:id="115" w:name="_Toc276461266"/>
      <w:r w:rsidRPr="00100AF5">
        <w:t>Relevance to MOPSD</w:t>
      </w:r>
      <w:bookmarkEnd w:id="113"/>
      <w:bookmarkEnd w:id="114"/>
      <w:bookmarkEnd w:id="115"/>
    </w:p>
    <w:p w:rsidR="00480687" w:rsidRPr="00100AF5" w:rsidRDefault="00480687" w:rsidP="00445839">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Was the project relevant, appropriate and strategic to the mandate, strategy, functions, roles, and responsibilities of MOPSD ?</w:t>
      </w:r>
    </w:p>
    <w:p w:rsidR="00C0482B" w:rsidRPr="00100AF5" w:rsidRDefault="00773010" w:rsidP="00445839">
      <w:r w:rsidRPr="00100AF5">
        <w:t xml:space="preserve">Before the </w:t>
      </w:r>
      <w:proofErr w:type="spellStart"/>
      <w:r w:rsidRPr="00100AF5">
        <w:t>MoPSD</w:t>
      </w:r>
      <w:proofErr w:type="spellEnd"/>
      <w:r w:rsidRPr="00100AF5">
        <w:t xml:space="preserve"> establishment the overall responsibility</w:t>
      </w:r>
      <w:r w:rsidR="00445839" w:rsidRPr="00100AF5">
        <w:t xml:space="preserve"> of initiating and leading the reform was under the Prime Ministry’s Public Sector Reform Directorate (PSRD). Its roles are clearly explained in the project document:</w:t>
      </w:r>
    </w:p>
    <w:p w:rsidR="00445839" w:rsidRPr="00100AF5" w:rsidRDefault="00445839" w:rsidP="00445839">
      <w:pPr>
        <w:tabs>
          <w:tab w:val="left" w:pos="720"/>
        </w:tabs>
        <w:spacing w:after="120"/>
        <w:rPr>
          <w:i/>
        </w:rPr>
      </w:pPr>
      <w:r w:rsidRPr="00100AF5">
        <w:rPr>
          <w:i/>
        </w:rPr>
        <w:t>The PSRD is responsible for service delivery improvement at the operational level– SDIS [to ensure that government is working effectively and efficiently and continuously improving]. The role of the PSRD is to:</w:t>
      </w:r>
    </w:p>
    <w:p w:rsidR="00773010" w:rsidRPr="00100AF5" w:rsidRDefault="00773010" w:rsidP="00445839">
      <w:pPr>
        <w:tabs>
          <w:tab w:val="left" w:pos="720"/>
        </w:tabs>
        <w:spacing w:after="120"/>
        <w:rPr>
          <w:i/>
          <w:vanish/>
        </w:rPr>
      </w:pPr>
    </w:p>
    <w:p w:rsidR="00445839" w:rsidRPr="00100AF5" w:rsidRDefault="00445839" w:rsidP="00093C36">
      <w:pPr>
        <w:numPr>
          <w:ilvl w:val="0"/>
          <w:numId w:val="14"/>
        </w:numPr>
        <w:tabs>
          <w:tab w:val="left" w:pos="1440"/>
          <w:tab w:val="left" w:pos="9208"/>
        </w:tabs>
        <w:spacing w:after="120"/>
        <w:ind w:right="-29"/>
        <w:rPr>
          <w:i/>
        </w:rPr>
      </w:pPr>
      <w:r w:rsidRPr="00100AF5">
        <w:rPr>
          <w:i/>
        </w:rPr>
        <w:t xml:space="preserve">Set Service Standards (in coordination with </w:t>
      </w:r>
      <w:proofErr w:type="spellStart"/>
      <w:r w:rsidRPr="00100AF5">
        <w:rPr>
          <w:i/>
        </w:rPr>
        <w:t>GoJ</w:t>
      </w:r>
      <w:proofErr w:type="spellEnd"/>
      <w:r w:rsidRPr="00100AF5">
        <w:rPr>
          <w:i/>
        </w:rPr>
        <w:t xml:space="preserve"> institutions).</w:t>
      </w:r>
    </w:p>
    <w:p w:rsidR="00445839" w:rsidRPr="00100AF5" w:rsidRDefault="00445839" w:rsidP="00093C36">
      <w:pPr>
        <w:numPr>
          <w:ilvl w:val="0"/>
          <w:numId w:val="14"/>
        </w:numPr>
        <w:tabs>
          <w:tab w:val="left" w:pos="1440"/>
          <w:tab w:val="left" w:pos="9208"/>
        </w:tabs>
        <w:spacing w:before="0"/>
        <w:ind w:right="-26"/>
        <w:rPr>
          <w:i/>
        </w:rPr>
      </w:pPr>
      <w:r w:rsidRPr="00100AF5">
        <w:rPr>
          <w:i/>
        </w:rPr>
        <w:t xml:space="preserve">Monitor delivery against Service Standards by receiving performance reports, provide feedback to </w:t>
      </w:r>
      <w:proofErr w:type="spellStart"/>
      <w:r w:rsidRPr="00100AF5">
        <w:rPr>
          <w:i/>
        </w:rPr>
        <w:t>GoJ</w:t>
      </w:r>
      <w:proofErr w:type="spellEnd"/>
      <w:r w:rsidRPr="00100AF5">
        <w:rPr>
          <w:i/>
        </w:rPr>
        <w:t xml:space="preserve"> institutions on performance gaps, and jointly work on closing the gaps following the SDIS (intervene to investigate upon continued failure to meet set Service Standards). </w:t>
      </w:r>
    </w:p>
    <w:p w:rsidR="00445839" w:rsidRPr="00100AF5" w:rsidRDefault="00445839" w:rsidP="00093C36">
      <w:pPr>
        <w:numPr>
          <w:ilvl w:val="0"/>
          <w:numId w:val="14"/>
        </w:numPr>
        <w:tabs>
          <w:tab w:val="left" w:pos="1440"/>
          <w:tab w:val="left" w:pos="9208"/>
        </w:tabs>
        <w:spacing w:before="0"/>
        <w:ind w:right="-26"/>
        <w:rPr>
          <w:i/>
        </w:rPr>
      </w:pPr>
      <w:r w:rsidRPr="00100AF5">
        <w:rPr>
          <w:i/>
        </w:rPr>
        <w:t>Champion the SDIS and develop, promote, and continually improve relevant tools and knowledge.</w:t>
      </w:r>
    </w:p>
    <w:p w:rsidR="00445839" w:rsidRPr="00100AF5" w:rsidRDefault="00445839" w:rsidP="00093C36">
      <w:pPr>
        <w:numPr>
          <w:ilvl w:val="0"/>
          <w:numId w:val="14"/>
        </w:numPr>
        <w:tabs>
          <w:tab w:val="left" w:pos="1440"/>
          <w:tab w:val="left" w:pos="9208"/>
        </w:tabs>
        <w:spacing w:before="0"/>
        <w:ind w:right="-26"/>
        <w:rPr>
          <w:i/>
        </w:rPr>
      </w:pPr>
      <w:r w:rsidRPr="00100AF5">
        <w:rPr>
          <w:i/>
        </w:rPr>
        <w:t xml:space="preserve">Support the deployment of the SDIS via coordinating with </w:t>
      </w:r>
      <w:proofErr w:type="spellStart"/>
      <w:r w:rsidRPr="00100AF5">
        <w:rPr>
          <w:i/>
        </w:rPr>
        <w:t>GoJ</w:t>
      </w:r>
      <w:proofErr w:type="spellEnd"/>
      <w:r w:rsidRPr="00100AF5">
        <w:rPr>
          <w:i/>
        </w:rPr>
        <w:t xml:space="preserve"> institutions’ relevant performance units (help set up such units where they do not exist).</w:t>
      </w:r>
    </w:p>
    <w:p w:rsidR="00445839" w:rsidRPr="00100AF5" w:rsidRDefault="00445839" w:rsidP="00093C36">
      <w:pPr>
        <w:numPr>
          <w:ilvl w:val="0"/>
          <w:numId w:val="14"/>
        </w:numPr>
        <w:tabs>
          <w:tab w:val="left" w:pos="1440"/>
          <w:tab w:val="left" w:pos="9208"/>
        </w:tabs>
        <w:spacing w:before="0"/>
        <w:ind w:right="-26"/>
        <w:rPr>
          <w:i/>
        </w:rPr>
      </w:pPr>
      <w:r w:rsidRPr="00100AF5">
        <w:rPr>
          <w:i/>
        </w:rPr>
        <w:t xml:space="preserve">Develop and centrally manage the ‘client voice’ initiatives for </w:t>
      </w:r>
      <w:proofErr w:type="spellStart"/>
      <w:r w:rsidRPr="00100AF5">
        <w:rPr>
          <w:i/>
        </w:rPr>
        <w:t>GoJ</w:t>
      </w:r>
      <w:proofErr w:type="spellEnd"/>
      <w:r w:rsidRPr="00100AF5">
        <w:rPr>
          <w:i/>
        </w:rPr>
        <w:t xml:space="preserve"> institutions (satisfaction surveys (</w:t>
      </w:r>
      <w:proofErr w:type="spellStart"/>
      <w:r w:rsidRPr="00100AF5">
        <w:rPr>
          <w:i/>
        </w:rPr>
        <w:t>inc.</w:t>
      </w:r>
      <w:proofErr w:type="spellEnd"/>
      <w:r w:rsidRPr="00100AF5">
        <w:rPr>
          <w:i/>
        </w:rPr>
        <w:t xml:space="preserve"> mystery shopper), citizen panel, complaint system).</w:t>
      </w:r>
    </w:p>
    <w:p w:rsidR="00445839" w:rsidRPr="00100AF5" w:rsidRDefault="00445839" w:rsidP="00093C36">
      <w:pPr>
        <w:numPr>
          <w:ilvl w:val="0"/>
          <w:numId w:val="14"/>
        </w:numPr>
        <w:tabs>
          <w:tab w:val="left" w:pos="1440"/>
          <w:tab w:val="left" w:pos="9208"/>
        </w:tabs>
        <w:spacing w:before="0"/>
        <w:ind w:right="-26"/>
        <w:rPr>
          <w:i/>
        </w:rPr>
      </w:pPr>
      <w:r w:rsidRPr="00100AF5">
        <w:rPr>
          <w:i/>
        </w:rPr>
        <w:t>Coordinate with ‘Challenge Fund’ on improvement projects.</w:t>
      </w:r>
    </w:p>
    <w:p w:rsidR="00445839" w:rsidRPr="00100AF5" w:rsidRDefault="00445839" w:rsidP="00093C36">
      <w:pPr>
        <w:numPr>
          <w:ilvl w:val="0"/>
          <w:numId w:val="14"/>
        </w:numPr>
        <w:tabs>
          <w:tab w:val="left" w:pos="1440"/>
          <w:tab w:val="left" w:pos="9208"/>
        </w:tabs>
        <w:spacing w:before="0"/>
        <w:ind w:right="-26"/>
        <w:rPr>
          <w:i/>
        </w:rPr>
      </w:pPr>
      <w:r w:rsidRPr="00100AF5">
        <w:rPr>
          <w:i/>
        </w:rPr>
        <w:t>Identify collective issues and barriers to SDIS and develop policy recommendations to the Council of Ministers.</w:t>
      </w:r>
    </w:p>
    <w:p w:rsidR="00445839" w:rsidRPr="00100AF5" w:rsidRDefault="00445839" w:rsidP="00093C36">
      <w:pPr>
        <w:numPr>
          <w:ilvl w:val="0"/>
          <w:numId w:val="14"/>
        </w:numPr>
        <w:tabs>
          <w:tab w:val="left" w:pos="1440"/>
          <w:tab w:val="left" w:pos="9208"/>
        </w:tabs>
        <w:spacing w:before="0"/>
        <w:ind w:right="-26"/>
        <w:rPr>
          <w:i/>
        </w:rPr>
      </w:pPr>
      <w:r w:rsidRPr="00100AF5">
        <w:rPr>
          <w:i/>
        </w:rPr>
        <w:t>Coordinate with GPD by providing ‘client voice’ input to Key Performance Indicator (KPI) target setting and report on operational progress, effectiveness, and efficiency of service delivery</w:t>
      </w:r>
    </w:p>
    <w:p w:rsidR="00445839" w:rsidRPr="00100AF5" w:rsidRDefault="00445839" w:rsidP="00445839">
      <w:r w:rsidRPr="00100AF5">
        <w:t xml:space="preserve">Subsequently, the </w:t>
      </w:r>
      <w:proofErr w:type="spellStart"/>
      <w:r w:rsidRPr="00100AF5">
        <w:t>MoPSD</w:t>
      </w:r>
      <w:proofErr w:type="spellEnd"/>
      <w:r w:rsidRPr="00100AF5">
        <w:t xml:space="preserve"> was established. Its functions,</w:t>
      </w:r>
      <w:r w:rsidR="0026450A">
        <w:t xml:space="preserve"> as detailed in Regulation no. 54</w:t>
      </w:r>
      <w:r w:rsidRPr="00100AF5">
        <w:t>, are as follows:</w:t>
      </w:r>
    </w:p>
    <w:p w:rsidR="00445839" w:rsidRPr="00100AF5" w:rsidRDefault="00445839" w:rsidP="00093C36">
      <w:pPr>
        <w:pStyle w:val="ListParagraph"/>
        <w:numPr>
          <w:ilvl w:val="0"/>
          <w:numId w:val="15"/>
        </w:numPr>
        <w:rPr>
          <w:i/>
          <w:kern w:val="28"/>
        </w:rPr>
      </w:pPr>
      <w:r w:rsidRPr="00100AF5">
        <w:rPr>
          <w:i/>
          <w:kern w:val="28"/>
        </w:rPr>
        <w:lastRenderedPageBreak/>
        <w:t>Drawing the general policy for administrative development and laying the plans and programs needed to implement it.</w:t>
      </w:r>
    </w:p>
    <w:p w:rsidR="00445839" w:rsidRPr="00100AF5" w:rsidRDefault="00445839" w:rsidP="00093C36">
      <w:pPr>
        <w:pStyle w:val="ListParagraph"/>
        <w:numPr>
          <w:ilvl w:val="0"/>
          <w:numId w:val="15"/>
        </w:numPr>
        <w:rPr>
          <w:i/>
          <w:kern w:val="28"/>
        </w:rPr>
      </w:pPr>
      <w:r w:rsidRPr="00100AF5">
        <w:rPr>
          <w:i/>
          <w:kern w:val="28"/>
        </w:rPr>
        <w:t>Developing the organizational structure of the public administration and organizing its departments.</w:t>
      </w:r>
    </w:p>
    <w:p w:rsidR="00445839" w:rsidRPr="00100AF5" w:rsidRDefault="00445839" w:rsidP="00093C36">
      <w:pPr>
        <w:pStyle w:val="ListParagraph"/>
        <w:numPr>
          <w:ilvl w:val="0"/>
          <w:numId w:val="15"/>
        </w:numPr>
        <w:rPr>
          <w:i/>
          <w:kern w:val="28"/>
        </w:rPr>
      </w:pPr>
      <w:r w:rsidRPr="00100AF5">
        <w:rPr>
          <w:i/>
          <w:kern w:val="28"/>
        </w:rPr>
        <w:t>Setting the basis for the best methods to utilize human resources in public offices and drawing plans for their training and rehabilitation.</w:t>
      </w:r>
    </w:p>
    <w:p w:rsidR="00445839" w:rsidRPr="00100AF5" w:rsidRDefault="00445839" w:rsidP="00093C36">
      <w:pPr>
        <w:pStyle w:val="ListParagraph"/>
        <w:numPr>
          <w:ilvl w:val="0"/>
          <w:numId w:val="15"/>
        </w:numPr>
        <w:rPr>
          <w:i/>
          <w:kern w:val="28"/>
        </w:rPr>
      </w:pPr>
      <w:r w:rsidRPr="00100AF5">
        <w:rPr>
          <w:i/>
          <w:kern w:val="28"/>
        </w:rPr>
        <w:t>Studying projects for administrative regulatory systems and department organizational structures and offering consultancy.</w:t>
      </w:r>
    </w:p>
    <w:p w:rsidR="00445839" w:rsidRPr="00100AF5" w:rsidRDefault="00445839" w:rsidP="00093C36">
      <w:pPr>
        <w:pStyle w:val="ListParagraph"/>
        <w:numPr>
          <w:ilvl w:val="0"/>
          <w:numId w:val="15"/>
        </w:numPr>
        <w:rPr>
          <w:i/>
          <w:kern w:val="28"/>
        </w:rPr>
      </w:pPr>
      <w:r w:rsidRPr="00100AF5">
        <w:rPr>
          <w:i/>
          <w:kern w:val="28"/>
        </w:rPr>
        <w:t>Coordinating with the General Budget Department and other departments to study their needs for jobs; following up on the proper adoption of job descriptions and classifications and setting up employment tables based on these descriptions and classifications.</w:t>
      </w:r>
    </w:p>
    <w:p w:rsidR="00445839" w:rsidRPr="00100AF5" w:rsidRDefault="00445839" w:rsidP="00093C36">
      <w:pPr>
        <w:pStyle w:val="ListParagraph"/>
        <w:numPr>
          <w:ilvl w:val="0"/>
          <w:numId w:val="15"/>
        </w:numPr>
        <w:rPr>
          <w:i/>
          <w:kern w:val="28"/>
        </w:rPr>
      </w:pPr>
      <w:r w:rsidRPr="00100AF5">
        <w:rPr>
          <w:i/>
          <w:kern w:val="28"/>
        </w:rPr>
        <w:t>Employing modern administration methods for better performance at the departments.</w:t>
      </w:r>
    </w:p>
    <w:p w:rsidR="00445839" w:rsidRPr="00100AF5" w:rsidRDefault="00445839" w:rsidP="00093C36">
      <w:pPr>
        <w:pStyle w:val="ListParagraph"/>
        <w:numPr>
          <w:ilvl w:val="0"/>
          <w:numId w:val="15"/>
        </w:numPr>
        <w:rPr>
          <w:i/>
          <w:kern w:val="28"/>
        </w:rPr>
      </w:pPr>
      <w:r w:rsidRPr="00100AF5">
        <w:rPr>
          <w:i/>
          <w:kern w:val="28"/>
        </w:rPr>
        <w:t>Preparing databases on department personnel, and updating and developing them periodically by employing the proper means.</w:t>
      </w:r>
    </w:p>
    <w:p w:rsidR="00445839" w:rsidRPr="00100AF5" w:rsidRDefault="00445839" w:rsidP="00093C36">
      <w:pPr>
        <w:pStyle w:val="ListParagraph"/>
        <w:numPr>
          <w:ilvl w:val="0"/>
          <w:numId w:val="15"/>
        </w:numPr>
        <w:rPr>
          <w:i/>
          <w:kern w:val="28"/>
        </w:rPr>
      </w:pPr>
      <w:r w:rsidRPr="00100AF5">
        <w:rPr>
          <w:i/>
          <w:kern w:val="28"/>
        </w:rPr>
        <w:t>Issuing a publication on administrative development issues.</w:t>
      </w:r>
    </w:p>
    <w:p w:rsidR="00445839" w:rsidRPr="00100AF5" w:rsidRDefault="00445839" w:rsidP="00093C36">
      <w:pPr>
        <w:pStyle w:val="ListParagraph"/>
        <w:numPr>
          <w:ilvl w:val="0"/>
          <w:numId w:val="15"/>
        </w:numPr>
        <w:rPr>
          <w:i/>
          <w:kern w:val="28"/>
        </w:rPr>
      </w:pPr>
      <w:r w:rsidRPr="00100AF5">
        <w:rPr>
          <w:i/>
          <w:kern w:val="28"/>
        </w:rPr>
        <w:t xml:space="preserve">Offering consultancy on issues referred (to the Ministry) from other departments that fall under its authority. </w:t>
      </w:r>
    </w:p>
    <w:p w:rsidR="0026450A" w:rsidRDefault="00425BEB" w:rsidP="00445839">
      <w:r w:rsidRPr="00100AF5">
        <w:t xml:space="preserve">The </w:t>
      </w:r>
      <w:proofErr w:type="spellStart"/>
      <w:r w:rsidRPr="00100AF5">
        <w:t>MoPSD</w:t>
      </w:r>
      <w:proofErr w:type="spellEnd"/>
      <w:r w:rsidRPr="00100AF5">
        <w:t xml:space="preserve"> roles and mandate</w:t>
      </w:r>
      <w:r w:rsidR="00445839" w:rsidRPr="00100AF5">
        <w:t xml:space="preserve"> </w:t>
      </w:r>
      <w:r w:rsidRPr="00100AF5">
        <w:t xml:space="preserve">represent therefore a development and an enlargement of PSRD, which was focused mainly on service delivery. Such new mandate should perhaps have been better taken into consideration in the implementation of the Project. </w:t>
      </w:r>
    </w:p>
    <w:p w:rsidR="00425BEB" w:rsidRPr="00100AF5" w:rsidRDefault="0026450A" w:rsidP="00445839">
      <w:r>
        <w:t>M</w:t>
      </w:r>
      <w:r w:rsidR="00425BEB" w:rsidRPr="00100AF5">
        <w:t>ost resources of the ministry are spent on SDI</w:t>
      </w:r>
      <w:r>
        <w:t xml:space="preserve"> and the main</w:t>
      </w:r>
      <w:r w:rsidR="00FE5F23" w:rsidRPr="00100AF5">
        <w:t xml:space="preserve"> notable results of </w:t>
      </w:r>
      <w:proofErr w:type="spellStart"/>
      <w:r w:rsidR="00FE5F23" w:rsidRPr="00100AF5">
        <w:t>MoPSD</w:t>
      </w:r>
      <w:proofErr w:type="spellEnd"/>
      <w:r w:rsidR="00FE5F23" w:rsidRPr="00100AF5">
        <w:t xml:space="preserve"> are to be found in that area. O</w:t>
      </w:r>
      <w:r w:rsidR="00425BEB" w:rsidRPr="00100AF5">
        <w:t xml:space="preserve">ther </w:t>
      </w:r>
      <w:proofErr w:type="spellStart"/>
      <w:r w:rsidR="00425BEB" w:rsidRPr="00100AF5">
        <w:t>MoPSD</w:t>
      </w:r>
      <w:proofErr w:type="spellEnd"/>
      <w:r w:rsidR="00425BEB" w:rsidRPr="00100AF5">
        <w:t xml:space="preserve"> directorates having a broader scope and a mid- or long-term impact (Streamlining, M&amp;E</w:t>
      </w:r>
      <w:r w:rsidR="00102D85">
        <w:t>, HRM</w:t>
      </w:r>
      <w:r w:rsidR="00425BEB" w:rsidRPr="00100AF5">
        <w:t xml:space="preserve">) are still at early stage of development, mainly due to political reasons and to the </w:t>
      </w:r>
      <w:proofErr w:type="spellStart"/>
      <w:r w:rsidR="00425BEB" w:rsidRPr="00100AF5">
        <w:t>GoJ</w:t>
      </w:r>
      <w:proofErr w:type="spellEnd"/>
      <w:r w:rsidR="00425BEB" w:rsidRPr="00100AF5">
        <w:t xml:space="preserve"> indecision on features and modalities of the public sector reform. </w:t>
      </w:r>
      <w:r w:rsidR="00FE5F23" w:rsidRPr="00100AF5">
        <w:t xml:space="preserve">This was also due to high turnover of key decision makers in the ministry: from 2006 to date </w:t>
      </w:r>
      <w:proofErr w:type="spellStart"/>
      <w:r w:rsidR="00FE5F23" w:rsidRPr="00100AF5">
        <w:t>MoPSD</w:t>
      </w:r>
      <w:proofErr w:type="spellEnd"/>
      <w:r w:rsidR="00FE5F23" w:rsidRPr="00100AF5">
        <w:t xml:space="preserve"> </w:t>
      </w:r>
      <w:r w:rsidR="00D60C95" w:rsidRPr="00100AF5">
        <w:t>changed 6 Ministers and 3</w:t>
      </w:r>
      <w:r w:rsidR="00FE5F23" w:rsidRPr="00100AF5">
        <w:t xml:space="preserve"> Secretaries General. All this reflects heavy uncertainties by the </w:t>
      </w:r>
      <w:proofErr w:type="spellStart"/>
      <w:r w:rsidR="00FE5F23" w:rsidRPr="00100AF5">
        <w:t>GoJ</w:t>
      </w:r>
      <w:proofErr w:type="spellEnd"/>
      <w:r w:rsidR="00FE5F23" w:rsidRPr="00100AF5">
        <w:t xml:space="preserve"> side on pace, features and modalities of the reform, as well on its place in the National Agenda.</w:t>
      </w:r>
    </w:p>
    <w:p w:rsidR="00480687" w:rsidRPr="00100AF5" w:rsidRDefault="00480687" w:rsidP="00480687">
      <w:pPr>
        <w:pStyle w:val="Heading3"/>
      </w:pPr>
      <w:bookmarkStart w:id="116" w:name="_Toc273263518"/>
      <w:bookmarkStart w:id="117" w:name="_Toc273263654"/>
      <w:bookmarkStart w:id="118" w:name="_Toc276461267"/>
      <w:r w:rsidRPr="00100AF5">
        <w:t>Relevance to UNDP</w:t>
      </w:r>
      <w:bookmarkEnd w:id="116"/>
      <w:bookmarkEnd w:id="117"/>
      <w:bookmarkEnd w:id="118"/>
    </w:p>
    <w:p w:rsidR="00D971EF" w:rsidRPr="00100AF5" w:rsidRDefault="00D971EF" w:rsidP="00D971EF">
      <w:pPr>
        <w:pBdr>
          <w:top w:val="single" w:sz="4" w:space="1" w:color="auto"/>
          <w:left w:val="single" w:sz="4" w:space="4" w:color="auto"/>
          <w:bottom w:val="single" w:sz="4" w:space="1" w:color="auto"/>
          <w:right w:val="single" w:sz="4" w:space="4" w:color="auto"/>
        </w:pBdr>
        <w:rPr>
          <w:sz w:val="22"/>
        </w:rPr>
      </w:pPr>
      <w:r w:rsidRPr="00100AF5">
        <w:rPr>
          <w:rFonts w:ascii="Palatino Linotype" w:hAnsi="Palatino Linotype"/>
          <w:sz w:val="20"/>
          <w:szCs w:val="22"/>
        </w:rPr>
        <w:t>Was the project relevant, appropriate and strategic to UNDP mandate?</w:t>
      </w:r>
    </w:p>
    <w:p w:rsidR="00FE5F23" w:rsidRPr="00100AF5" w:rsidRDefault="00441D5D" w:rsidP="0026450A">
      <w:r w:rsidRPr="00100AF5">
        <w:t>T</w:t>
      </w:r>
      <w:r w:rsidR="00FE5F23" w:rsidRPr="00100AF5">
        <w:t xml:space="preserve">he answer is yes. The project was in line with UNDP strategies and priorities. The project strategy and its activities were intended to achieve progress in Outcome Number 7 in the NHDR identified as “Improvement of Public Service…linked to Public Administration Reform.”  Additionally, the </w:t>
      </w:r>
      <w:r w:rsidR="00FE5F23" w:rsidRPr="00100AF5">
        <w:rPr>
          <w:i/>
        </w:rPr>
        <w:t>Intended Outcome</w:t>
      </w:r>
      <w:r w:rsidR="00FE5F23" w:rsidRPr="00100AF5">
        <w:t xml:space="preserve"> and </w:t>
      </w:r>
      <w:r w:rsidR="00FE5F23" w:rsidRPr="00100AF5">
        <w:rPr>
          <w:i/>
        </w:rPr>
        <w:t>Strategy</w:t>
      </w:r>
      <w:r w:rsidR="00FE5F23" w:rsidRPr="00100AF5">
        <w:t xml:space="preserve"> are linked to: (i) MYFF Goal l -</w:t>
      </w:r>
      <w:r w:rsidR="00FE5F23" w:rsidRPr="00100AF5">
        <w:rPr>
          <w:b/>
        </w:rPr>
        <w:t xml:space="preserve"> </w:t>
      </w:r>
      <w:r w:rsidR="00FE5F23" w:rsidRPr="00100AF5">
        <w:t>Achieving the MDGs, SL 1.5 Private Sector Development and SL 1.7 Civil Society Empowerment; (ii) Goal 2 - Policy Support for Democratic Governance, SL 2.1 Policy Support for Democratic Governance and SL 2.7:</w:t>
      </w:r>
      <w:r w:rsidR="00FE5F23" w:rsidRPr="00100AF5">
        <w:rPr>
          <w:b/>
        </w:rPr>
        <w:t xml:space="preserve"> </w:t>
      </w:r>
      <w:r w:rsidR="00FE5F23" w:rsidRPr="00100AF5">
        <w:t xml:space="preserve">Public administration reform and anti-corruption; (ii) UNDAF - Enhanced quality of life for the population through improved health and education services; (iii) to MDGs - Building public services that are cost-efficient and results-oriented, transparent, responsive and accountable to the needs of citizens. </w:t>
      </w:r>
    </w:p>
    <w:p w:rsidR="00520F31" w:rsidRPr="00100AF5" w:rsidRDefault="00520F31" w:rsidP="00103E1C">
      <w:pPr>
        <w:rPr>
          <w:rFonts w:eastAsiaTheme="minorHAnsi"/>
        </w:rPr>
      </w:pPr>
      <w:r w:rsidRPr="00100AF5">
        <w:rPr>
          <w:rFonts w:eastAsiaTheme="minorHAnsi"/>
        </w:rPr>
        <w:t xml:space="preserve">The 2004 Jordan Human Development </w:t>
      </w:r>
      <w:r w:rsidR="00103E1C" w:rsidRPr="00100AF5">
        <w:rPr>
          <w:rFonts w:eastAsiaTheme="minorHAnsi"/>
        </w:rPr>
        <w:t>Report for Jordan stressed that</w:t>
      </w:r>
      <w:r w:rsidRPr="00100AF5">
        <w:rPr>
          <w:rFonts w:eastAsiaTheme="minorHAnsi"/>
        </w:rPr>
        <w:t xml:space="preserve"> strong political dimension</w:t>
      </w:r>
    </w:p>
    <w:p w:rsidR="00520F31" w:rsidRPr="00100AF5" w:rsidRDefault="00520F31" w:rsidP="00103E1C">
      <w:pPr>
        <w:spacing w:before="0"/>
        <w:rPr>
          <w:rFonts w:eastAsiaTheme="minorHAnsi"/>
          <w:i/>
        </w:rPr>
      </w:pPr>
      <w:r w:rsidRPr="00100AF5">
        <w:rPr>
          <w:rFonts w:eastAsiaTheme="minorHAnsi"/>
        </w:rPr>
        <w:lastRenderedPageBreak/>
        <w:t>is required in the public sector reform and par</w:t>
      </w:r>
      <w:r w:rsidR="004B5B52">
        <w:rPr>
          <w:rFonts w:eastAsiaTheme="minorHAnsi"/>
        </w:rPr>
        <w:t xml:space="preserve">ticularly in service delivery: </w:t>
      </w:r>
      <w:r w:rsidRPr="00100AF5">
        <w:rPr>
          <w:rFonts w:eastAsiaTheme="minorHAnsi"/>
        </w:rPr>
        <w:t xml:space="preserve"> </w:t>
      </w:r>
      <w:r w:rsidRPr="00100AF5">
        <w:rPr>
          <w:rFonts w:eastAsiaTheme="minorHAnsi"/>
          <w:i/>
        </w:rPr>
        <w:t>A process of “deep democratic</w:t>
      </w:r>
      <w:r w:rsidR="00103E1C" w:rsidRPr="00100AF5">
        <w:rPr>
          <w:rFonts w:eastAsiaTheme="minorHAnsi"/>
          <w:i/>
        </w:rPr>
        <w:t xml:space="preserve"> </w:t>
      </w:r>
      <w:r w:rsidRPr="00100AF5">
        <w:rPr>
          <w:rFonts w:eastAsiaTheme="minorHAnsi"/>
          <w:i/>
        </w:rPr>
        <w:t>decentralisation” is needed, which addresses issues of empowerment, participation,-ownership, rights, entitlements and responsibilitie</w:t>
      </w:r>
      <w:r w:rsidR="004B5B52">
        <w:rPr>
          <w:rFonts w:eastAsiaTheme="minorHAnsi"/>
          <w:i/>
        </w:rPr>
        <w:t>s.</w:t>
      </w:r>
      <w:r w:rsidRPr="00100AF5">
        <w:rPr>
          <w:rFonts w:eastAsiaTheme="minorHAnsi"/>
          <w:i/>
          <w:sz w:val="13"/>
          <w:szCs w:val="13"/>
        </w:rPr>
        <w:t xml:space="preserve"> </w:t>
      </w:r>
      <w:r w:rsidRPr="00100AF5">
        <w:rPr>
          <w:rFonts w:eastAsiaTheme="minorHAnsi"/>
          <w:i/>
        </w:rPr>
        <w:t>To a large extent, this will depend on civil society playing a more active role.</w:t>
      </w:r>
      <w:r w:rsidRPr="00100AF5">
        <w:rPr>
          <w:rStyle w:val="FootnoteReference"/>
          <w:rFonts w:eastAsiaTheme="minorHAnsi"/>
          <w:i/>
        </w:rPr>
        <w:footnoteReference w:id="24"/>
      </w:r>
    </w:p>
    <w:p w:rsidR="00430043" w:rsidRPr="00100AF5" w:rsidRDefault="00FE5F23" w:rsidP="00FE5F23">
      <w:pPr>
        <w:pStyle w:val="Heading3"/>
      </w:pPr>
      <w:bookmarkStart w:id="119" w:name="_Toc273263519"/>
      <w:bookmarkStart w:id="120" w:name="_Toc273263655"/>
      <w:bookmarkStart w:id="121" w:name="_Toc276461268"/>
      <w:r w:rsidRPr="00100AF5">
        <w:t>Conclusions</w:t>
      </w:r>
      <w:bookmarkEnd w:id="119"/>
      <w:bookmarkEnd w:id="120"/>
      <w:bookmarkEnd w:id="121"/>
    </w:p>
    <w:p w:rsidR="00430043" w:rsidRPr="00100AF5" w:rsidRDefault="00FE5F23" w:rsidP="00430043">
      <w:r w:rsidRPr="00100AF5">
        <w:t>The project was a</w:t>
      </w:r>
      <w:r w:rsidR="00430043" w:rsidRPr="00100AF5">
        <w:t>ppropriate at that moment</w:t>
      </w:r>
      <w:r w:rsidRPr="00100AF5">
        <w:t xml:space="preserve"> and suitable to what were the </w:t>
      </w:r>
      <w:proofErr w:type="spellStart"/>
      <w:r w:rsidRPr="00100AF5">
        <w:t>GoJ</w:t>
      </w:r>
      <w:proofErr w:type="spellEnd"/>
      <w:r w:rsidRPr="00100AF5">
        <w:t xml:space="preserve"> in the field of public sector development. However, </w:t>
      </w:r>
      <w:r w:rsidR="004B5B52">
        <w:t xml:space="preserve">Government </w:t>
      </w:r>
      <w:r w:rsidRPr="00100AF5">
        <w:t xml:space="preserve">instability and continuous delays in the public sector reform process </w:t>
      </w:r>
      <w:r w:rsidR="00F136A5" w:rsidRPr="00100AF5">
        <w:t xml:space="preserve">have partially hampered the achievement of results. </w:t>
      </w:r>
    </w:p>
    <w:p w:rsidR="00F136A5" w:rsidRPr="00100AF5" w:rsidRDefault="00F136A5" w:rsidP="00430043">
      <w:r w:rsidRPr="00100AF5">
        <w:t>On the UNDP side, the project was highly relevant and responded appropriately to the development agenda set out in UNDP’s country strategies and in its overall priorities.</w:t>
      </w:r>
    </w:p>
    <w:p w:rsidR="00F136A5" w:rsidRPr="00100AF5" w:rsidRDefault="00F136A5" w:rsidP="00430043">
      <w:r w:rsidRPr="00100AF5">
        <w:t xml:space="preserve">The obstacles described above might perhaps have been minimized if the project had taken into consideration the absence of a proper legislative framework and of properly endorsed and agreed </w:t>
      </w:r>
      <w:r w:rsidR="00EF724E" w:rsidRPr="00100AF5">
        <w:t xml:space="preserve">upon </w:t>
      </w:r>
      <w:r w:rsidRPr="00100AF5">
        <w:t>national strategies.</w:t>
      </w:r>
    </w:p>
    <w:p w:rsidR="00430043" w:rsidRPr="00100AF5" w:rsidRDefault="00430043" w:rsidP="00430043"/>
    <w:p w:rsidR="008E4654" w:rsidRPr="00100AF5" w:rsidRDefault="008E4654" w:rsidP="00D971EF">
      <w:pPr>
        <w:pStyle w:val="Heading2"/>
        <w:spacing w:before="120" w:after="120"/>
      </w:pPr>
      <w:bookmarkStart w:id="122" w:name="_Toc273263520"/>
      <w:bookmarkStart w:id="123" w:name="_Toc273263656"/>
      <w:bookmarkStart w:id="124" w:name="_Toc276461269"/>
      <w:r w:rsidRPr="00100AF5">
        <w:t>Effectiveness and efficiency</w:t>
      </w:r>
      <w:bookmarkEnd w:id="122"/>
      <w:bookmarkEnd w:id="123"/>
      <w:bookmarkEnd w:id="124"/>
    </w:p>
    <w:p w:rsidR="00480687" w:rsidRPr="00100AF5" w:rsidRDefault="00480687" w:rsidP="00480687">
      <w:pPr>
        <w:pStyle w:val="Heading3"/>
      </w:pPr>
      <w:bookmarkStart w:id="125" w:name="_Toc273263521"/>
      <w:bookmarkStart w:id="126" w:name="_Toc273263657"/>
      <w:bookmarkStart w:id="127" w:name="_Toc276461270"/>
      <w:r w:rsidRPr="00100AF5">
        <w:t>Effectiveness</w:t>
      </w:r>
      <w:bookmarkEnd w:id="125"/>
      <w:bookmarkEnd w:id="126"/>
      <w:bookmarkEnd w:id="127"/>
    </w:p>
    <w:p w:rsidR="00480687" w:rsidRPr="00100AF5" w:rsidRDefault="00480687" w:rsidP="00EF724E">
      <w:pPr>
        <w:pBdr>
          <w:top w:val="single" w:sz="4" w:space="1" w:color="auto"/>
          <w:left w:val="single" w:sz="4" w:space="2" w:color="auto"/>
          <w:bottom w:val="single" w:sz="4" w:space="1" w:color="auto"/>
          <w:right w:val="single" w:sz="4" w:space="4" w:color="auto"/>
        </w:pBdr>
      </w:pPr>
      <w:r w:rsidRPr="00100AF5">
        <w:rPr>
          <w:rFonts w:ascii="Palatino Linotype" w:hAnsi="Palatino Linotype"/>
          <w:sz w:val="20"/>
          <w:szCs w:val="22"/>
        </w:rPr>
        <w:t>Were the actions to achieve the outputs and outcomes effective?</w:t>
      </w:r>
    </w:p>
    <w:p w:rsidR="00EF724E" w:rsidRPr="00100AF5" w:rsidRDefault="00EF724E" w:rsidP="00EF724E">
      <w:pPr>
        <w:tabs>
          <w:tab w:val="left" w:pos="732"/>
        </w:tabs>
        <w:spacing w:after="120"/>
      </w:pPr>
      <w:r w:rsidRPr="00100AF5">
        <w:t>The project document mentions the following results:</w:t>
      </w:r>
    </w:p>
    <w:p w:rsidR="00EF724E" w:rsidRPr="00100AF5" w:rsidRDefault="00EF724E" w:rsidP="00093C36">
      <w:pPr>
        <w:numPr>
          <w:ilvl w:val="0"/>
          <w:numId w:val="17"/>
        </w:numPr>
        <w:tabs>
          <w:tab w:val="left" w:pos="732"/>
        </w:tabs>
        <w:spacing w:before="0"/>
        <w:rPr>
          <w:i/>
        </w:rPr>
      </w:pPr>
      <w:r w:rsidRPr="00100AF5">
        <w:rPr>
          <w:i/>
        </w:rPr>
        <w:t>Strengthened Project Coordination Unit to coordinate all project activities and to ensure that timelines are met,</w:t>
      </w:r>
    </w:p>
    <w:p w:rsidR="00EF724E" w:rsidRPr="00100AF5" w:rsidRDefault="00EF724E" w:rsidP="00093C36">
      <w:pPr>
        <w:numPr>
          <w:ilvl w:val="0"/>
          <w:numId w:val="17"/>
        </w:numPr>
        <w:tabs>
          <w:tab w:val="left" w:pos="732"/>
        </w:tabs>
        <w:spacing w:before="0"/>
        <w:rPr>
          <w:i/>
        </w:rPr>
      </w:pPr>
      <w:r w:rsidRPr="00100AF5">
        <w:rPr>
          <w:i/>
        </w:rPr>
        <w:t>Capacities of PSRD strengthened to deliver the Service Delivery Improvement System;</w:t>
      </w:r>
    </w:p>
    <w:p w:rsidR="00EF724E" w:rsidRPr="00100AF5" w:rsidRDefault="00EF724E" w:rsidP="00093C36">
      <w:pPr>
        <w:numPr>
          <w:ilvl w:val="0"/>
          <w:numId w:val="17"/>
        </w:numPr>
        <w:tabs>
          <w:tab w:val="left" w:pos="732"/>
        </w:tabs>
        <w:spacing w:before="0"/>
        <w:rPr>
          <w:i/>
        </w:rPr>
      </w:pPr>
      <w:r w:rsidRPr="00100AF5">
        <w:rPr>
          <w:i/>
        </w:rPr>
        <w:t xml:space="preserve"> Strategy and plan for a unified monitoring and evaluation system [linking the policy level and the operational level performance measurement systems] developed, and</w:t>
      </w:r>
    </w:p>
    <w:p w:rsidR="00EF724E" w:rsidRPr="00100AF5" w:rsidRDefault="00EF724E" w:rsidP="00093C36">
      <w:pPr>
        <w:numPr>
          <w:ilvl w:val="0"/>
          <w:numId w:val="17"/>
        </w:numPr>
        <w:tabs>
          <w:tab w:val="left" w:pos="732"/>
        </w:tabs>
        <w:spacing w:before="0"/>
        <w:ind w:left="720" w:hanging="360"/>
        <w:rPr>
          <w:i/>
        </w:rPr>
      </w:pPr>
      <w:r w:rsidRPr="00043612">
        <w:rPr>
          <w:i/>
        </w:rPr>
        <w:t>National Strategy and plan for implementation of SDIS (service delivery improvement system) system government-wide developed</w:t>
      </w:r>
      <w:r w:rsidRPr="00100AF5">
        <w:rPr>
          <w:i/>
        </w:rPr>
        <w:t xml:space="preserve"> and for institutional capacity building needs to support SDIS</w:t>
      </w:r>
      <w:r w:rsidRPr="00100AF5">
        <w:rPr>
          <w:rStyle w:val="FootnoteReference"/>
          <w:i/>
        </w:rPr>
        <w:footnoteReference w:id="25"/>
      </w:r>
      <w:r w:rsidRPr="00100AF5">
        <w:rPr>
          <w:i/>
        </w:rPr>
        <w:t>.</w:t>
      </w:r>
    </w:p>
    <w:p w:rsidR="00C0482B" w:rsidRPr="00100AF5" w:rsidRDefault="00B612BC" w:rsidP="008619E2">
      <w:pPr>
        <w:pStyle w:val="Heading4"/>
      </w:pPr>
      <w:r w:rsidRPr="00100AF5">
        <w:t xml:space="preserve"> </w:t>
      </w:r>
      <w:bookmarkStart w:id="128" w:name="_Toc276461271"/>
      <w:r w:rsidRPr="00100AF5">
        <w:t>Strengthened Project Coordination Unit</w:t>
      </w:r>
      <w:bookmarkEnd w:id="128"/>
    </w:p>
    <w:p w:rsidR="005A0F65" w:rsidRPr="00100AF5" w:rsidRDefault="00B612BC" w:rsidP="00B612BC">
      <w:r w:rsidRPr="00100AF5">
        <w:t xml:space="preserve">This – as stated above – cannot be considered a result but rather one of the activities meant to achieve project results. In any case, a project manager position was assigned at the PRSD and subsequently moved to </w:t>
      </w:r>
      <w:proofErr w:type="spellStart"/>
      <w:r w:rsidRPr="00100AF5">
        <w:t>MoPSD</w:t>
      </w:r>
      <w:proofErr w:type="spellEnd"/>
      <w:r w:rsidRPr="00100AF5">
        <w:t>. There have been several changes of staff in that position</w:t>
      </w:r>
      <w:r w:rsidR="00772DD4">
        <w:t xml:space="preserve">. </w:t>
      </w:r>
      <w:r w:rsidRPr="00100AF5">
        <w:t xml:space="preserve">The last project manager was appointed in July 2008 and remained until the Project’s end, in July 2010. Reportedly </w:t>
      </w:r>
      <w:r w:rsidR="005A0F65" w:rsidRPr="00100AF5">
        <w:t>- and</w:t>
      </w:r>
      <w:r w:rsidRPr="00100AF5">
        <w:t xml:space="preserve"> considering the </w:t>
      </w:r>
      <w:r w:rsidR="005A0F65" w:rsidRPr="00100AF5">
        <w:t>quality</w:t>
      </w:r>
      <w:r w:rsidRPr="00100AF5">
        <w:t xml:space="preserve"> </w:t>
      </w:r>
      <w:r w:rsidR="005A0F65" w:rsidRPr="00100AF5">
        <w:t xml:space="preserve">and timing </w:t>
      </w:r>
      <w:r w:rsidRPr="00100AF5">
        <w:t>of project documentation ma</w:t>
      </w:r>
      <w:r w:rsidR="005A0F65" w:rsidRPr="00100AF5">
        <w:t>de available to the Consultant -</w:t>
      </w:r>
      <w:r w:rsidRPr="00100AF5">
        <w:t xml:space="preserve"> work performed by project managers was </w:t>
      </w:r>
      <w:r w:rsidR="005A0F65" w:rsidRPr="00100AF5">
        <w:t xml:space="preserve">unsatisfactory. Poor document value and lack of communication and information to key staff have heavily hindered the Project performance, as well staff motivation and commitment. </w:t>
      </w:r>
    </w:p>
    <w:p w:rsidR="005A0F65" w:rsidRPr="00100AF5" w:rsidRDefault="005A0F65" w:rsidP="008619E2">
      <w:pPr>
        <w:pStyle w:val="Heading4"/>
      </w:pPr>
      <w:bookmarkStart w:id="129" w:name="_Toc276461272"/>
      <w:r w:rsidRPr="00100AF5">
        <w:lastRenderedPageBreak/>
        <w:t>Capacities of PSRD strengthened to deliver the Service Delivery Improvement System</w:t>
      </w:r>
      <w:bookmarkEnd w:id="129"/>
    </w:p>
    <w:p w:rsidR="00D55FD1" w:rsidRPr="00100AF5" w:rsidRDefault="005A0F65" w:rsidP="00B612BC">
      <w:r w:rsidRPr="00100AF5">
        <w:t xml:space="preserve">On </w:t>
      </w:r>
      <w:proofErr w:type="spellStart"/>
      <w:r w:rsidRPr="00100AF5">
        <w:t>MoPSD</w:t>
      </w:r>
      <w:proofErr w:type="spellEnd"/>
      <w:r w:rsidRPr="00100AF5">
        <w:t xml:space="preserve"> side, continuous changes in its strate</w:t>
      </w:r>
      <w:r w:rsidR="00CA69AD">
        <w:t>gic directions due to government instab</w:t>
      </w:r>
      <w:r w:rsidRPr="00100AF5">
        <w:t>ility and high staff turnover have negatively impacted on the Project implementation and results.</w:t>
      </w:r>
      <w:r w:rsidR="00B57217" w:rsidRPr="00100AF5">
        <w:t xml:space="preserve"> It is reported that at least two years of the project lifespan, 2006 and 2007, have been wasted in absence of proper inputs and absence of project managers in the Ministry. </w:t>
      </w:r>
    </w:p>
    <w:p w:rsidR="00B612BC" w:rsidRPr="00100AF5" w:rsidRDefault="00B57217" w:rsidP="00B612BC">
      <w:r w:rsidRPr="00100AF5">
        <w:t>In any case, the Project managed to carry out the following activities:</w:t>
      </w:r>
    </w:p>
    <w:p w:rsidR="00A40F85" w:rsidRPr="00100AF5" w:rsidRDefault="00A40F85" w:rsidP="00093C36">
      <w:pPr>
        <w:pStyle w:val="ListParagraph"/>
        <w:numPr>
          <w:ilvl w:val="0"/>
          <w:numId w:val="18"/>
        </w:numPr>
        <w:spacing w:before="100" w:beforeAutospacing="1" w:after="100" w:afterAutospacing="1"/>
        <w:rPr>
          <w:rFonts w:cs="Times New Roman"/>
          <w:i/>
        </w:rPr>
      </w:pPr>
      <w:r w:rsidRPr="00100AF5">
        <w:rPr>
          <w:rFonts w:cs="Simplified Arabic"/>
          <w:i/>
        </w:rPr>
        <w:t>Training of service delivery improvement teams</w:t>
      </w:r>
    </w:p>
    <w:p w:rsidR="0063122C" w:rsidRPr="00100AF5" w:rsidRDefault="0063122C" w:rsidP="0063122C">
      <w:pPr>
        <w:spacing w:before="100" w:beforeAutospacing="1" w:after="100" w:afterAutospacing="1"/>
        <w:ind w:left="360"/>
        <w:rPr>
          <w:rFonts w:cs="Times New Roman"/>
        </w:rPr>
      </w:pPr>
      <w:r w:rsidRPr="00CA69AD">
        <w:rPr>
          <w:rFonts w:cs="Simplified Arabic"/>
        </w:rPr>
        <w:t>This training exercise is also called Capacity Building (CB) I. It f</w:t>
      </w:r>
      <w:r w:rsidRPr="00CA69AD">
        <w:t xml:space="preserve">ocused on strengthening Performance Improvement Units (PIUs, later called </w:t>
      </w:r>
      <w:r w:rsidRPr="00CA69AD">
        <w:rPr>
          <w:rFonts w:cs="Simplified Arabic"/>
        </w:rPr>
        <w:t>Policies and Institutional Development Units - PIDU</w:t>
      </w:r>
      <w:r w:rsidRPr="00CA69AD">
        <w:t>) within selected institutions.</w:t>
      </w:r>
      <w:r w:rsidR="00CA69AD">
        <w:t xml:space="preserve"> </w:t>
      </w:r>
      <w:r w:rsidR="00FB1F8D" w:rsidRPr="00100AF5">
        <w:rPr>
          <w:rFonts w:cs="Simplified Arabic"/>
        </w:rPr>
        <w:t xml:space="preserve">Training consisted in awareness modules, delivered by </w:t>
      </w:r>
      <w:r w:rsidR="00A40F85" w:rsidRPr="00100AF5">
        <w:rPr>
          <w:rFonts w:cs="Simplified Arabic"/>
        </w:rPr>
        <w:t>peer teams</w:t>
      </w:r>
      <w:r w:rsidR="00FB1F8D" w:rsidRPr="00100AF5">
        <w:rPr>
          <w:rFonts w:cs="Simplified Arabic"/>
        </w:rPr>
        <w:t xml:space="preserve"> of the </w:t>
      </w:r>
      <w:proofErr w:type="spellStart"/>
      <w:r w:rsidR="00FB1F8D" w:rsidRPr="00100AF5">
        <w:rPr>
          <w:rFonts w:cs="Simplified Arabic"/>
        </w:rPr>
        <w:t>MoPSD</w:t>
      </w:r>
      <w:proofErr w:type="spellEnd"/>
      <w:r w:rsidR="00FB1F8D" w:rsidRPr="00100AF5">
        <w:rPr>
          <w:rFonts w:cs="Simplified Arabic"/>
        </w:rPr>
        <w:t xml:space="preserve"> to 100 staff of the </w:t>
      </w:r>
      <w:r w:rsidRPr="00100AF5">
        <w:rPr>
          <w:rFonts w:cs="Simplified Arabic"/>
        </w:rPr>
        <w:t>PIDUs</w:t>
      </w:r>
      <w:r w:rsidR="00FB1F8D" w:rsidRPr="00100AF5">
        <w:rPr>
          <w:rFonts w:cs="Simplified Arabic"/>
        </w:rPr>
        <w:t xml:space="preserve"> in relevant Ministries</w:t>
      </w:r>
      <w:r w:rsidR="00CA69AD">
        <w:rPr>
          <w:rFonts w:cs="Simplified Arabic"/>
        </w:rPr>
        <w:t>.</w:t>
      </w:r>
    </w:p>
    <w:p w:rsidR="00A40F85" w:rsidRPr="00100AF5" w:rsidRDefault="00FB1F8D" w:rsidP="00A40F85">
      <w:pPr>
        <w:spacing w:before="100" w:beforeAutospacing="1" w:after="100" w:afterAutospacing="1"/>
        <w:ind w:left="360"/>
        <w:rPr>
          <w:rFonts w:cs="Times New Roman"/>
        </w:rPr>
      </w:pPr>
      <w:r w:rsidRPr="00100AF5">
        <w:rPr>
          <w:rFonts w:cs="Simplified Arabic"/>
        </w:rPr>
        <w:t>The PIDU</w:t>
      </w:r>
      <w:r w:rsidR="0063122C" w:rsidRPr="00100AF5">
        <w:rPr>
          <w:rFonts w:cs="Simplified Arabic"/>
        </w:rPr>
        <w:t>s</w:t>
      </w:r>
      <w:r w:rsidRPr="00100AF5">
        <w:rPr>
          <w:rFonts w:cs="Simplified Arabic"/>
        </w:rPr>
        <w:t xml:space="preserve"> were established at Ministries involved in service delivery</w:t>
      </w:r>
      <w:r w:rsidR="00CA69AD">
        <w:rPr>
          <w:rFonts w:cs="Simplified Arabic"/>
        </w:rPr>
        <w:t>.</w:t>
      </w:r>
      <w:r w:rsidRPr="00100AF5">
        <w:rPr>
          <w:rFonts w:cs="Simplified Arabic"/>
        </w:rPr>
        <w:t xml:space="preserve"> Their main </w:t>
      </w:r>
      <w:r w:rsidR="00B36573" w:rsidRPr="00100AF5">
        <w:rPr>
          <w:rFonts w:cs="Simplified Arabic"/>
        </w:rPr>
        <w:t xml:space="preserve">task </w:t>
      </w:r>
      <w:r w:rsidR="0063122C" w:rsidRPr="00100AF5">
        <w:rPr>
          <w:rFonts w:cs="Simplified Arabic"/>
        </w:rPr>
        <w:t>is</w:t>
      </w:r>
      <w:r w:rsidRPr="00100AF5">
        <w:rPr>
          <w:rFonts w:cs="Simplified Arabic"/>
        </w:rPr>
        <w:t xml:space="preserve"> to enhance service delivery mechanisms. The training objective was</w:t>
      </w:r>
      <w:r w:rsidR="00A40F85" w:rsidRPr="00100AF5">
        <w:rPr>
          <w:rFonts w:cs="Simplified Arabic"/>
        </w:rPr>
        <w:t xml:space="preserve"> to build human capacity to improve services, institutionalize the SDI process and ensure sustainability.</w:t>
      </w:r>
      <w:r w:rsidR="00A40F85" w:rsidRPr="00100AF5">
        <w:rPr>
          <w:rFonts w:cs="Times New Roman"/>
        </w:rPr>
        <w:t xml:space="preserve"> </w:t>
      </w:r>
    </w:p>
    <w:p w:rsidR="00D06740" w:rsidRPr="00100AF5" w:rsidRDefault="00D06740" w:rsidP="00A40F85">
      <w:pPr>
        <w:spacing w:before="100" w:beforeAutospacing="1" w:after="100" w:afterAutospacing="1"/>
        <w:ind w:left="360"/>
        <w:rPr>
          <w:rFonts w:cs="Times New Roman"/>
          <w:highlight w:val="yellow"/>
        </w:rPr>
      </w:pPr>
      <w:r w:rsidRPr="00100AF5">
        <w:rPr>
          <w:rFonts w:cs="Simplified Arabic"/>
        </w:rPr>
        <w:t xml:space="preserve">Training was delivered by outsourced consultants paid under UNDP funds. </w:t>
      </w:r>
      <w:r w:rsidR="00FB1F8D" w:rsidRPr="00100AF5">
        <w:rPr>
          <w:rFonts w:cs="Times New Roman"/>
        </w:rPr>
        <w:t>I</w:t>
      </w:r>
      <w:r w:rsidRPr="00100AF5">
        <w:rPr>
          <w:rFonts w:cs="Times New Roman"/>
        </w:rPr>
        <w:t xml:space="preserve">t </w:t>
      </w:r>
      <w:r w:rsidR="00FB1F8D" w:rsidRPr="00100AF5">
        <w:rPr>
          <w:rFonts w:cs="Times New Roman"/>
        </w:rPr>
        <w:t>was focused on general awareness issue</w:t>
      </w:r>
      <w:r w:rsidRPr="00100AF5">
        <w:rPr>
          <w:rFonts w:cs="Times New Roman"/>
        </w:rPr>
        <w:t>s</w:t>
      </w:r>
      <w:r w:rsidR="00FB1F8D" w:rsidRPr="00100AF5">
        <w:rPr>
          <w:rFonts w:cs="Times New Roman"/>
        </w:rPr>
        <w:t xml:space="preserve"> on the concept of service delivery and customer orientation. </w:t>
      </w:r>
      <w:r w:rsidRPr="00100AF5">
        <w:rPr>
          <w:rFonts w:cs="Simplified Arabic"/>
        </w:rPr>
        <w:t>It also consisted of exercises on how to use the Toolkit</w:t>
      </w:r>
      <w:r w:rsidR="00CA69AD" w:rsidRPr="00CA69AD">
        <w:rPr>
          <w:rFonts w:cs="Times New Roman"/>
        </w:rPr>
        <w:t xml:space="preserve"> </w:t>
      </w:r>
      <w:r w:rsidR="00CA69AD" w:rsidRPr="00100AF5">
        <w:rPr>
          <w:rFonts w:cs="Times New Roman"/>
        </w:rPr>
        <w:t xml:space="preserve">developed in 2004 by </w:t>
      </w:r>
      <w:proofErr w:type="spellStart"/>
      <w:r w:rsidR="00CA69AD" w:rsidRPr="00100AF5">
        <w:rPr>
          <w:rFonts w:cs="Times New Roman"/>
        </w:rPr>
        <w:t>GoJ</w:t>
      </w:r>
      <w:proofErr w:type="spellEnd"/>
      <w:r w:rsidR="00CA69AD" w:rsidRPr="00100AF5">
        <w:rPr>
          <w:rFonts w:cs="Times New Roman"/>
        </w:rPr>
        <w:t>/Price Waterhouse</w:t>
      </w:r>
      <w:r w:rsidRPr="00100AF5">
        <w:rPr>
          <w:rFonts w:cs="Simplified Arabic"/>
        </w:rPr>
        <w:t xml:space="preserve">. </w:t>
      </w:r>
      <w:r w:rsidR="00FB1F8D" w:rsidRPr="00100AF5">
        <w:rPr>
          <w:rFonts w:cs="Times New Roman"/>
        </w:rPr>
        <w:t>The training material was uniquely the Toolkit.</w:t>
      </w:r>
    </w:p>
    <w:p w:rsidR="00D06740" w:rsidRPr="00100AF5" w:rsidRDefault="00FB1F8D" w:rsidP="00D06740">
      <w:pPr>
        <w:ind w:left="360"/>
        <w:rPr>
          <w:rFonts w:cs="Simplified Arabic"/>
        </w:rPr>
      </w:pPr>
      <w:r w:rsidRPr="00100AF5">
        <w:rPr>
          <w:rFonts w:cs="Times New Roman"/>
        </w:rPr>
        <w:t>Training was held in the National Training Institute</w:t>
      </w:r>
      <w:r w:rsidR="00CA69AD">
        <w:rPr>
          <w:rFonts w:cs="Times New Roman"/>
        </w:rPr>
        <w:t xml:space="preserve"> (NTI)</w:t>
      </w:r>
      <w:r w:rsidRPr="00100AF5">
        <w:rPr>
          <w:rFonts w:cs="Times New Roman"/>
        </w:rPr>
        <w:t xml:space="preserve">, an organisation falling under responsibilities of </w:t>
      </w:r>
      <w:proofErr w:type="spellStart"/>
      <w:r w:rsidRPr="00100AF5">
        <w:rPr>
          <w:rFonts w:cs="Times New Roman"/>
        </w:rPr>
        <w:t>MoPSD</w:t>
      </w:r>
      <w:proofErr w:type="spellEnd"/>
      <w:r w:rsidRPr="00100AF5">
        <w:rPr>
          <w:rFonts w:cs="Times New Roman"/>
        </w:rPr>
        <w:t>. NTI management reported to the Consultant that no track of courses is to be found there.</w:t>
      </w:r>
      <w:r w:rsidR="00D06740" w:rsidRPr="00100AF5">
        <w:rPr>
          <w:rFonts w:cs="Simplified Arabic"/>
        </w:rPr>
        <w:t xml:space="preserve"> </w:t>
      </w:r>
    </w:p>
    <w:p w:rsidR="00D06740" w:rsidRPr="00100AF5" w:rsidRDefault="00D06740" w:rsidP="00D06740">
      <w:pPr>
        <w:ind w:left="360"/>
        <w:rPr>
          <w:rFonts w:cs="Simplified Arabic"/>
        </w:rPr>
      </w:pPr>
      <w:r w:rsidRPr="00100AF5">
        <w:rPr>
          <w:rFonts w:cs="Simplified Arabic"/>
        </w:rPr>
        <w:t>Training was reportedly</w:t>
      </w:r>
      <w:r w:rsidR="007F31A4" w:rsidRPr="00100AF5">
        <w:rPr>
          <w:rFonts w:cs="Simplified Arabic"/>
        </w:rPr>
        <w:t xml:space="preserve"> received</w:t>
      </w:r>
      <w:r w:rsidR="0063122C" w:rsidRPr="00100AF5">
        <w:rPr>
          <w:rFonts w:cs="Simplified Arabic"/>
        </w:rPr>
        <w:t xml:space="preserve"> with a certain interest, and several</w:t>
      </w:r>
      <w:r w:rsidRPr="00100AF5">
        <w:rPr>
          <w:rFonts w:cs="Simplified Arabic"/>
        </w:rPr>
        <w:t xml:space="preserve"> MDAs are still cooperating with the </w:t>
      </w:r>
      <w:proofErr w:type="spellStart"/>
      <w:r w:rsidRPr="00100AF5">
        <w:rPr>
          <w:rFonts w:cs="Simplified Arabic"/>
        </w:rPr>
        <w:t>MoPSD</w:t>
      </w:r>
      <w:proofErr w:type="spellEnd"/>
      <w:r w:rsidRPr="00100AF5">
        <w:rPr>
          <w:rFonts w:cs="Simplified Arabic"/>
        </w:rPr>
        <w:t xml:space="preserve"> SDI Directorate to get support on implementation of the toolkit. However, SDI Directorate is aware that the present version of the Toolkit is heavy and difficult to be used, and has recruited consultants to work on its simplification, in order to make it practical and user friendly.</w:t>
      </w:r>
    </w:p>
    <w:p w:rsidR="00D06740" w:rsidRPr="00100AF5" w:rsidRDefault="00D06740" w:rsidP="00D06740">
      <w:pPr>
        <w:ind w:left="360"/>
        <w:rPr>
          <w:rFonts w:cs="Simplified Arabic"/>
        </w:rPr>
      </w:pPr>
      <w:r w:rsidRPr="00100AF5">
        <w:rPr>
          <w:rFonts w:cs="Simplified Arabic"/>
        </w:rPr>
        <w:t>No further training has been carried out on the toolkit after the UNDP funded exercise. This is reportedly due to lack of demand from MDAs, insufficient staff in the SDI Directorate to deliver training, lack of State funds and the need for revision of the Toolkit before delivering training.</w:t>
      </w:r>
    </w:p>
    <w:p w:rsidR="00391A9F" w:rsidRPr="000B18C7" w:rsidRDefault="00FC4A59" w:rsidP="000B18C7">
      <w:pPr>
        <w:ind w:left="360"/>
        <w:rPr>
          <w:lang w:val="en-US"/>
        </w:rPr>
      </w:pPr>
      <w:r w:rsidRPr="00100AF5">
        <w:rPr>
          <w:rFonts w:cs="Simplified Arabic"/>
        </w:rPr>
        <w:t xml:space="preserve">There was no evaluation of the training </w:t>
      </w:r>
      <w:proofErr w:type="spellStart"/>
      <w:r w:rsidRPr="00100AF5">
        <w:rPr>
          <w:rFonts w:cs="Simplified Arabic"/>
        </w:rPr>
        <w:t>exercise.</w:t>
      </w:r>
      <w:r w:rsidR="002041CC">
        <w:rPr>
          <w:rFonts w:cs="Simplified Arabic"/>
          <w:i/>
        </w:rPr>
        <w:t>b</w:t>
      </w:r>
      <w:proofErr w:type="spellEnd"/>
      <w:r w:rsidR="002041CC">
        <w:rPr>
          <w:rFonts w:cs="Simplified Arabic"/>
          <w:i/>
        </w:rPr>
        <w:t>.</w:t>
      </w:r>
      <w:r w:rsidR="002041CC">
        <w:rPr>
          <w:rFonts w:cs="Simplified Arabic"/>
          <w:i/>
        </w:rPr>
        <w:tab/>
      </w:r>
      <w:r w:rsidR="00391A9F" w:rsidRPr="000B18C7">
        <w:rPr>
          <w:rFonts w:cs="Simplified Arabic"/>
          <w:i/>
        </w:rPr>
        <w:t xml:space="preserve">Capacity building programme for Human Resources (HR) Directorate of </w:t>
      </w:r>
      <w:proofErr w:type="spellStart"/>
      <w:r w:rsidR="00391A9F" w:rsidRPr="000B18C7">
        <w:rPr>
          <w:rFonts w:cs="Simplified Arabic"/>
          <w:i/>
        </w:rPr>
        <w:t>MoPSD</w:t>
      </w:r>
      <w:proofErr w:type="spellEnd"/>
    </w:p>
    <w:p w:rsidR="00391A9F" w:rsidRDefault="00B00D62" w:rsidP="000B18C7">
      <w:pPr>
        <w:ind w:left="360"/>
        <w:rPr>
          <w:lang w:val="en-US"/>
        </w:rPr>
      </w:pPr>
      <w:r w:rsidRPr="002041CC">
        <w:rPr>
          <w:lang w:val="en-US"/>
        </w:rPr>
        <w:t xml:space="preserve">The purpose of that component was to develop two manuals on “Human resource assessment module for government entities” and “guidelines for the recruitment cycle for government entities that fall beyond the scope of the Civil Service Bureau”, in order to enable the of its Human Resources Unit staff capacities to fully implement their mandate. </w:t>
      </w:r>
    </w:p>
    <w:p w:rsidR="00B00D62" w:rsidRPr="00100AF5" w:rsidRDefault="00B00D62" w:rsidP="00B00D62">
      <w:pPr>
        <w:pStyle w:val="ListParagraph"/>
        <w:ind w:left="360"/>
        <w:contextualSpacing w:val="0"/>
      </w:pPr>
      <w:r w:rsidRPr="00100AF5">
        <w:t xml:space="preserve">In 2009 a new Director was appointed at the HR Directorate. Reportedly, she approached the Project to receive appropriate training for the staff. The needs of the Directorate focused on </w:t>
      </w:r>
      <w:r w:rsidRPr="00100AF5">
        <w:lastRenderedPageBreak/>
        <w:t xml:space="preserve">two main issues: methodologies for streamlining HR management, and methodologies for evaluating and assessing the capacities of HR units in MDAs.  The training was conducted in March 2010 by a private company funded from the UNDP Project budget; it targeted 16 staff from the HR Departments of </w:t>
      </w:r>
      <w:proofErr w:type="spellStart"/>
      <w:r w:rsidRPr="00100AF5">
        <w:t>MoPSD</w:t>
      </w:r>
      <w:proofErr w:type="spellEnd"/>
      <w:r w:rsidRPr="00100AF5">
        <w:t xml:space="preserve"> and Civil Service Bureau (CSB). Two main topics were selected: recruitment process and procedures, including methodologies to prepare job descriptions; and methodologies on how to assess capacities of HR units</w:t>
      </w:r>
      <w:r>
        <w:rPr>
          <w:rStyle w:val="FootnoteReference"/>
        </w:rPr>
        <w:footnoteReference w:id="26"/>
      </w:r>
      <w:r w:rsidRPr="00100AF5">
        <w:t xml:space="preserve">.  </w:t>
      </w:r>
    </w:p>
    <w:p w:rsidR="00391A9F" w:rsidRDefault="00B00D62" w:rsidP="000B18C7">
      <w:pPr>
        <w:ind w:left="360"/>
        <w:rPr>
          <w:lang w:val="en-US"/>
        </w:rPr>
      </w:pPr>
      <w:r>
        <w:rPr>
          <w:lang w:val="en-US"/>
        </w:rPr>
        <w:t>T</w:t>
      </w:r>
      <w:r w:rsidRPr="002041CC">
        <w:rPr>
          <w:lang w:val="en-US"/>
        </w:rPr>
        <w:t xml:space="preserve">wo manuals </w:t>
      </w:r>
      <w:r>
        <w:rPr>
          <w:lang w:val="en-US"/>
        </w:rPr>
        <w:t xml:space="preserve">were prepared </w:t>
      </w:r>
      <w:r w:rsidRPr="002041CC">
        <w:rPr>
          <w:lang w:val="en-US"/>
        </w:rPr>
        <w:t>on a) recruitment cycle in the public sector</w:t>
      </w:r>
      <w:r>
        <w:rPr>
          <w:lang w:val="en-US"/>
        </w:rPr>
        <w:t>,</w:t>
      </w:r>
      <w:r w:rsidRPr="002041CC">
        <w:rPr>
          <w:lang w:val="en-US"/>
        </w:rPr>
        <w:t xml:space="preserve"> b) HR assessment of recruitment procedures used by independent government institutions</w:t>
      </w:r>
      <w:r>
        <w:rPr>
          <w:lang w:val="en-US"/>
        </w:rPr>
        <w:t>.</w:t>
      </w:r>
      <w:r w:rsidRPr="002041CC">
        <w:rPr>
          <w:lang w:val="en-US"/>
        </w:rPr>
        <w:t xml:space="preserve"> </w:t>
      </w:r>
      <w:r>
        <w:rPr>
          <w:lang w:val="en-US"/>
        </w:rPr>
        <w:t xml:space="preserve">They have been </w:t>
      </w:r>
      <w:r w:rsidRPr="002041CC">
        <w:rPr>
          <w:lang w:val="en-US"/>
        </w:rPr>
        <w:t xml:space="preserve"> submitted to the cabinet’s public sector committee</w:t>
      </w:r>
      <w:r>
        <w:rPr>
          <w:lang w:val="en-US"/>
        </w:rPr>
        <w:t xml:space="preserve"> for approval and enforcement.</w:t>
      </w:r>
      <w:r w:rsidRPr="002041CC">
        <w:rPr>
          <w:lang w:val="en-US"/>
        </w:rPr>
        <w:t xml:space="preserve"> </w:t>
      </w:r>
    </w:p>
    <w:p w:rsidR="00917AA7" w:rsidRPr="00100AF5" w:rsidRDefault="00917AA7" w:rsidP="009F7D4E">
      <w:pPr>
        <w:pStyle w:val="ListParagraph"/>
        <w:ind w:left="360"/>
        <w:contextualSpacing w:val="0"/>
      </w:pPr>
      <w:r w:rsidRPr="00100AF5">
        <w:t>Results of t</w:t>
      </w:r>
      <w:r w:rsidR="00FB1D4D" w:rsidRPr="00100AF5">
        <w:t>his activity</w:t>
      </w:r>
      <w:r w:rsidRPr="00100AF5">
        <w:t xml:space="preserve"> seem to be controversial. While some insist on the positive outcomes of the exercise,</w:t>
      </w:r>
      <w:r w:rsidR="00FB1D4D" w:rsidRPr="00100AF5">
        <w:t xml:space="preserve"> </w:t>
      </w:r>
      <w:r w:rsidRPr="00100AF5">
        <w:t>others remark its limited results. Training was carried out by junior consultant</w:t>
      </w:r>
      <w:r w:rsidR="0030156D">
        <w:t>s</w:t>
      </w:r>
      <w:r w:rsidRPr="00100AF5">
        <w:t xml:space="preserve"> with no experience, and approaches were general and academic, with no practical suggestions on how to improve working procedures and mechanisms.</w:t>
      </w:r>
      <w:r w:rsidR="0063122C" w:rsidRPr="00100AF5">
        <w:t xml:space="preserve"> Also, no evaluation of the exercise was </w:t>
      </w:r>
      <w:r w:rsidR="0030156D">
        <w:t xml:space="preserve">reportedly </w:t>
      </w:r>
      <w:r w:rsidR="0063122C" w:rsidRPr="00100AF5">
        <w:t>requested to attendees. This would have constituted a useful tool to streamline further training.</w:t>
      </w:r>
    </w:p>
    <w:p w:rsidR="00FB1D4D" w:rsidRPr="00100AF5" w:rsidRDefault="00FB1D4D" w:rsidP="009F7D4E">
      <w:pPr>
        <w:pStyle w:val="ListParagraph"/>
        <w:ind w:left="360"/>
        <w:contextualSpacing w:val="0"/>
      </w:pPr>
      <w:r w:rsidRPr="00100AF5">
        <w:t xml:space="preserve">The HR Director in </w:t>
      </w:r>
      <w:proofErr w:type="spellStart"/>
      <w:r w:rsidRPr="00100AF5">
        <w:t>MoPSD</w:t>
      </w:r>
      <w:proofErr w:type="spellEnd"/>
      <w:r w:rsidRPr="00100AF5">
        <w:t xml:space="preserve"> main aim is currently to develop an internal team of qualified staff who can serve as trainers for further delivering training activities on HR issues in relevant MDAs. </w:t>
      </w:r>
    </w:p>
    <w:p w:rsidR="009F7D4E" w:rsidRPr="00100AF5" w:rsidRDefault="009F7D4E" w:rsidP="009F7D4E">
      <w:pPr>
        <w:pStyle w:val="ListParagraph"/>
        <w:ind w:left="360"/>
      </w:pPr>
    </w:p>
    <w:p w:rsidR="00391A9F" w:rsidRDefault="0071260B" w:rsidP="000B18C7">
      <w:pPr>
        <w:pStyle w:val="ListParagraph"/>
        <w:numPr>
          <w:ilvl w:val="0"/>
          <w:numId w:val="38"/>
        </w:numPr>
        <w:rPr>
          <w:i/>
        </w:rPr>
      </w:pPr>
      <w:r w:rsidRPr="00100AF5">
        <w:rPr>
          <w:rFonts w:cs="Simplified Arabic"/>
          <w:i/>
        </w:rPr>
        <w:t xml:space="preserve">Capacity building programme for SDI </w:t>
      </w:r>
      <w:r w:rsidR="009F7D4E" w:rsidRPr="00100AF5">
        <w:rPr>
          <w:rFonts w:cs="Simplified Arabic"/>
          <w:i/>
        </w:rPr>
        <w:t xml:space="preserve">Directorate of </w:t>
      </w:r>
      <w:proofErr w:type="spellStart"/>
      <w:r w:rsidR="009F7D4E" w:rsidRPr="00100AF5">
        <w:rPr>
          <w:rFonts w:cs="Simplified Arabic"/>
          <w:i/>
        </w:rPr>
        <w:t>MoPSD</w:t>
      </w:r>
      <w:proofErr w:type="spellEnd"/>
    </w:p>
    <w:p w:rsidR="00B656C1" w:rsidRPr="00100AF5" w:rsidRDefault="00C16F19" w:rsidP="00C16F19">
      <w:pPr>
        <w:ind w:left="360"/>
        <w:rPr>
          <w:rFonts w:cs="Simplified Arabic"/>
        </w:rPr>
      </w:pPr>
      <w:r w:rsidRPr="00100AF5">
        <w:t xml:space="preserve">This training </w:t>
      </w:r>
      <w:r w:rsidR="00104110" w:rsidRPr="00100AF5">
        <w:t>exercise</w:t>
      </w:r>
      <w:r w:rsidRPr="00100AF5">
        <w:t xml:space="preserve">– called CBII – is not delivered yet. It </w:t>
      </w:r>
      <w:r w:rsidR="00CA69AD">
        <w:t>is to be</w:t>
      </w:r>
      <w:r w:rsidRPr="00100AF5">
        <w:t xml:space="preserve"> delivered </w:t>
      </w:r>
      <w:r w:rsidR="00B656C1" w:rsidRPr="00100AF5">
        <w:t xml:space="preserve">in </w:t>
      </w:r>
      <w:r w:rsidR="00CA69AD">
        <w:t>October 2010,</w:t>
      </w:r>
      <w:r w:rsidR="00B656C1" w:rsidRPr="00100AF5">
        <w:rPr>
          <w:rFonts w:cs="Simplified Arabic"/>
        </w:rPr>
        <w:t xml:space="preserve"> target</w:t>
      </w:r>
      <w:r w:rsidR="00CA69AD">
        <w:rPr>
          <w:rFonts w:cs="Simplified Arabic"/>
        </w:rPr>
        <w:t>ing</w:t>
      </w:r>
      <w:r w:rsidR="00B656C1" w:rsidRPr="00100AF5">
        <w:rPr>
          <w:rFonts w:cs="Simplified Arabic"/>
        </w:rPr>
        <w:t xml:space="preserve"> 12 staff from the Directorate. The main topics will be ISO 9001, Training of Trainers, business process reengineering according to the SDI toolkit. A private company has been selected to conduct the training and will be funded from the UNDP Project budget.</w:t>
      </w:r>
    </w:p>
    <w:p w:rsidR="00B656C1" w:rsidRPr="00100AF5" w:rsidRDefault="00B656C1" w:rsidP="00093C36">
      <w:pPr>
        <w:pStyle w:val="ListParagraph"/>
        <w:numPr>
          <w:ilvl w:val="0"/>
          <w:numId w:val="19"/>
        </w:numPr>
        <w:rPr>
          <w:rFonts w:cs="Simplified Arabic"/>
          <w:i/>
          <w:vanish/>
        </w:rPr>
      </w:pPr>
    </w:p>
    <w:p w:rsidR="00B656C1" w:rsidRPr="00100AF5" w:rsidRDefault="00B656C1" w:rsidP="00093C36">
      <w:pPr>
        <w:pStyle w:val="ListParagraph"/>
        <w:numPr>
          <w:ilvl w:val="0"/>
          <w:numId w:val="19"/>
        </w:numPr>
        <w:rPr>
          <w:rFonts w:cs="Simplified Arabic"/>
          <w:i/>
          <w:vanish/>
        </w:rPr>
      </w:pPr>
    </w:p>
    <w:p w:rsidR="00B656C1" w:rsidRPr="00100AF5" w:rsidRDefault="00B656C1" w:rsidP="00093C36">
      <w:pPr>
        <w:pStyle w:val="ListParagraph"/>
        <w:numPr>
          <w:ilvl w:val="0"/>
          <w:numId w:val="19"/>
        </w:numPr>
        <w:rPr>
          <w:rFonts w:cs="Simplified Arabic"/>
          <w:i/>
          <w:vanish/>
        </w:rPr>
      </w:pPr>
    </w:p>
    <w:p w:rsidR="00924646" w:rsidRPr="00100AF5" w:rsidRDefault="008619E2" w:rsidP="00924646">
      <w:pPr>
        <w:pStyle w:val="Heading4"/>
      </w:pPr>
      <w:bookmarkStart w:id="130" w:name="_Toc276461273"/>
      <w:r w:rsidRPr="00100AF5">
        <w:t>National Strategy and plan for implementation of SDIS</w:t>
      </w:r>
      <w:bookmarkEnd w:id="130"/>
    </w:p>
    <w:p w:rsidR="009F7D4E" w:rsidRDefault="009F7D4E" w:rsidP="009F7D4E">
      <w:r w:rsidRPr="00100AF5">
        <w:t xml:space="preserve">The </w:t>
      </w:r>
      <w:proofErr w:type="spellStart"/>
      <w:r w:rsidRPr="00100AF5">
        <w:t>MoPSD</w:t>
      </w:r>
      <w:proofErr w:type="spellEnd"/>
      <w:r w:rsidRPr="00100AF5">
        <w:t xml:space="preserve"> has recently prepared an Implementation Plan which was approved and currently </w:t>
      </w:r>
      <w:proofErr w:type="spellStart"/>
      <w:r w:rsidRPr="00100AF5">
        <w:t>ongoing</w:t>
      </w:r>
      <w:proofErr w:type="spellEnd"/>
      <w:r w:rsidRPr="00100AF5">
        <w:t>. However, it has not been prepared i</w:t>
      </w:r>
      <w:r w:rsidR="00CA69AD">
        <w:t>n the framework of the Project</w:t>
      </w:r>
      <w:r w:rsidR="00B46141">
        <w:t>. This result was therefore not been achieved.</w:t>
      </w:r>
    </w:p>
    <w:p w:rsidR="00043612" w:rsidRPr="00043612" w:rsidRDefault="00043612" w:rsidP="00043612">
      <w:pPr>
        <w:rPr>
          <w:rFonts w:cs="Simplified Arabic"/>
        </w:rPr>
      </w:pPr>
      <w:r w:rsidRPr="00043612">
        <w:t xml:space="preserve">A support mission </w:t>
      </w:r>
      <w:r w:rsidRPr="00043612">
        <w:rPr>
          <w:rFonts w:cs="Simplified Arabic"/>
        </w:rPr>
        <w:t xml:space="preserve">to the SDI Directorate of </w:t>
      </w:r>
      <w:proofErr w:type="spellStart"/>
      <w:r w:rsidRPr="00043612">
        <w:rPr>
          <w:rFonts w:cs="Simplified Arabic"/>
        </w:rPr>
        <w:t>MoPSD</w:t>
      </w:r>
      <w:proofErr w:type="spellEnd"/>
      <w:r>
        <w:rPr>
          <w:rFonts w:cs="Simplified Arabic"/>
        </w:rPr>
        <w:t xml:space="preserve"> was carried out in February 2010 in order to verify achievements of the project and suggest improvements. The mission provided valuable inputs which are currently being taken into consideration by </w:t>
      </w:r>
      <w:proofErr w:type="spellStart"/>
      <w:r>
        <w:rPr>
          <w:rFonts w:cs="Simplified Arabic"/>
        </w:rPr>
        <w:t>MoPSD</w:t>
      </w:r>
      <w:proofErr w:type="spellEnd"/>
      <w:r>
        <w:rPr>
          <w:rFonts w:cs="Simplified Arabic"/>
        </w:rPr>
        <w:t>, notably on revision of its founding regulation and on improvement of the Toolkit. A summary of its conclusions is to be found in Annex 5.</w:t>
      </w:r>
    </w:p>
    <w:p w:rsidR="00043612" w:rsidRPr="00100AF5" w:rsidRDefault="00043612" w:rsidP="009F7D4E"/>
    <w:p w:rsidR="009F7D4E" w:rsidRPr="00100AF5" w:rsidRDefault="009F7D4E" w:rsidP="009F7D4E">
      <w:pPr>
        <w:rPr>
          <w:u w:val="single"/>
        </w:rPr>
      </w:pPr>
      <w:r w:rsidRPr="00100AF5">
        <w:rPr>
          <w:u w:val="single"/>
        </w:rPr>
        <w:t>Sub-projects</w:t>
      </w:r>
    </w:p>
    <w:p w:rsidR="009F7D4E" w:rsidRPr="00100AF5" w:rsidRDefault="009F7D4E" w:rsidP="009F7D4E">
      <w:r w:rsidRPr="00100AF5">
        <w:t>Two sub-projects were selected for UNDP funding under the Project. Their results are positive and can encourage replication in other MDAs.</w:t>
      </w:r>
    </w:p>
    <w:p w:rsidR="009F7D4E" w:rsidRPr="00100AF5" w:rsidRDefault="009F7D4E" w:rsidP="009F7D4E">
      <w:pPr>
        <w:pStyle w:val="ListParagraph"/>
        <w:numPr>
          <w:ilvl w:val="0"/>
          <w:numId w:val="23"/>
        </w:numPr>
        <w:rPr>
          <w:rFonts w:cs="Simplified Arabic"/>
          <w:i/>
        </w:rPr>
      </w:pPr>
      <w:r w:rsidRPr="00100AF5">
        <w:rPr>
          <w:rFonts w:cs="Simplified Arabic"/>
          <w:i/>
        </w:rPr>
        <w:t xml:space="preserve">National </w:t>
      </w:r>
      <w:r w:rsidRPr="00100AF5">
        <w:rPr>
          <w:rFonts w:cs="Times New Roman"/>
          <w:i/>
        </w:rPr>
        <w:t xml:space="preserve"> electronic registry</w:t>
      </w:r>
      <w:r w:rsidRPr="00100AF5">
        <w:rPr>
          <w:rFonts w:cs="Simplified Arabic"/>
          <w:i/>
        </w:rPr>
        <w:t xml:space="preserve"> for renal failure patients</w:t>
      </w:r>
      <w:r w:rsidRPr="00100AF5">
        <w:rPr>
          <w:rFonts w:cs="Simplified Arabic"/>
        </w:rPr>
        <w:t xml:space="preserve"> project</w:t>
      </w:r>
    </w:p>
    <w:p w:rsidR="009F7D4E" w:rsidRPr="00100AF5" w:rsidRDefault="009F7D4E" w:rsidP="009F7D4E">
      <w:pPr>
        <w:spacing w:before="100" w:beforeAutospacing="1" w:after="100" w:afterAutospacing="1"/>
        <w:ind w:left="360"/>
        <w:rPr>
          <w:rFonts w:cs="Times New Roman"/>
        </w:rPr>
      </w:pPr>
      <w:r w:rsidRPr="00100AF5">
        <w:rPr>
          <w:rFonts w:cs="Simplified Arabic"/>
        </w:rPr>
        <w:t>The sub-project</w:t>
      </w:r>
      <w:r w:rsidR="00B46141">
        <w:rPr>
          <w:rFonts w:cs="Simplified Arabic"/>
        </w:rPr>
        <w:t xml:space="preserve"> –</w:t>
      </w:r>
      <w:r w:rsidR="00DA42E1">
        <w:rPr>
          <w:rFonts w:cs="Simplified Arabic"/>
        </w:rPr>
        <w:t xml:space="preserve"> managed by the Ministry of H</w:t>
      </w:r>
      <w:r w:rsidR="00B46141">
        <w:rPr>
          <w:rFonts w:cs="Simplified Arabic"/>
        </w:rPr>
        <w:t>ealth (</w:t>
      </w:r>
      <w:proofErr w:type="spellStart"/>
      <w:r w:rsidR="00B46141">
        <w:rPr>
          <w:rFonts w:cs="Simplified Arabic"/>
        </w:rPr>
        <w:t>MoH</w:t>
      </w:r>
      <w:proofErr w:type="spellEnd"/>
      <w:r w:rsidR="00B46141">
        <w:rPr>
          <w:rFonts w:cs="Simplified Arabic"/>
        </w:rPr>
        <w:t xml:space="preserve">) - </w:t>
      </w:r>
      <w:r w:rsidRPr="00100AF5">
        <w:rPr>
          <w:rFonts w:cs="Simplified Arabic"/>
        </w:rPr>
        <w:t xml:space="preserve"> had a total cost of 35,000 JO</w:t>
      </w:r>
      <w:r w:rsidR="00B46141">
        <w:rPr>
          <w:rFonts w:cs="Simplified Arabic"/>
        </w:rPr>
        <w:t>D</w:t>
      </w:r>
      <w:r w:rsidRPr="00100AF5">
        <w:rPr>
          <w:rFonts w:cs="Simplified Arabic"/>
        </w:rPr>
        <w:t xml:space="preserve">.  </w:t>
      </w:r>
      <w:r w:rsidR="00B46141">
        <w:rPr>
          <w:rFonts w:cs="Times New Roman"/>
        </w:rPr>
        <w:t>The</w:t>
      </w:r>
      <w:r w:rsidRPr="00100AF5">
        <w:rPr>
          <w:rFonts w:cs="Times New Roman"/>
        </w:rPr>
        <w:t xml:space="preserve"> project was completed and the project launch is planned for mid-July 2010. See details in Annex</w:t>
      </w:r>
      <w:r w:rsidRPr="00100AF5">
        <w:rPr>
          <w:rFonts w:cs="Times New Roman"/>
          <w:highlight w:val="yellow"/>
        </w:rPr>
        <w:t>...</w:t>
      </w:r>
      <w:r w:rsidRPr="00100AF5">
        <w:rPr>
          <w:rFonts w:cs="Times New Roman"/>
        </w:rPr>
        <w:t xml:space="preserve">  </w:t>
      </w:r>
    </w:p>
    <w:p w:rsidR="009F7D4E" w:rsidRPr="00100AF5" w:rsidRDefault="009F7D4E" w:rsidP="009F7D4E">
      <w:pPr>
        <w:pStyle w:val="ListParagraph"/>
        <w:numPr>
          <w:ilvl w:val="0"/>
          <w:numId w:val="23"/>
        </w:numPr>
        <w:spacing w:before="100" w:beforeAutospacing="1" w:after="100" w:afterAutospacing="1"/>
        <w:jc w:val="left"/>
        <w:rPr>
          <w:rFonts w:cs="Simplified Arabic"/>
          <w:i/>
        </w:rPr>
      </w:pPr>
      <w:r w:rsidRPr="00100AF5">
        <w:rPr>
          <w:rFonts w:cs="Simplified Arabic"/>
          <w:i/>
        </w:rPr>
        <w:t>Documentation management at the Public Passports Department</w:t>
      </w:r>
    </w:p>
    <w:p w:rsidR="009F7D4E" w:rsidRPr="00100AF5" w:rsidRDefault="009F7D4E" w:rsidP="009F7D4E">
      <w:pPr>
        <w:spacing w:before="100" w:beforeAutospacing="1" w:after="100" w:afterAutospacing="1"/>
        <w:ind w:left="360"/>
        <w:rPr>
          <w:rFonts w:cs="Simplified Arabic"/>
        </w:rPr>
      </w:pPr>
      <w:r w:rsidRPr="00100AF5">
        <w:rPr>
          <w:rFonts w:cs="Simplified Arabic"/>
        </w:rPr>
        <w:t xml:space="preserve">This sub-project aimed at developing the Department’s documentation and filing systems and </w:t>
      </w:r>
      <w:r w:rsidR="00B46141" w:rsidRPr="00100AF5">
        <w:rPr>
          <w:rFonts w:cs="Simplified Arabic"/>
        </w:rPr>
        <w:t>unif</w:t>
      </w:r>
      <w:r w:rsidR="00B46141">
        <w:rPr>
          <w:rFonts w:cs="Simplified Arabic"/>
        </w:rPr>
        <w:t>ying</w:t>
      </w:r>
      <w:r w:rsidRPr="00100AF5">
        <w:rPr>
          <w:rFonts w:cs="Simplified Arabic"/>
        </w:rPr>
        <w:t xml:space="preserve"> the current database with the files and legal documents. </w:t>
      </w:r>
      <w:r w:rsidRPr="00DA42E1">
        <w:rPr>
          <w:rFonts w:cs="Simplified Arabic"/>
        </w:rPr>
        <w:t>See details in Annex</w:t>
      </w:r>
      <w:r w:rsidRPr="00100AF5">
        <w:rPr>
          <w:rFonts w:cs="Simplified Arabic"/>
          <w:highlight w:val="yellow"/>
        </w:rPr>
        <w:t>....</w:t>
      </w:r>
      <w:r w:rsidRPr="00100AF5">
        <w:rPr>
          <w:rFonts w:cs="Simplified Arabic"/>
        </w:rPr>
        <w:t xml:space="preserve"> </w:t>
      </w:r>
    </w:p>
    <w:p w:rsidR="009F7D4E" w:rsidRPr="00100AF5" w:rsidRDefault="009F7D4E" w:rsidP="009F7D4E">
      <w:pPr>
        <w:pStyle w:val="Heading4"/>
        <w:numPr>
          <w:ilvl w:val="0"/>
          <w:numId w:val="0"/>
        </w:numPr>
        <w:ind w:left="864" w:hanging="864"/>
        <w:rPr>
          <w:u w:val="single"/>
        </w:rPr>
      </w:pPr>
      <w:bookmarkStart w:id="131" w:name="_Toc276461274"/>
      <w:r w:rsidRPr="00100AF5">
        <w:rPr>
          <w:u w:val="single"/>
        </w:rPr>
        <w:t>Selection of sub-projects</w:t>
      </w:r>
      <w:bookmarkEnd w:id="131"/>
    </w:p>
    <w:p w:rsidR="009F7D4E" w:rsidRPr="00100AF5" w:rsidRDefault="009F7D4E" w:rsidP="009F7D4E">
      <w:r w:rsidRPr="00100AF5">
        <w:t xml:space="preserve">The selection modalities are not very clear, nor were they defined in the project document. It is possible that they were brought to the attention of the SC before funding and initiating. </w:t>
      </w:r>
    </w:p>
    <w:p w:rsidR="009F7D4E" w:rsidRPr="00100AF5" w:rsidRDefault="009F7D4E" w:rsidP="009F7D4E">
      <w:r w:rsidRPr="00100AF5">
        <w:t xml:space="preserve">The Consultant understands from interviewees that </w:t>
      </w:r>
    </w:p>
    <w:p w:rsidR="009F7D4E" w:rsidRPr="00100AF5" w:rsidRDefault="009F7D4E" w:rsidP="009F7D4E">
      <w:r w:rsidRPr="00100AF5">
        <w:t xml:space="preserve">- For Public Passports sub-project, the Department received initially funds from the Innovation Fund (50,000 JOD). The amount was not sufficient to cover the costs, so an agreement was stipulated with the </w:t>
      </w:r>
      <w:proofErr w:type="spellStart"/>
      <w:r w:rsidRPr="00100AF5">
        <w:t>MoPSD</w:t>
      </w:r>
      <w:proofErr w:type="spellEnd"/>
      <w:r w:rsidRPr="00100AF5">
        <w:t xml:space="preserve"> to be additionally funded with UNDP funds. The agreement was agreed upon with MoPIC and UNDP for an initial budget of 20,000 US$. This amount was subsequently </w:t>
      </w:r>
      <w:r w:rsidR="00B46141" w:rsidRPr="00100AF5">
        <w:t xml:space="preserve">increased </w:t>
      </w:r>
      <w:r w:rsidR="00B46141">
        <w:t>to</w:t>
      </w:r>
      <w:r w:rsidR="00B46141" w:rsidRPr="00B46141">
        <w:rPr>
          <w:highlight w:val="yellow"/>
        </w:rPr>
        <w:t>.......</w:t>
      </w:r>
      <w:r w:rsidRPr="00B46141">
        <w:rPr>
          <w:highlight w:val="yellow"/>
        </w:rPr>
        <w:t>US</w:t>
      </w:r>
      <w:r w:rsidRPr="00100AF5">
        <w:rPr>
          <w:highlight w:val="yellow"/>
        </w:rPr>
        <w:t>$.</w:t>
      </w:r>
    </w:p>
    <w:p w:rsidR="009F7D4E" w:rsidRPr="00100AF5" w:rsidRDefault="009F7D4E" w:rsidP="009F7D4E">
      <w:r w:rsidRPr="00100AF5">
        <w:t>- For the Ministry of Health, personal links of the Director of Incommunicable Diseases with the former MOPSD Minister made the sub-project feasible and easily approved.</w:t>
      </w:r>
    </w:p>
    <w:p w:rsidR="009F7D4E" w:rsidRPr="00100AF5" w:rsidRDefault="009F7D4E" w:rsidP="009F7D4E">
      <w:pPr>
        <w:pStyle w:val="Heading4"/>
      </w:pPr>
      <w:bookmarkStart w:id="132" w:name="_Toc276461275"/>
      <w:r w:rsidRPr="00100AF5">
        <w:t>Strategy and plan for a unified monitoring and evaluation system</w:t>
      </w:r>
      <w:bookmarkEnd w:id="132"/>
      <w:r w:rsidRPr="00100AF5">
        <w:t xml:space="preserve"> </w:t>
      </w:r>
    </w:p>
    <w:p w:rsidR="009F7D4E" w:rsidRDefault="009F7D4E" w:rsidP="009F7D4E">
      <w:r w:rsidRPr="00100AF5">
        <w:t xml:space="preserve">This component has been in practice neglected. As said above, political instability and continuous changes in the implementation plans of the public sector reform have in practice interrupted the process, thus impacting on this component. The recent renovated interest of </w:t>
      </w:r>
      <w:proofErr w:type="spellStart"/>
      <w:r w:rsidRPr="00100AF5">
        <w:t>GoJ</w:t>
      </w:r>
      <w:proofErr w:type="spellEnd"/>
      <w:r w:rsidRPr="00100AF5">
        <w:t xml:space="preserve"> in setting up and implementing PSR might lead to positive developments in the next future.</w:t>
      </w:r>
    </w:p>
    <w:p w:rsidR="00480687" w:rsidRPr="00100AF5" w:rsidRDefault="00480687" w:rsidP="00480687">
      <w:pPr>
        <w:pStyle w:val="Heading3"/>
      </w:pPr>
      <w:bookmarkStart w:id="133" w:name="_Toc273263522"/>
      <w:bookmarkStart w:id="134" w:name="_Toc273263658"/>
      <w:bookmarkStart w:id="135" w:name="_Toc276461276"/>
      <w:r w:rsidRPr="00100AF5">
        <w:t>Efficiency</w:t>
      </w:r>
      <w:bookmarkEnd w:id="133"/>
      <w:bookmarkEnd w:id="134"/>
      <w:bookmarkEnd w:id="135"/>
    </w:p>
    <w:p w:rsidR="00480687" w:rsidRPr="00100AF5" w:rsidRDefault="00480687" w:rsidP="00480687">
      <w:pPr>
        <w:pBdr>
          <w:top w:val="single" w:sz="4" w:space="1" w:color="auto"/>
          <w:left w:val="single" w:sz="4" w:space="4" w:color="auto"/>
          <w:bottom w:val="single" w:sz="4" w:space="1" w:color="auto"/>
          <w:right w:val="single" w:sz="4" w:space="4" w:color="auto"/>
        </w:pBdr>
      </w:pPr>
      <w:r w:rsidRPr="00100AF5">
        <w:rPr>
          <w:rFonts w:ascii="Palatino Linotype" w:hAnsi="Palatino Linotype"/>
          <w:sz w:val="20"/>
          <w:szCs w:val="22"/>
        </w:rPr>
        <w:t>Were the actions to achieve the outputs and outcomes efficient?</w:t>
      </w:r>
    </w:p>
    <w:p w:rsidR="00480687" w:rsidRPr="00100AF5" w:rsidRDefault="006F5130" w:rsidP="00480687">
      <w:r w:rsidRPr="00100AF5">
        <w:t xml:space="preserve">In general terms, the Project implementation suffered from delays and from lack of adequate project management, both from UNDP and </w:t>
      </w:r>
      <w:proofErr w:type="spellStart"/>
      <w:r w:rsidRPr="00100AF5">
        <w:t>MoPSD</w:t>
      </w:r>
      <w:proofErr w:type="spellEnd"/>
      <w:r w:rsidRPr="00100AF5">
        <w:t xml:space="preserve"> sides. </w:t>
      </w:r>
    </w:p>
    <w:p w:rsidR="008700F2" w:rsidRPr="00100AF5" w:rsidRDefault="008700F2" w:rsidP="00480687">
      <w:r w:rsidRPr="00100AF5">
        <w:t>Expenditures were as follows</w:t>
      </w:r>
      <w:r w:rsidRPr="00100AF5">
        <w:rPr>
          <w:rStyle w:val="FootnoteReference"/>
        </w:rPr>
        <w:footnoteReference w:id="27"/>
      </w:r>
      <w:r w:rsidRPr="00100AF5">
        <w:t>:</w:t>
      </w:r>
    </w:p>
    <w:p w:rsidR="008700F2" w:rsidRPr="00100AF5" w:rsidRDefault="008700F2" w:rsidP="00480687"/>
    <w:tbl>
      <w:tblPr>
        <w:tblW w:w="7600" w:type="dxa"/>
        <w:tblInd w:w="93" w:type="dxa"/>
        <w:tblLook w:val="04A0" w:firstRow="1" w:lastRow="0" w:firstColumn="1" w:lastColumn="0" w:noHBand="0" w:noVBand="1"/>
      </w:tblPr>
      <w:tblGrid>
        <w:gridCol w:w="4300"/>
        <w:gridCol w:w="3300"/>
      </w:tblGrid>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b/>
                <w:bCs/>
              </w:rPr>
            </w:pPr>
            <w:r w:rsidRPr="00100AF5">
              <w:rPr>
                <w:rFonts w:eastAsia="Arial Unicode MS" w:cs="Times New Roman"/>
                <w:b/>
                <w:bCs/>
                <w:sz w:val="22"/>
                <w:szCs w:val="22"/>
              </w:rPr>
              <w:t>Per year:</w:t>
            </w: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b/>
                <w:bCs/>
                <w:sz w:val="20"/>
                <w:szCs w:val="20"/>
              </w:rPr>
            </w:pPr>
          </w:p>
        </w:tc>
      </w:tr>
      <w:tr w:rsidR="008700F2" w:rsidRPr="00100AF5" w:rsidTr="008700F2">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hideMark/>
          </w:tcPr>
          <w:p w:rsidR="008700F2" w:rsidRPr="00100AF5" w:rsidRDefault="008700F2" w:rsidP="008700F2">
            <w:pPr>
              <w:spacing w:before="0"/>
              <w:jc w:val="center"/>
              <w:rPr>
                <w:rFonts w:eastAsia="Arial Unicode MS" w:cs="Times New Roman"/>
                <w:b/>
                <w:bCs/>
              </w:rPr>
            </w:pPr>
            <w:r w:rsidRPr="00100AF5">
              <w:rPr>
                <w:rFonts w:eastAsia="Arial Unicode MS" w:cs="Times New Roman"/>
                <w:b/>
                <w:bCs/>
                <w:sz w:val="22"/>
                <w:szCs w:val="22"/>
              </w:rPr>
              <w:t>Year</w:t>
            </w:r>
          </w:p>
        </w:tc>
        <w:tc>
          <w:tcPr>
            <w:tcW w:w="3300" w:type="dxa"/>
            <w:tcBorders>
              <w:top w:val="single" w:sz="4" w:space="0" w:color="auto"/>
              <w:left w:val="nil"/>
              <w:bottom w:val="single" w:sz="4" w:space="0" w:color="auto"/>
              <w:right w:val="single" w:sz="4" w:space="0" w:color="auto"/>
            </w:tcBorders>
            <w:shd w:val="clear" w:color="000000" w:fill="FFFF00"/>
            <w:hideMark/>
          </w:tcPr>
          <w:p w:rsidR="008700F2" w:rsidRPr="00100AF5" w:rsidRDefault="008700F2" w:rsidP="008700F2">
            <w:pPr>
              <w:spacing w:before="0"/>
              <w:jc w:val="center"/>
              <w:rPr>
                <w:rFonts w:eastAsia="Arial Unicode MS" w:cs="Times New Roman"/>
                <w:b/>
                <w:bCs/>
              </w:rPr>
            </w:pPr>
            <w:r w:rsidRPr="00100AF5">
              <w:rPr>
                <w:rFonts w:eastAsia="Arial Unicode MS" w:cs="Times New Roman"/>
                <w:b/>
                <w:bCs/>
                <w:sz w:val="22"/>
                <w:szCs w:val="22"/>
              </w:rPr>
              <w:t>Annual Total Expenditure in USD</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rPr>
            </w:pPr>
            <w:r w:rsidRPr="00100AF5">
              <w:rPr>
                <w:rFonts w:eastAsia="Arial Unicode MS" w:cs="Times New Roman"/>
                <w:sz w:val="22"/>
                <w:szCs w:val="22"/>
              </w:rPr>
              <w:t>2006</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106119.17</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rPr>
            </w:pPr>
            <w:r w:rsidRPr="00100AF5">
              <w:rPr>
                <w:rFonts w:eastAsia="Arial Unicode MS" w:cs="Times New Roman"/>
                <w:sz w:val="22"/>
                <w:szCs w:val="22"/>
              </w:rPr>
              <w:t>2007</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444993.36</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rPr>
            </w:pPr>
            <w:r w:rsidRPr="00100AF5">
              <w:rPr>
                <w:rFonts w:eastAsia="Arial Unicode MS" w:cs="Times New Roman"/>
                <w:sz w:val="22"/>
                <w:szCs w:val="22"/>
              </w:rPr>
              <w:t>2008</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68949.54</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rPr>
            </w:pPr>
            <w:r w:rsidRPr="00100AF5">
              <w:rPr>
                <w:rFonts w:eastAsia="Arial Unicode MS" w:cs="Times New Roman"/>
                <w:sz w:val="22"/>
                <w:szCs w:val="22"/>
              </w:rPr>
              <w:t>2009</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62485.95</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rPr>
            </w:pPr>
            <w:r w:rsidRPr="00100AF5">
              <w:rPr>
                <w:rFonts w:eastAsia="Arial Unicode MS" w:cs="Times New Roman"/>
                <w:sz w:val="22"/>
                <w:szCs w:val="22"/>
              </w:rPr>
              <w:t>2010</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69465.27</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b/>
                <w:bCs/>
              </w:rPr>
            </w:pPr>
            <w:r w:rsidRPr="00100AF5">
              <w:rPr>
                <w:rFonts w:eastAsia="Arial Unicode MS" w:cs="Times New Roman"/>
                <w:b/>
                <w:bCs/>
                <w:sz w:val="22"/>
                <w:szCs w:val="22"/>
              </w:rPr>
              <w:t>Grand total</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b/>
                <w:bCs/>
              </w:rPr>
            </w:pPr>
            <w:r w:rsidRPr="00100AF5">
              <w:rPr>
                <w:rFonts w:eastAsia="Arial Unicode MS" w:cs="Times New Roman"/>
                <w:b/>
                <w:bCs/>
                <w:sz w:val="22"/>
                <w:szCs w:val="22"/>
              </w:rPr>
              <w:t>752,013.29</w:t>
            </w:r>
          </w:p>
        </w:tc>
      </w:tr>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r>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b/>
                <w:bCs/>
              </w:rPr>
            </w:pPr>
            <w:r w:rsidRPr="00100AF5">
              <w:rPr>
                <w:rFonts w:eastAsia="Arial Unicode MS" w:cs="Times New Roman"/>
                <w:b/>
                <w:bCs/>
                <w:sz w:val="22"/>
                <w:szCs w:val="22"/>
              </w:rPr>
              <w:t>Per output:</w:t>
            </w: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r>
      <w:tr w:rsidR="008700F2" w:rsidRPr="00100AF5" w:rsidTr="008700F2">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hideMark/>
          </w:tcPr>
          <w:p w:rsidR="008700F2" w:rsidRPr="00100AF5" w:rsidRDefault="008700F2" w:rsidP="008700F2">
            <w:pPr>
              <w:spacing w:before="0"/>
              <w:jc w:val="center"/>
              <w:rPr>
                <w:rFonts w:eastAsia="Arial Unicode MS" w:cs="Times New Roman"/>
                <w:b/>
                <w:bCs/>
              </w:rPr>
            </w:pPr>
            <w:r w:rsidRPr="00100AF5">
              <w:rPr>
                <w:rFonts w:eastAsia="Arial Unicode MS" w:cs="Times New Roman"/>
                <w:b/>
                <w:bCs/>
                <w:sz w:val="22"/>
                <w:szCs w:val="22"/>
              </w:rPr>
              <w:t>Output</w:t>
            </w:r>
          </w:p>
        </w:tc>
        <w:tc>
          <w:tcPr>
            <w:tcW w:w="3300" w:type="dxa"/>
            <w:tcBorders>
              <w:top w:val="single" w:sz="4" w:space="0" w:color="auto"/>
              <w:left w:val="nil"/>
              <w:bottom w:val="single" w:sz="4" w:space="0" w:color="auto"/>
              <w:right w:val="single" w:sz="4" w:space="0" w:color="auto"/>
            </w:tcBorders>
            <w:shd w:val="clear" w:color="000000" w:fill="FFFF00"/>
            <w:hideMark/>
          </w:tcPr>
          <w:p w:rsidR="008700F2" w:rsidRPr="00100AF5" w:rsidRDefault="008700F2" w:rsidP="008700F2">
            <w:pPr>
              <w:spacing w:before="0"/>
              <w:jc w:val="center"/>
              <w:rPr>
                <w:rFonts w:eastAsia="Arial Unicode MS" w:cs="Times New Roman"/>
                <w:b/>
                <w:bCs/>
              </w:rPr>
            </w:pPr>
            <w:r w:rsidRPr="00100AF5">
              <w:rPr>
                <w:rFonts w:eastAsia="Arial Unicode MS" w:cs="Times New Roman"/>
                <w:b/>
                <w:bCs/>
                <w:sz w:val="22"/>
                <w:szCs w:val="22"/>
              </w:rPr>
              <w:t>Expenditure</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sz w:val="20"/>
                <w:szCs w:val="20"/>
              </w:rPr>
            </w:pPr>
            <w:r w:rsidRPr="00100AF5">
              <w:rPr>
                <w:rFonts w:eastAsia="Arial Unicode MS" w:cs="Times New Roman"/>
                <w:sz w:val="20"/>
                <w:szCs w:val="20"/>
              </w:rPr>
              <w:t>Output 1</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153,878.23</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8700F2" w:rsidRPr="00100AF5" w:rsidRDefault="008700F2" w:rsidP="008700F2">
            <w:pPr>
              <w:spacing w:before="0"/>
              <w:jc w:val="left"/>
              <w:rPr>
                <w:rFonts w:eastAsia="Arial Unicode MS" w:cs="Times New Roman"/>
                <w:sz w:val="20"/>
                <w:szCs w:val="20"/>
              </w:rPr>
            </w:pPr>
            <w:r w:rsidRPr="00100AF5">
              <w:rPr>
                <w:rFonts w:eastAsia="Arial Unicode MS" w:cs="Times New Roman"/>
                <w:sz w:val="20"/>
                <w:szCs w:val="20"/>
              </w:rPr>
              <w:t>Output 2</w:t>
            </w:r>
          </w:p>
        </w:tc>
        <w:tc>
          <w:tcPr>
            <w:tcW w:w="3300" w:type="dxa"/>
            <w:tcBorders>
              <w:top w:val="nil"/>
              <w:left w:val="nil"/>
              <w:bottom w:val="single" w:sz="4" w:space="0" w:color="auto"/>
              <w:right w:val="single" w:sz="4" w:space="0" w:color="auto"/>
            </w:tcBorders>
            <w:shd w:val="clear" w:color="auto" w:fill="auto"/>
            <w:hideMark/>
          </w:tcPr>
          <w:p w:rsidR="008700F2" w:rsidRPr="00100AF5" w:rsidRDefault="008700F2" w:rsidP="008700F2">
            <w:pPr>
              <w:spacing w:before="0"/>
              <w:jc w:val="right"/>
              <w:rPr>
                <w:rFonts w:eastAsia="Arial Unicode MS" w:cs="Times New Roman"/>
              </w:rPr>
            </w:pPr>
            <w:r w:rsidRPr="00100AF5">
              <w:rPr>
                <w:rFonts w:eastAsia="Arial Unicode MS" w:cs="Times New Roman"/>
                <w:sz w:val="22"/>
                <w:szCs w:val="22"/>
              </w:rPr>
              <w:t>548,376.30</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r w:rsidRPr="00100AF5">
              <w:rPr>
                <w:rFonts w:eastAsia="Arial Unicode MS" w:cs="Times New Roman"/>
                <w:sz w:val="20"/>
                <w:szCs w:val="20"/>
              </w:rPr>
              <w:t>Output 3</w:t>
            </w:r>
          </w:p>
        </w:tc>
        <w:tc>
          <w:tcPr>
            <w:tcW w:w="3300" w:type="dxa"/>
            <w:tcBorders>
              <w:top w:val="nil"/>
              <w:left w:val="nil"/>
              <w:bottom w:val="single" w:sz="4" w:space="0" w:color="auto"/>
              <w:right w:val="single" w:sz="4" w:space="0" w:color="auto"/>
            </w:tcBorders>
            <w:shd w:val="clear" w:color="auto" w:fill="auto"/>
            <w:noWrap/>
            <w:vAlign w:val="bottom"/>
            <w:hideMark/>
          </w:tcPr>
          <w:p w:rsidR="008700F2" w:rsidRPr="00100AF5" w:rsidRDefault="008700F2" w:rsidP="008700F2">
            <w:pPr>
              <w:spacing w:before="0"/>
              <w:jc w:val="right"/>
              <w:rPr>
                <w:rFonts w:eastAsia="Arial Unicode MS" w:cs="Times New Roman"/>
                <w:sz w:val="20"/>
                <w:szCs w:val="20"/>
              </w:rPr>
            </w:pPr>
            <w:r w:rsidRPr="00100AF5">
              <w:rPr>
                <w:rFonts w:eastAsia="Arial Unicode MS" w:cs="Times New Roman"/>
                <w:sz w:val="20"/>
                <w:szCs w:val="20"/>
              </w:rPr>
              <w:t>49,758.76</w:t>
            </w:r>
          </w:p>
        </w:tc>
      </w:tr>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r>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r>
      <w:tr w:rsidR="008700F2" w:rsidRPr="00100AF5" w:rsidTr="008700F2">
        <w:trPr>
          <w:trHeight w:val="300"/>
        </w:trPr>
        <w:tc>
          <w:tcPr>
            <w:tcW w:w="4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b/>
                <w:bCs/>
              </w:rPr>
            </w:pPr>
            <w:r w:rsidRPr="00100AF5">
              <w:rPr>
                <w:rFonts w:eastAsia="Arial Unicode MS" w:cs="Times New Roman"/>
                <w:b/>
                <w:bCs/>
                <w:sz w:val="22"/>
                <w:szCs w:val="22"/>
              </w:rPr>
              <w:t>Per fund source:</w:t>
            </w:r>
          </w:p>
        </w:tc>
        <w:tc>
          <w:tcPr>
            <w:tcW w:w="3300" w:type="dxa"/>
            <w:tcBorders>
              <w:top w:val="nil"/>
              <w:left w:val="nil"/>
              <w:bottom w:val="nil"/>
              <w:right w:val="nil"/>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p>
        </w:tc>
      </w:tr>
      <w:tr w:rsidR="008700F2" w:rsidRPr="00100AF5" w:rsidTr="008700F2">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700F2" w:rsidRPr="00100AF5" w:rsidRDefault="008700F2" w:rsidP="008700F2">
            <w:pPr>
              <w:spacing w:before="0"/>
              <w:jc w:val="center"/>
              <w:rPr>
                <w:rFonts w:eastAsia="Arial Unicode MS" w:cs="Times New Roman"/>
                <w:b/>
                <w:bCs/>
                <w:sz w:val="20"/>
                <w:szCs w:val="20"/>
              </w:rPr>
            </w:pPr>
            <w:r w:rsidRPr="00100AF5">
              <w:rPr>
                <w:rFonts w:eastAsia="Arial Unicode MS" w:cs="Times New Roman"/>
                <w:b/>
                <w:bCs/>
                <w:sz w:val="20"/>
                <w:szCs w:val="20"/>
              </w:rPr>
              <w:t>Fund source</w:t>
            </w:r>
          </w:p>
        </w:tc>
        <w:tc>
          <w:tcPr>
            <w:tcW w:w="3300" w:type="dxa"/>
            <w:tcBorders>
              <w:top w:val="single" w:sz="4" w:space="0" w:color="auto"/>
              <w:left w:val="nil"/>
              <w:bottom w:val="single" w:sz="4" w:space="0" w:color="auto"/>
              <w:right w:val="single" w:sz="4" w:space="0" w:color="auto"/>
            </w:tcBorders>
            <w:shd w:val="clear" w:color="000000" w:fill="FFFF00"/>
            <w:noWrap/>
            <w:vAlign w:val="bottom"/>
            <w:hideMark/>
          </w:tcPr>
          <w:p w:rsidR="008700F2" w:rsidRPr="00100AF5" w:rsidRDefault="008700F2" w:rsidP="008700F2">
            <w:pPr>
              <w:spacing w:before="0"/>
              <w:jc w:val="center"/>
              <w:rPr>
                <w:rFonts w:eastAsia="Arial Unicode MS" w:cs="Times New Roman"/>
                <w:b/>
                <w:bCs/>
                <w:sz w:val="20"/>
                <w:szCs w:val="20"/>
              </w:rPr>
            </w:pPr>
            <w:r w:rsidRPr="00100AF5">
              <w:rPr>
                <w:rFonts w:eastAsia="Arial Unicode MS" w:cs="Times New Roman"/>
                <w:b/>
                <w:bCs/>
                <w:sz w:val="20"/>
                <w:szCs w:val="20"/>
              </w:rPr>
              <w:t>Amount</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r w:rsidRPr="00100AF5">
              <w:rPr>
                <w:rFonts w:eastAsia="Arial Unicode MS" w:cs="Times New Roman"/>
                <w:sz w:val="20"/>
                <w:szCs w:val="20"/>
              </w:rPr>
              <w:t>UNDP</w:t>
            </w:r>
          </w:p>
        </w:tc>
        <w:tc>
          <w:tcPr>
            <w:tcW w:w="3300" w:type="dxa"/>
            <w:tcBorders>
              <w:top w:val="nil"/>
              <w:left w:val="nil"/>
              <w:bottom w:val="single" w:sz="4" w:space="0" w:color="auto"/>
              <w:right w:val="single" w:sz="4" w:space="0" w:color="auto"/>
            </w:tcBorders>
            <w:shd w:val="clear" w:color="auto" w:fill="auto"/>
            <w:noWrap/>
            <w:vAlign w:val="bottom"/>
            <w:hideMark/>
          </w:tcPr>
          <w:p w:rsidR="008700F2" w:rsidRPr="00100AF5" w:rsidRDefault="008700F2" w:rsidP="008700F2">
            <w:pPr>
              <w:spacing w:before="0"/>
              <w:jc w:val="right"/>
              <w:rPr>
                <w:rFonts w:eastAsia="Arial Unicode MS" w:cs="Times New Roman"/>
                <w:sz w:val="20"/>
                <w:szCs w:val="20"/>
              </w:rPr>
            </w:pPr>
            <w:r w:rsidRPr="00100AF5">
              <w:rPr>
                <w:rFonts w:eastAsia="Arial Unicode MS" w:cs="Times New Roman"/>
                <w:sz w:val="20"/>
                <w:szCs w:val="20"/>
              </w:rPr>
              <w:t>151826.43</w:t>
            </w:r>
          </w:p>
        </w:tc>
      </w:tr>
      <w:tr w:rsidR="008700F2" w:rsidRPr="00100AF5" w:rsidTr="008700F2">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8700F2" w:rsidRPr="00100AF5" w:rsidRDefault="008700F2" w:rsidP="008700F2">
            <w:pPr>
              <w:spacing w:before="0"/>
              <w:jc w:val="left"/>
              <w:rPr>
                <w:rFonts w:eastAsia="Arial Unicode MS" w:cs="Times New Roman"/>
                <w:sz w:val="20"/>
                <w:szCs w:val="20"/>
              </w:rPr>
            </w:pPr>
            <w:r w:rsidRPr="00100AF5">
              <w:rPr>
                <w:rFonts w:eastAsia="Arial Unicode MS" w:cs="Times New Roman"/>
                <w:sz w:val="20"/>
                <w:szCs w:val="20"/>
              </w:rPr>
              <w:t>GOJ</w:t>
            </w:r>
          </w:p>
        </w:tc>
        <w:tc>
          <w:tcPr>
            <w:tcW w:w="3300" w:type="dxa"/>
            <w:tcBorders>
              <w:top w:val="nil"/>
              <w:left w:val="nil"/>
              <w:bottom w:val="single" w:sz="4" w:space="0" w:color="auto"/>
              <w:right w:val="single" w:sz="4" w:space="0" w:color="auto"/>
            </w:tcBorders>
            <w:shd w:val="clear" w:color="auto" w:fill="auto"/>
            <w:noWrap/>
            <w:vAlign w:val="bottom"/>
            <w:hideMark/>
          </w:tcPr>
          <w:p w:rsidR="008700F2" w:rsidRPr="00100AF5" w:rsidRDefault="008700F2" w:rsidP="008700F2">
            <w:pPr>
              <w:spacing w:before="0"/>
              <w:jc w:val="right"/>
              <w:rPr>
                <w:rFonts w:eastAsia="Arial Unicode MS" w:cs="Times New Roman"/>
                <w:sz w:val="20"/>
                <w:szCs w:val="20"/>
              </w:rPr>
            </w:pPr>
            <w:r w:rsidRPr="00100AF5">
              <w:rPr>
                <w:rFonts w:eastAsia="Arial Unicode MS" w:cs="Times New Roman"/>
                <w:sz w:val="20"/>
                <w:szCs w:val="20"/>
              </w:rPr>
              <w:t>600,186.86</w:t>
            </w:r>
          </w:p>
        </w:tc>
      </w:tr>
    </w:tbl>
    <w:p w:rsidR="002463B5" w:rsidRPr="00100AF5" w:rsidRDefault="002463B5" w:rsidP="008700F2">
      <w:pPr>
        <w:rPr>
          <w:rFonts w:eastAsia="Arial Unicode MS"/>
          <w:highlight w:val="green"/>
        </w:rPr>
      </w:pPr>
    </w:p>
    <w:p w:rsidR="008700F2" w:rsidRPr="00100AF5" w:rsidRDefault="008700F2" w:rsidP="008700F2">
      <w:pPr>
        <w:rPr>
          <w:rFonts w:eastAsia="Arial Unicode MS"/>
        </w:rPr>
      </w:pPr>
      <w:r w:rsidRPr="00100AF5">
        <w:rPr>
          <w:rFonts w:eastAsia="Arial Unicode MS"/>
          <w:highlight w:val="green"/>
        </w:rPr>
        <w:t>Activity?</w:t>
      </w:r>
    </w:p>
    <w:p w:rsidR="008700F2" w:rsidRPr="00100AF5" w:rsidRDefault="002463B5" w:rsidP="008700F2">
      <w:pPr>
        <w:rPr>
          <w:rFonts w:eastAsia="Arial Unicode MS"/>
        </w:rPr>
      </w:pPr>
      <w:r w:rsidRPr="00100AF5">
        <w:rPr>
          <w:rFonts w:eastAsia="Arial Unicode MS"/>
        </w:rPr>
        <w:t xml:space="preserve">According to the above data, </w:t>
      </w:r>
      <w:r w:rsidR="008700F2" w:rsidRPr="00100AF5">
        <w:rPr>
          <w:rFonts w:eastAsia="Arial Unicode MS"/>
        </w:rPr>
        <w:t>UNDP contributed fo</w:t>
      </w:r>
      <w:r w:rsidRPr="00100AF5">
        <w:rPr>
          <w:rFonts w:eastAsia="Arial Unicode MS"/>
        </w:rPr>
        <w:t>r</w:t>
      </w:r>
      <w:r w:rsidR="008700F2" w:rsidRPr="00100AF5">
        <w:rPr>
          <w:rFonts w:eastAsia="Arial Unicode MS"/>
        </w:rPr>
        <w:t xml:space="preserve"> an amount of 151,826 US$, of which most spent on salaries for the</w:t>
      </w:r>
      <w:r w:rsidRPr="00100AF5">
        <w:rPr>
          <w:rFonts w:eastAsia="Arial Unicode MS"/>
        </w:rPr>
        <w:t xml:space="preserve"> project managers, equipment for </w:t>
      </w:r>
      <w:proofErr w:type="spellStart"/>
      <w:r w:rsidRPr="00100AF5">
        <w:rPr>
          <w:rFonts w:eastAsia="Arial Unicode MS"/>
        </w:rPr>
        <w:t>MoPSD</w:t>
      </w:r>
      <w:proofErr w:type="spellEnd"/>
      <w:r w:rsidRPr="00100AF5">
        <w:rPr>
          <w:rFonts w:eastAsia="Arial Unicode MS"/>
        </w:rPr>
        <w:t xml:space="preserve"> and sub-projects, expert coming for the 2010 support mission</w:t>
      </w:r>
      <w:r w:rsidR="003C2C4D" w:rsidRPr="00100AF5">
        <w:rPr>
          <w:rFonts w:eastAsia="Arial Unicode MS"/>
        </w:rPr>
        <w:t>, consultants for capacity building and training activities</w:t>
      </w:r>
      <w:r w:rsidRPr="00100AF5">
        <w:rPr>
          <w:rFonts w:eastAsia="Arial Unicode MS"/>
        </w:rPr>
        <w:t xml:space="preserve">. </w:t>
      </w:r>
      <w:r w:rsidRPr="00100AF5">
        <w:rPr>
          <w:rFonts w:eastAsia="Arial Unicode MS"/>
          <w:highlight w:val="yellow"/>
        </w:rPr>
        <w:t>Statistics?</w:t>
      </w:r>
    </w:p>
    <w:p w:rsidR="002463B5" w:rsidRPr="00100AF5" w:rsidRDefault="00D45623" w:rsidP="008700F2">
      <w:pPr>
        <w:rPr>
          <w:rFonts w:eastAsia="Arial Unicode MS"/>
        </w:rPr>
      </w:pPr>
      <w:r>
        <w:rPr>
          <w:rFonts w:eastAsia="Arial Unicode MS"/>
        </w:rPr>
        <w:t xml:space="preserve">The whole project was implemented in 2010. </w:t>
      </w:r>
      <w:r w:rsidR="002463B5" w:rsidRPr="00100AF5">
        <w:rPr>
          <w:rFonts w:eastAsia="Arial Unicode MS"/>
        </w:rPr>
        <w:t xml:space="preserve">There were reportedly delays in payments of some sub-project components, such as </w:t>
      </w:r>
      <w:proofErr w:type="spellStart"/>
      <w:r w:rsidR="002463B5" w:rsidRPr="00100AF5">
        <w:rPr>
          <w:rFonts w:eastAsia="Arial Unicode MS"/>
        </w:rPr>
        <w:t>MoH</w:t>
      </w:r>
      <w:proofErr w:type="spellEnd"/>
      <w:r w:rsidR="002463B5" w:rsidRPr="00100AF5">
        <w:rPr>
          <w:rFonts w:eastAsia="Arial Unicode MS"/>
        </w:rPr>
        <w:t xml:space="preserve"> on printing material and data collection, which have been paid only in 2010.</w:t>
      </w:r>
      <w:r w:rsidR="00545724">
        <w:rPr>
          <w:rFonts w:eastAsia="Arial Unicode MS"/>
        </w:rPr>
        <w:t xml:space="preserve"> </w:t>
      </w:r>
    </w:p>
    <w:p w:rsidR="00480687" w:rsidRPr="00100AF5" w:rsidRDefault="00480687" w:rsidP="00480687">
      <w:pPr>
        <w:pStyle w:val="Heading3"/>
      </w:pPr>
      <w:bookmarkStart w:id="136" w:name="_Toc273263523"/>
      <w:bookmarkStart w:id="137" w:name="_Toc273263659"/>
      <w:bookmarkStart w:id="138" w:name="_Toc276461277"/>
      <w:r w:rsidRPr="00100AF5">
        <w:t>Lessons learned</w:t>
      </w:r>
      <w:bookmarkEnd w:id="136"/>
      <w:bookmarkEnd w:id="137"/>
      <w:bookmarkEnd w:id="138"/>
    </w:p>
    <w:p w:rsidR="00480687" w:rsidRPr="00100AF5" w:rsidRDefault="00480687" w:rsidP="00480687">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 xml:space="preserve">Were there any lessons learned, failures/lost opportunities? What might have been done better or differently? </w:t>
      </w:r>
    </w:p>
    <w:p w:rsidR="00C0482B" w:rsidRPr="00100AF5" w:rsidRDefault="00171B04" w:rsidP="00171B04">
      <w:r w:rsidRPr="00100AF5">
        <w:t xml:space="preserve">Lessons learned are to be taken from the above chapters. </w:t>
      </w:r>
      <w:r w:rsidR="00A324EF" w:rsidRPr="00100AF5">
        <w:t>In general, any proper reform of the public sector is</w:t>
      </w:r>
      <w:r w:rsidRPr="00100AF5">
        <w:t xml:space="preserve"> successful only under condition that an appropriate environment is in place. This comprises: clear and accepted strategies, plans and guidelines; readiness of institutions to take part in the process; awareness and commitment of staff to refo</w:t>
      </w:r>
      <w:r w:rsidR="00A324EF" w:rsidRPr="00100AF5">
        <w:t xml:space="preserve">rms. This did not </w:t>
      </w:r>
      <w:r w:rsidR="00FC4A59" w:rsidRPr="00100AF5">
        <w:t>happen</w:t>
      </w:r>
      <w:r w:rsidR="00A324EF" w:rsidRPr="00100AF5">
        <w:t xml:space="preserve"> in the Project lifespan.</w:t>
      </w:r>
    </w:p>
    <w:p w:rsidR="00A324EF" w:rsidRPr="00100AF5" w:rsidRDefault="00A324EF" w:rsidP="00171B04">
      <w:r w:rsidRPr="00100AF5">
        <w:t>As far as SDI</w:t>
      </w:r>
      <w:r w:rsidR="00FC4A59" w:rsidRPr="00100AF5">
        <w:t xml:space="preserve"> in particular</w:t>
      </w:r>
      <w:r w:rsidRPr="00100AF5">
        <w:t xml:space="preserve"> is concerned, </w:t>
      </w:r>
      <w:r w:rsidR="00FC4A59" w:rsidRPr="00100AF5">
        <w:t>the Project contributed to some limited achievement</w:t>
      </w:r>
      <w:r w:rsidR="00D52FC1" w:rsidRPr="00100AF5">
        <w:t>s at central MDA level</w:t>
      </w:r>
      <w:r w:rsidR="00FC4A59" w:rsidRPr="00100AF5">
        <w:t>. Since no evaluation of training was conducted in MDAs, it is difficult to draw lessons on this aspect.</w:t>
      </w:r>
      <w:r w:rsidR="00C2518E" w:rsidRPr="00100AF5">
        <w:t xml:space="preserve"> </w:t>
      </w:r>
    </w:p>
    <w:p w:rsidR="007C7C07" w:rsidRPr="00100AF5" w:rsidRDefault="007C7C07" w:rsidP="00171B04">
      <w:r w:rsidRPr="00100AF5">
        <w:t>Training material was not developed at all, thus hindering a proper institutionalisation of Project’s outputs and outcomes.</w:t>
      </w:r>
    </w:p>
    <w:p w:rsidR="00FC4A59" w:rsidRPr="00100AF5" w:rsidRDefault="00D52FC1" w:rsidP="00171B04">
      <w:r w:rsidRPr="00100AF5">
        <w:t>The two s</w:t>
      </w:r>
      <w:r w:rsidR="00FC4A59" w:rsidRPr="00100AF5">
        <w:t>ub-projects</w:t>
      </w:r>
      <w:r w:rsidRPr="00100AF5">
        <w:t xml:space="preserve"> in the Passports Department and at the </w:t>
      </w:r>
      <w:proofErr w:type="spellStart"/>
      <w:r w:rsidRPr="00100AF5">
        <w:t>MoH</w:t>
      </w:r>
      <w:proofErr w:type="spellEnd"/>
      <w:r w:rsidR="00FC4A59" w:rsidRPr="00100AF5">
        <w:t xml:space="preserve"> have been successful due to their concrete and practical character and to a correct assessment of needs in those areas.</w:t>
      </w:r>
      <w:r w:rsidR="00C2518E" w:rsidRPr="00100AF5">
        <w:t xml:space="preserve"> </w:t>
      </w:r>
      <w:r w:rsidR="009F6951" w:rsidRPr="00100AF5">
        <w:t>However, selection criteria</w:t>
      </w:r>
      <w:r w:rsidR="00C2518E" w:rsidRPr="00100AF5">
        <w:t xml:space="preserve"> might have been more structured and formalised.</w:t>
      </w:r>
    </w:p>
    <w:p w:rsidR="00FC4A59" w:rsidRPr="00100AF5" w:rsidRDefault="009F6951" w:rsidP="00171B04">
      <w:r w:rsidRPr="00100AF5">
        <w:t>An appropriate</w:t>
      </w:r>
      <w:r w:rsidR="00FC4A59" w:rsidRPr="00100AF5">
        <w:t xml:space="preserve"> revision of original project documents</w:t>
      </w:r>
      <w:r w:rsidRPr="00100AF5">
        <w:t>, to be undertaken one or two years after its starting up,</w:t>
      </w:r>
      <w:r w:rsidR="00FC4A59" w:rsidRPr="00100AF5">
        <w:t xml:space="preserve"> would have been useful to justify and formalise changes and to better structure project activities.</w:t>
      </w:r>
    </w:p>
    <w:p w:rsidR="00FC4A59" w:rsidRPr="00100AF5" w:rsidRDefault="00FC4A59" w:rsidP="00171B04">
      <w:r w:rsidRPr="00100AF5">
        <w:t>Also, regular monitoring should have been carried out to better address issues of concern.</w:t>
      </w:r>
    </w:p>
    <w:p w:rsidR="009F6951" w:rsidRPr="00100AF5" w:rsidRDefault="00FC4A59" w:rsidP="00171B04">
      <w:r w:rsidRPr="00100AF5">
        <w:t xml:space="preserve">Finally, a proper project management structure </w:t>
      </w:r>
      <w:r w:rsidRPr="00F938E2">
        <w:t xml:space="preserve">– </w:t>
      </w:r>
      <w:r w:rsidRPr="006A0571">
        <w:t>in line with the project document – would have greatly contributed to better implementation and utilisation of resources</w:t>
      </w:r>
      <w:r w:rsidR="00102D85" w:rsidRPr="006A0571">
        <w:t>. Alternatively, the management</w:t>
      </w:r>
      <w:r w:rsidR="00391A9F" w:rsidRPr="000B18C7">
        <w:t xml:space="preserve"> of the project might have been assigned to Ministry directors. This would have been more in line with latest trends in development cooperation, which tend to eliminate PMUs in order to strengthen  in-country ownership and responsibilities</w:t>
      </w:r>
      <w:r w:rsidR="004A2127">
        <w:rPr>
          <w:rStyle w:val="FootnoteReference"/>
        </w:rPr>
        <w:footnoteReference w:id="28"/>
      </w:r>
      <w:r w:rsidR="00391A9F" w:rsidRPr="000B18C7">
        <w:t xml:space="preserve">. However, it is to be asked whether directors were/are ready to accept such arrangements in view of their workload and </w:t>
      </w:r>
      <w:proofErr w:type="spellStart"/>
      <w:r w:rsidR="00391A9F" w:rsidRPr="000B18C7">
        <w:t>statutary</w:t>
      </w:r>
      <w:proofErr w:type="spellEnd"/>
      <w:r w:rsidR="00391A9F" w:rsidRPr="000B18C7">
        <w:t xml:space="preserve"> obligations.  </w:t>
      </w:r>
      <w:r w:rsidR="009F6951" w:rsidRPr="00100AF5">
        <w:t xml:space="preserve">These elements will be properly structured in </w:t>
      </w:r>
      <w:r w:rsidR="00391A9F" w:rsidRPr="000B18C7">
        <w:t xml:space="preserve">Chapter 10 </w:t>
      </w:r>
      <w:r w:rsidR="00C44271" w:rsidRPr="00D45623">
        <w:t xml:space="preserve"> </w:t>
      </w:r>
      <w:r w:rsidR="00D563C9" w:rsidRPr="00D45623">
        <w:t>-</w:t>
      </w:r>
      <w:r w:rsidR="00D563C9" w:rsidRPr="00100AF5">
        <w:t xml:space="preserve"> Conclusions</w:t>
      </w:r>
      <w:r w:rsidR="009F6951" w:rsidRPr="00100AF5">
        <w:t>.</w:t>
      </w:r>
    </w:p>
    <w:p w:rsidR="00480687" w:rsidRPr="00100AF5" w:rsidRDefault="00480687" w:rsidP="00480687">
      <w:pPr>
        <w:pStyle w:val="Heading3"/>
      </w:pPr>
      <w:bookmarkStart w:id="139" w:name="_Toc273263524"/>
      <w:bookmarkStart w:id="140" w:name="_Toc273263660"/>
      <w:bookmarkStart w:id="141" w:name="_Toc276461278"/>
      <w:r w:rsidRPr="00100AF5">
        <w:t>Risk management</w:t>
      </w:r>
      <w:bookmarkEnd w:id="139"/>
      <w:bookmarkEnd w:id="140"/>
      <w:bookmarkEnd w:id="141"/>
    </w:p>
    <w:p w:rsidR="00480687" w:rsidRPr="00100AF5" w:rsidRDefault="00480687" w:rsidP="00480687">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How did the project deal with issues and risks?</w:t>
      </w:r>
    </w:p>
    <w:p w:rsidR="00480687" w:rsidRPr="00100AF5" w:rsidRDefault="0005484D" w:rsidP="00480687">
      <w:r w:rsidRPr="00100AF5">
        <w:t>The project documents, although providing a brief enumeration of risks, did not propose any interventions</w:t>
      </w:r>
      <w:r w:rsidR="00727F07" w:rsidRPr="00100AF5">
        <w:t xml:space="preserve"> or mechanisms</w:t>
      </w:r>
      <w:r w:rsidRPr="00100AF5">
        <w:t xml:space="preserve"> to minimize and adequately manage them. </w:t>
      </w:r>
      <w:r w:rsidR="005F66EA" w:rsidRPr="00100AF5">
        <w:t xml:space="preserve">Shortcomings and issues emerging during the Project </w:t>
      </w:r>
      <w:r w:rsidR="00727F07" w:rsidRPr="00100AF5">
        <w:t>implementation</w:t>
      </w:r>
      <w:r w:rsidR="005F66EA" w:rsidRPr="00100AF5">
        <w:t xml:space="preserve"> were targeted individually. </w:t>
      </w:r>
      <w:r w:rsidR="00727F07" w:rsidRPr="00100AF5">
        <w:t xml:space="preserve">Some issues were dealt with in SC meetings, but the irregular character of those meetings did not allow for proper supervision. As a consequence, the project was left mainly to the project managers and the </w:t>
      </w:r>
      <w:proofErr w:type="spellStart"/>
      <w:r w:rsidR="00727F07" w:rsidRPr="00100AF5">
        <w:t>MoPSD</w:t>
      </w:r>
      <w:proofErr w:type="spellEnd"/>
      <w:r w:rsidR="00727F07" w:rsidRPr="00100AF5">
        <w:t xml:space="preserve"> staff, with limited impact.</w:t>
      </w:r>
    </w:p>
    <w:p w:rsidR="00773010" w:rsidRPr="00100AF5" w:rsidRDefault="00773010" w:rsidP="00480687">
      <w:r w:rsidRPr="00100AF5">
        <w:t xml:space="preserve">The Support mission undertaken in February 2010 is a sign of renovated commitment and </w:t>
      </w:r>
      <w:r w:rsidR="009F7D4E" w:rsidRPr="00100AF5">
        <w:t>will to address issues and shortcomings of the Project.</w:t>
      </w:r>
    </w:p>
    <w:p w:rsidR="00480687" w:rsidRPr="00100AF5" w:rsidRDefault="00480687" w:rsidP="00480687">
      <w:pPr>
        <w:pStyle w:val="Heading3"/>
      </w:pPr>
      <w:bookmarkStart w:id="142" w:name="_Toc273263525"/>
      <w:bookmarkStart w:id="143" w:name="_Toc273263661"/>
      <w:bookmarkStart w:id="144" w:name="_Toc276461279"/>
      <w:r w:rsidRPr="00100AF5">
        <w:t>Timeliness</w:t>
      </w:r>
      <w:bookmarkEnd w:id="142"/>
      <w:bookmarkEnd w:id="143"/>
      <w:bookmarkEnd w:id="144"/>
    </w:p>
    <w:p w:rsidR="00480687" w:rsidRPr="00100AF5" w:rsidRDefault="00480687" w:rsidP="00480687">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Were the outputs achieved in a timely manner?</w:t>
      </w:r>
    </w:p>
    <w:p w:rsidR="00B656C1" w:rsidRPr="00100AF5" w:rsidRDefault="00B656C1" w:rsidP="00480687">
      <w:r w:rsidRPr="00100AF5">
        <w:t xml:space="preserve">In terms of timeliness, there were delays in the design and implementation of the Capacity Building activities and training, of which the most important ones – training of internal staff – were and will be delivered only in 2010. </w:t>
      </w:r>
    </w:p>
    <w:p w:rsidR="00480687" w:rsidRPr="00100AF5" w:rsidRDefault="00B656C1" w:rsidP="00480687">
      <w:r w:rsidRPr="00100AF5">
        <w:t>In terms of</w:t>
      </w:r>
      <w:r w:rsidR="00B46141">
        <w:t xml:space="preserve"> sequencing</w:t>
      </w:r>
      <w:r w:rsidRPr="00100AF5">
        <w:t xml:space="preserve">, it is worth to say that in general training and capacity building activities should have been more logically articulated and formulated. Training and capacity building of internal staff of the </w:t>
      </w:r>
      <w:proofErr w:type="spellStart"/>
      <w:r w:rsidRPr="00100AF5">
        <w:t>MoPSD</w:t>
      </w:r>
      <w:proofErr w:type="spellEnd"/>
      <w:r w:rsidRPr="00100AF5">
        <w:t xml:space="preserve"> should</w:t>
      </w:r>
      <w:r w:rsidR="00233421" w:rsidRPr="00100AF5">
        <w:t xml:space="preserve"> have been conducted prior to any other capacity building related activity, in order to consolidate internal resources</w:t>
      </w:r>
      <w:r w:rsidR="004806E2" w:rsidRPr="00100AF5">
        <w:t xml:space="preserve"> and allow for a more proper formulation of activities and issues to be dealt with externally, at MDAs level.</w:t>
      </w:r>
    </w:p>
    <w:p w:rsidR="00480687" w:rsidRPr="00100AF5" w:rsidRDefault="00480687" w:rsidP="00480687">
      <w:pPr>
        <w:pStyle w:val="Heading3"/>
      </w:pPr>
      <w:bookmarkStart w:id="145" w:name="_Toc273263526"/>
      <w:bookmarkStart w:id="146" w:name="_Toc273263662"/>
      <w:bookmarkStart w:id="147" w:name="_Toc276461280"/>
      <w:r w:rsidRPr="00100AF5">
        <w:t>Resource utilisation</w:t>
      </w:r>
      <w:bookmarkEnd w:id="145"/>
      <w:bookmarkEnd w:id="146"/>
      <w:bookmarkEnd w:id="147"/>
    </w:p>
    <w:p w:rsidR="00D971EF" w:rsidRPr="00100AF5" w:rsidRDefault="00D971EF" w:rsidP="00D971EF">
      <w:pPr>
        <w:pBdr>
          <w:top w:val="single" w:sz="4" w:space="1" w:color="auto"/>
          <w:left w:val="single" w:sz="4" w:space="4" w:color="auto"/>
          <w:bottom w:val="single" w:sz="4" w:space="1" w:color="auto"/>
          <w:right w:val="single" w:sz="4" w:space="4" w:color="auto"/>
        </w:pBdr>
        <w:rPr>
          <w:sz w:val="22"/>
        </w:rPr>
      </w:pPr>
      <w:r w:rsidRPr="00100AF5">
        <w:rPr>
          <w:rFonts w:ascii="Palatino Linotype" w:hAnsi="Palatino Linotype"/>
          <w:sz w:val="20"/>
          <w:szCs w:val="22"/>
        </w:rPr>
        <w:t>Were the resources utilized in the best way possible?</w:t>
      </w:r>
    </w:p>
    <w:p w:rsidR="00430043" w:rsidRPr="006064FA" w:rsidRDefault="00D52FC1" w:rsidP="00430043">
      <w:r w:rsidRPr="00100AF5">
        <w:t xml:space="preserve">Given limited funds available from UNDP, it is to be concluded that financial resources were correctly utilised. The project manager position has been an issue, and numerous replacements had a negative effect on Project’s effectiveness and continuity. Also, more project information should have been disseminated to </w:t>
      </w:r>
      <w:proofErr w:type="spellStart"/>
      <w:r w:rsidRPr="00100AF5">
        <w:t>MoPSD</w:t>
      </w:r>
      <w:proofErr w:type="spellEnd"/>
      <w:r w:rsidRPr="00100AF5">
        <w:t xml:space="preserve"> relevant staff, so as to consolidate results and </w:t>
      </w:r>
      <w:r w:rsidRPr="006064FA">
        <w:t>institutionalise the Project.</w:t>
      </w:r>
    </w:p>
    <w:p w:rsidR="00773010" w:rsidRPr="006064FA" w:rsidRDefault="00773010" w:rsidP="00773010">
      <w:pPr>
        <w:pStyle w:val="Heading3"/>
      </w:pPr>
      <w:bookmarkStart w:id="148" w:name="_Toc276461281"/>
      <w:r w:rsidRPr="006064FA">
        <w:t>Conclusions</w:t>
      </w:r>
      <w:bookmarkEnd w:id="148"/>
    </w:p>
    <w:p w:rsidR="00773010" w:rsidRPr="00100AF5" w:rsidRDefault="003C2C4D" w:rsidP="00773010">
      <w:r w:rsidRPr="006064FA">
        <w:t>Effectiveness</w:t>
      </w:r>
      <w:r w:rsidRPr="00100AF5">
        <w:t xml:space="preserve"> was mainly hindered by changes in strategic directions of the </w:t>
      </w:r>
      <w:proofErr w:type="spellStart"/>
      <w:r w:rsidRPr="00100AF5">
        <w:t>GoJ</w:t>
      </w:r>
      <w:proofErr w:type="spellEnd"/>
      <w:r w:rsidRPr="00100AF5">
        <w:t xml:space="preserve"> and </w:t>
      </w:r>
      <w:proofErr w:type="spellStart"/>
      <w:r w:rsidRPr="00100AF5">
        <w:t>MoPSD</w:t>
      </w:r>
      <w:proofErr w:type="spellEnd"/>
      <w:r w:rsidRPr="00100AF5">
        <w:t xml:space="preserve">. Capacity building and training might have been more effective if logically structured, i.e. firstly implemented at </w:t>
      </w:r>
      <w:proofErr w:type="spellStart"/>
      <w:r w:rsidRPr="00100AF5">
        <w:t>MoPSD</w:t>
      </w:r>
      <w:proofErr w:type="spellEnd"/>
      <w:r w:rsidRPr="00100AF5">
        <w:t xml:space="preserve"> staff level and only subsequently carried out in other MDAs. The </w:t>
      </w:r>
      <w:r w:rsidR="00B46141" w:rsidRPr="00100AF5">
        <w:t xml:space="preserve">preparation of a service delivery strategy was not implemented directly through the </w:t>
      </w:r>
      <w:r w:rsidR="00B46141">
        <w:t>Project, nor was</w:t>
      </w:r>
      <w:r w:rsidRPr="00100AF5">
        <w:t xml:space="preserve"> </w:t>
      </w:r>
      <w:r w:rsidR="00B46141">
        <w:t>a proper M&amp;E mechanism</w:t>
      </w:r>
      <w:r w:rsidRPr="00100AF5">
        <w:t xml:space="preserve"> put in place. Efficiency was medium, with delays in decision making, implementation of foreseen activities and </w:t>
      </w:r>
      <w:r w:rsidR="000350B5" w:rsidRPr="00100AF5">
        <w:t>to limited extent payments</w:t>
      </w:r>
      <w:r w:rsidRPr="00100AF5">
        <w:t>.</w:t>
      </w:r>
    </w:p>
    <w:p w:rsidR="008E4654" w:rsidRDefault="008E4654" w:rsidP="00B46141">
      <w:pPr>
        <w:pStyle w:val="Heading2"/>
        <w:spacing w:before="240" w:after="120"/>
      </w:pPr>
      <w:bookmarkStart w:id="149" w:name="_Toc273263527"/>
      <w:bookmarkStart w:id="150" w:name="_Toc273263663"/>
      <w:bookmarkStart w:id="151" w:name="_Toc276461282"/>
      <w:r w:rsidRPr="00100AF5">
        <w:t>Impact and sustainability</w:t>
      </w:r>
      <w:bookmarkEnd w:id="149"/>
      <w:bookmarkEnd w:id="150"/>
      <w:bookmarkEnd w:id="151"/>
    </w:p>
    <w:p w:rsidR="004047B4" w:rsidRPr="00100AF5" w:rsidRDefault="004047B4" w:rsidP="004047B4">
      <w:r w:rsidRPr="00100AF5">
        <w:t>The lack of impact indicators in the project is an important omission. There are neither mechanisms nor indicators for measuring the contribution of the project’s activities to the economic and social development of the country.</w:t>
      </w:r>
    </w:p>
    <w:p w:rsidR="00D35A84" w:rsidRPr="00100AF5" w:rsidRDefault="00D35A84" w:rsidP="004047B4">
      <w:r w:rsidRPr="00100AF5">
        <w:rPr>
          <w:color w:val="000000"/>
        </w:rPr>
        <w:t xml:space="preserve">The role of </w:t>
      </w:r>
      <w:proofErr w:type="spellStart"/>
      <w:r w:rsidRPr="00100AF5">
        <w:rPr>
          <w:color w:val="000000"/>
        </w:rPr>
        <w:t>MoPSD</w:t>
      </w:r>
      <w:proofErr w:type="spellEnd"/>
      <w:r w:rsidRPr="00100AF5">
        <w:rPr>
          <w:color w:val="000000"/>
        </w:rPr>
        <w:t xml:space="preserve"> in enhancing service delivery – implemented in the Project through dissemination of the Too</w:t>
      </w:r>
      <w:r w:rsidR="00F73E30" w:rsidRPr="00100AF5">
        <w:rPr>
          <w:color w:val="000000"/>
        </w:rPr>
        <w:t>l</w:t>
      </w:r>
      <w:r w:rsidRPr="00100AF5">
        <w:rPr>
          <w:color w:val="000000"/>
        </w:rPr>
        <w:t xml:space="preserve">kit – must be further strengthened. The Ministry should receive a clear mandate from the Prime Ministry and this should be endorsed by the Cabinet. Only under this condition </w:t>
      </w:r>
      <w:proofErr w:type="spellStart"/>
      <w:r w:rsidRPr="00100AF5">
        <w:rPr>
          <w:color w:val="000000"/>
        </w:rPr>
        <w:t>MoPSD</w:t>
      </w:r>
      <w:proofErr w:type="spellEnd"/>
      <w:r w:rsidRPr="00100AF5">
        <w:rPr>
          <w:color w:val="000000"/>
        </w:rPr>
        <w:t xml:space="preserve"> initiatives and indications will be taken into serious consideration by the MDAs in their agendas and action plans and will achieve tangible, institutionalized results.  </w:t>
      </w:r>
    </w:p>
    <w:p w:rsidR="004D10B2" w:rsidRPr="00100AF5" w:rsidRDefault="004047B4" w:rsidP="004D10B2">
      <w:pPr>
        <w:pStyle w:val="Heading4"/>
      </w:pPr>
      <w:bookmarkStart w:id="152" w:name="_Toc276461283"/>
      <w:r w:rsidRPr="00100AF5">
        <w:rPr>
          <w:rFonts w:eastAsia="Times New Roman" w:cs="Times New Roman"/>
        </w:rPr>
        <w:t>Achievement of Objectives</w:t>
      </w:r>
      <w:bookmarkEnd w:id="152"/>
      <w:r w:rsidRPr="00100AF5">
        <w:rPr>
          <w:rFonts w:eastAsia="Times New Roman" w:cs="Times New Roman"/>
        </w:rPr>
        <w:t xml:space="preserve"> </w:t>
      </w:r>
    </w:p>
    <w:p w:rsidR="004047B4" w:rsidRPr="00100AF5" w:rsidRDefault="004047B4" w:rsidP="004047B4">
      <w:r w:rsidRPr="00100AF5">
        <w:t>With regard to the overall objective, the Project contribution was limited. Work on the Toolkit</w:t>
      </w:r>
      <w:r w:rsidR="007B0C83" w:rsidRPr="00100AF5">
        <w:t xml:space="preserve"> </w:t>
      </w:r>
      <w:r w:rsidR="006C2776" w:rsidRPr="00100AF5">
        <w:t>and its streamlining has</w:t>
      </w:r>
      <w:r w:rsidRPr="00100AF5">
        <w:t xml:space="preserve"> represented</w:t>
      </w:r>
      <w:r w:rsidR="006C2776" w:rsidRPr="00100AF5">
        <w:t xml:space="preserve"> an important step which was</w:t>
      </w:r>
      <w:r w:rsidRPr="00100AF5">
        <w:t xml:space="preserve"> favoured by the Project.  Coherent and coordinated implementation measures are now needed to take advantage of the momentum. </w:t>
      </w:r>
    </w:p>
    <w:p w:rsidR="00D35A84" w:rsidRPr="00100AF5" w:rsidRDefault="007B0C83" w:rsidP="007B0C83">
      <w:r w:rsidRPr="00100AF5">
        <w:t xml:space="preserve">The impact of training on staff of MDAs is not easy to be measured, due to various reasons. </w:t>
      </w:r>
    </w:p>
    <w:p w:rsidR="007B0C83" w:rsidRPr="00100AF5" w:rsidRDefault="00D35A84" w:rsidP="007B0C83">
      <w:pPr>
        <w:rPr>
          <w:rFonts w:ascii="Palatino Linotype" w:hAnsi="Palatino Linotype"/>
          <w:sz w:val="20"/>
          <w:szCs w:val="22"/>
        </w:rPr>
      </w:pPr>
      <w:r w:rsidRPr="00100AF5">
        <w:t xml:space="preserve">On the other side, sub-projects have positively impacted on </w:t>
      </w:r>
      <w:proofErr w:type="spellStart"/>
      <w:r w:rsidRPr="00100AF5">
        <w:t>GoJ</w:t>
      </w:r>
      <w:proofErr w:type="spellEnd"/>
      <w:r w:rsidRPr="00100AF5">
        <w:t xml:space="preserve"> performances, although in limited fields.</w:t>
      </w:r>
    </w:p>
    <w:p w:rsidR="004D10B2" w:rsidRPr="00100AF5" w:rsidRDefault="004D10B2" w:rsidP="004D10B2">
      <w:pPr>
        <w:pStyle w:val="Heading4"/>
      </w:pPr>
      <w:bookmarkStart w:id="153" w:name="_Toc276461284"/>
      <w:r w:rsidRPr="00100AF5">
        <w:t>External factors</w:t>
      </w:r>
      <w:bookmarkEnd w:id="153"/>
      <w:r w:rsidR="004047B4" w:rsidRPr="00100AF5">
        <w:rPr>
          <w:rFonts w:eastAsia="Times New Roman" w:cs="Times New Roman"/>
        </w:rPr>
        <w:t xml:space="preserve">  </w:t>
      </w:r>
    </w:p>
    <w:p w:rsidR="004047B4" w:rsidRPr="00100AF5" w:rsidRDefault="004047B4" w:rsidP="004047B4">
      <w:r w:rsidRPr="00100AF5">
        <w:t xml:space="preserve">The </w:t>
      </w:r>
      <w:proofErr w:type="spellStart"/>
      <w:r w:rsidRPr="00100AF5">
        <w:t>GoJ</w:t>
      </w:r>
      <w:proofErr w:type="spellEnd"/>
      <w:r w:rsidRPr="00100AF5">
        <w:t xml:space="preserve"> initial commitment has facilitated the establishment of a favourable ground for the project’s activities. Subsequently, changes of priorities in the </w:t>
      </w:r>
      <w:proofErr w:type="spellStart"/>
      <w:r w:rsidRPr="00100AF5">
        <w:t>GoJ</w:t>
      </w:r>
      <w:proofErr w:type="spellEnd"/>
      <w:r w:rsidRPr="00100AF5">
        <w:t xml:space="preserve"> agenda, uncertainties and obstacles in the implementation of a coherent sector strategy and plan have hindered the success of the Project and have negatively impacted on its results</w:t>
      </w:r>
      <w:r w:rsidR="004D10B2" w:rsidRPr="00100AF5">
        <w:t>, especially at central level</w:t>
      </w:r>
      <w:r w:rsidRPr="00100AF5">
        <w:t>. Other donors cooperating with Jordan on this issue have encountered the same difficulties and have</w:t>
      </w:r>
      <w:r w:rsidR="007B0C83" w:rsidRPr="00100AF5">
        <w:t xml:space="preserve"> withdrawn from funding initiatives</w:t>
      </w:r>
      <w:r w:rsidRPr="00100AF5">
        <w:t>.</w:t>
      </w:r>
      <w:r w:rsidR="004D10B2" w:rsidRPr="00100AF5">
        <w:t xml:space="preserve"> As far as sub-projects, their focused </w:t>
      </w:r>
      <w:r w:rsidR="007B0C83" w:rsidRPr="00100AF5">
        <w:t xml:space="preserve">and practical </w:t>
      </w:r>
      <w:r w:rsidR="004D10B2" w:rsidRPr="00100AF5">
        <w:t>approach led to important achievements</w:t>
      </w:r>
      <w:r w:rsidR="007B0C83" w:rsidRPr="00100AF5">
        <w:t>,</w:t>
      </w:r>
      <w:r w:rsidR="004D10B2" w:rsidRPr="00100AF5">
        <w:t xml:space="preserve"> which </w:t>
      </w:r>
      <w:r w:rsidR="007B0C83" w:rsidRPr="00100AF5">
        <w:t xml:space="preserve">will perhaps </w:t>
      </w:r>
      <w:r w:rsidR="004D10B2" w:rsidRPr="00100AF5">
        <w:t xml:space="preserve">need to be taken into consideration in identifying the next UNDP intervention.  </w:t>
      </w:r>
    </w:p>
    <w:p w:rsidR="004D10B2" w:rsidRPr="00100AF5" w:rsidRDefault="004047B4" w:rsidP="004D10B2">
      <w:pPr>
        <w:pStyle w:val="Heading4"/>
      </w:pPr>
      <w:bookmarkStart w:id="154" w:name="_Toc276461285"/>
      <w:r w:rsidRPr="00100AF5">
        <w:rPr>
          <w:rFonts w:eastAsia="Times New Roman" w:cs="Times New Roman"/>
        </w:rPr>
        <w:t>M</w:t>
      </w:r>
      <w:r w:rsidR="004D10B2" w:rsidRPr="00100AF5">
        <w:t>anagement</w:t>
      </w:r>
      <w:bookmarkEnd w:id="154"/>
    </w:p>
    <w:p w:rsidR="004047B4" w:rsidRPr="00100AF5" w:rsidRDefault="004047B4" w:rsidP="004047B4">
      <w:r w:rsidRPr="00100AF5">
        <w:t>The absorption and implementation capacity of stakeholder</w:t>
      </w:r>
      <w:r w:rsidR="004D10B2" w:rsidRPr="00100AF5">
        <w:t>s at central level remained</w:t>
      </w:r>
      <w:r w:rsidRPr="00100AF5">
        <w:t xml:space="preserve"> uneven,</w:t>
      </w:r>
      <w:r w:rsidR="004D10B2" w:rsidRPr="00100AF5">
        <w:t xml:space="preserve"> with key staff turnover in </w:t>
      </w:r>
      <w:proofErr w:type="spellStart"/>
      <w:r w:rsidR="004D10B2" w:rsidRPr="00100AF5">
        <w:t>MoPSD</w:t>
      </w:r>
      <w:proofErr w:type="spellEnd"/>
      <w:r w:rsidR="008B4CE3" w:rsidRPr="00100AF5">
        <w:t xml:space="preserve"> and at the UNDP office</w:t>
      </w:r>
      <w:r w:rsidR="004D10B2" w:rsidRPr="00100AF5">
        <w:t>.</w:t>
      </w:r>
      <w:r w:rsidR="00D563C9" w:rsidRPr="00100AF5">
        <w:t xml:space="preserve"> </w:t>
      </w:r>
      <w:r w:rsidR="004D10B2" w:rsidRPr="00100AF5">
        <w:t>It is hoped that the determination of the current Minister will boost the process in the next months, provided that elections will not bring about significant changes.</w:t>
      </w:r>
      <w:r w:rsidRPr="00100AF5">
        <w:t xml:space="preserve"> At </w:t>
      </w:r>
      <w:r w:rsidR="004D10B2" w:rsidRPr="00100AF5">
        <w:t>sub-project level, the knowledge and commitment of staff in the two selected institutions were</w:t>
      </w:r>
      <w:r w:rsidRPr="00100AF5">
        <w:t xml:space="preserve"> very satisfactory and their inputs were decisive.</w:t>
      </w:r>
    </w:p>
    <w:p w:rsidR="00E021CB" w:rsidRPr="00100AF5" w:rsidRDefault="00E021CB" w:rsidP="00E021CB">
      <w:pPr>
        <w:pStyle w:val="Heading3"/>
      </w:pPr>
      <w:bookmarkStart w:id="155" w:name="_Toc273263529"/>
      <w:bookmarkStart w:id="156" w:name="_Toc273263665"/>
      <w:bookmarkStart w:id="157" w:name="_Toc276461286"/>
      <w:r w:rsidRPr="00100AF5">
        <w:t>Sustainability</w:t>
      </w:r>
      <w:bookmarkEnd w:id="155"/>
      <w:bookmarkEnd w:id="156"/>
      <w:bookmarkEnd w:id="157"/>
    </w:p>
    <w:p w:rsidR="00E021CB" w:rsidRPr="00100AF5" w:rsidRDefault="00E021CB" w:rsidP="00E021CB">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Will the outputs/outcomes lead to benefits beyond the life of the existing project?</w:t>
      </w:r>
    </w:p>
    <w:p w:rsidR="007B0C83" w:rsidRPr="00100AF5" w:rsidRDefault="007B0C83" w:rsidP="004047B4">
      <w:r w:rsidRPr="00100AF5">
        <w:t>Sustainability was not mentioned in the project document and was never raised as an issue at management level.</w:t>
      </w:r>
    </w:p>
    <w:p w:rsidR="004047B4" w:rsidRPr="00100AF5" w:rsidRDefault="008B4CE3" w:rsidP="004047B4">
      <w:r w:rsidRPr="00100AF5">
        <w:t xml:space="preserve">The sustainability of the Project with regard to </w:t>
      </w:r>
      <w:proofErr w:type="spellStart"/>
      <w:r w:rsidRPr="00100AF5">
        <w:t>MoPSD</w:t>
      </w:r>
      <w:proofErr w:type="spellEnd"/>
      <w:r w:rsidRPr="00100AF5">
        <w:t xml:space="preserve"> i</w:t>
      </w:r>
      <w:r w:rsidR="004047B4" w:rsidRPr="00100AF5">
        <w:t xml:space="preserve">s uneven for a variety of reasons. </w:t>
      </w:r>
      <w:r w:rsidRPr="00100AF5">
        <w:t xml:space="preserve">The implementation of the 2010 Support Mission results and recommendations  on the Toolkit depend </w:t>
      </w:r>
      <w:r w:rsidR="004047B4" w:rsidRPr="00100AF5">
        <w:t>h</w:t>
      </w:r>
      <w:r w:rsidRPr="00100AF5">
        <w:t>igh</w:t>
      </w:r>
      <w:r w:rsidR="004047B4" w:rsidRPr="00100AF5">
        <w:t>ly on personal skills and capacities</w:t>
      </w:r>
      <w:r w:rsidRPr="00100AF5">
        <w:t xml:space="preserve"> of the Ministry’s staff</w:t>
      </w:r>
      <w:r w:rsidR="004047B4" w:rsidRPr="00100AF5">
        <w:t>,</w:t>
      </w:r>
      <w:r w:rsidRPr="00100AF5">
        <w:t xml:space="preserve"> on the readiness of all MDAs to accept the tool as a useful instrument to improve SD, and finally on the political willingness of the Minister.</w:t>
      </w:r>
    </w:p>
    <w:p w:rsidR="004047B4" w:rsidRPr="00100AF5" w:rsidRDefault="008B4CE3" w:rsidP="004047B4">
      <w:r w:rsidRPr="00100AF5">
        <w:t xml:space="preserve">The Minister’s determination in boosting and initiating a proper public sector reform is high. </w:t>
      </w:r>
      <w:r w:rsidR="004047B4" w:rsidRPr="00100AF5">
        <w:t>In order to keep the momentum and pave the way for</w:t>
      </w:r>
      <w:r w:rsidR="005F75D7" w:rsidRPr="00100AF5">
        <w:t xml:space="preserve"> the next</w:t>
      </w:r>
      <w:r w:rsidR="004047B4" w:rsidRPr="00100AF5">
        <w:t xml:space="preserve"> </w:t>
      </w:r>
      <w:r w:rsidR="005F75D7" w:rsidRPr="00100AF5">
        <w:t>UNDP intervention</w:t>
      </w:r>
      <w:r w:rsidR="004047B4" w:rsidRPr="00100AF5">
        <w:t xml:space="preserve">, a close </w:t>
      </w:r>
      <w:r w:rsidR="007B2B21" w:rsidRPr="00100AF5">
        <w:t xml:space="preserve">cooperation with the </w:t>
      </w:r>
      <w:proofErr w:type="spellStart"/>
      <w:r w:rsidR="007B2B21" w:rsidRPr="00100AF5">
        <w:t>MoPSD</w:t>
      </w:r>
      <w:proofErr w:type="spellEnd"/>
      <w:r w:rsidR="007B2B21" w:rsidRPr="00100AF5">
        <w:t xml:space="preserve"> and a proper strategy</w:t>
      </w:r>
      <w:r w:rsidR="005F75D7" w:rsidRPr="00100AF5">
        <w:t xml:space="preserve"> in place</w:t>
      </w:r>
      <w:r w:rsidR="007B2B21" w:rsidRPr="00100AF5">
        <w:t xml:space="preserve"> </w:t>
      </w:r>
      <w:r w:rsidR="005F75D7" w:rsidRPr="00100AF5">
        <w:t>are</w:t>
      </w:r>
      <w:r w:rsidR="004047B4" w:rsidRPr="00100AF5">
        <w:t xml:space="preserve"> crucial. At the moment, </w:t>
      </w:r>
      <w:r w:rsidR="007B2B21" w:rsidRPr="00100AF5">
        <w:t>very limited</w:t>
      </w:r>
      <w:r w:rsidR="004047B4" w:rsidRPr="00100AF5">
        <w:t xml:space="preserve"> actions in terms of capacity building/training </w:t>
      </w:r>
      <w:r w:rsidR="007B2B21" w:rsidRPr="00100AF5">
        <w:t>are</w:t>
      </w:r>
      <w:r w:rsidR="004047B4" w:rsidRPr="00100AF5">
        <w:t xml:space="preserve"> carried out</w:t>
      </w:r>
      <w:r w:rsidR="007B2B21" w:rsidRPr="00100AF5">
        <w:t xml:space="preserve"> in</w:t>
      </w:r>
      <w:r w:rsidR="004047B4" w:rsidRPr="00100AF5">
        <w:t xml:space="preserve"> involved ministries</w:t>
      </w:r>
      <w:r w:rsidR="005F75D7" w:rsidRPr="00100AF5">
        <w:t>,</w:t>
      </w:r>
      <w:r w:rsidR="004047B4" w:rsidRPr="00100AF5">
        <w:t xml:space="preserve"> u</w:t>
      </w:r>
      <w:r w:rsidR="007B2B21" w:rsidRPr="00100AF5">
        <w:t>nless they are</w:t>
      </w:r>
      <w:r w:rsidR="004047B4" w:rsidRPr="00100AF5">
        <w:t xml:space="preserve"> specifically requested. This of course entails sustainability</w:t>
      </w:r>
      <w:r w:rsidR="00EB0AA0" w:rsidRPr="00100AF5">
        <w:t>,</w:t>
      </w:r>
      <w:r w:rsidR="004047B4" w:rsidRPr="00100AF5">
        <w:t xml:space="preserve"> </w:t>
      </w:r>
      <w:r w:rsidR="00311E50" w:rsidRPr="00100AF5">
        <w:t xml:space="preserve">and is </w:t>
      </w:r>
      <w:r w:rsidR="004047B4" w:rsidRPr="00100AF5">
        <w:t>associated</w:t>
      </w:r>
      <w:r w:rsidR="00311E50" w:rsidRPr="00100AF5">
        <w:t xml:space="preserve"> with the limited capacity of MDA staff to identify their needs in service delivery</w:t>
      </w:r>
      <w:r w:rsidR="004047B4" w:rsidRPr="00100AF5">
        <w:t>.</w:t>
      </w:r>
      <w:r w:rsidR="00311E50" w:rsidRPr="00100AF5">
        <w:t xml:space="preserve"> The absence of developed training packages poses heavy limitations to Project sustainability and its capacity to disseminate results.</w:t>
      </w:r>
    </w:p>
    <w:p w:rsidR="00E021CB" w:rsidRPr="00100AF5" w:rsidRDefault="00E021CB" w:rsidP="00E021CB">
      <w:pPr>
        <w:pStyle w:val="Heading3"/>
      </w:pPr>
      <w:bookmarkStart w:id="158" w:name="_Toc273263530"/>
      <w:bookmarkStart w:id="159" w:name="_Toc273263666"/>
      <w:bookmarkStart w:id="160" w:name="_Toc276461287"/>
      <w:r w:rsidRPr="00100AF5">
        <w:t>Ownership</w:t>
      </w:r>
      <w:bookmarkEnd w:id="158"/>
      <w:bookmarkEnd w:id="159"/>
      <w:bookmarkEnd w:id="160"/>
    </w:p>
    <w:p w:rsidR="00E021CB" w:rsidRPr="00100AF5" w:rsidRDefault="00E021CB" w:rsidP="00E021CB">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 xml:space="preserve">Were the actions and results owned by the local partners and stakeholders?  </w:t>
      </w:r>
    </w:p>
    <w:p w:rsidR="00895DF0" w:rsidRPr="00100AF5" w:rsidRDefault="00895DF0" w:rsidP="00895DF0">
      <w:pPr>
        <w:pStyle w:val="Heading4"/>
      </w:pPr>
      <w:bookmarkStart w:id="161" w:name="_Toc276461288"/>
      <w:r w:rsidRPr="00100AF5">
        <w:t>Ownership of Objectives</w:t>
      </w:r>
      <w:bookmarkEnd w:id="161"/>
    </w:p>
    <w:p w:rsidR="001B630D" w:rsidRPr="00100AF5" w:rsidRDefault="004806E2" w:rsidP="00895DF0">
      <w:r w:rsidRPr="00100AF5">
        <w:t xml:space="preserve">The establishment of </w:t>
      </w:r>
      <w:proofErr w:type="spellStart"/>
      <w:r w:rsidRPr="00100AF5">
        <w:t>MoPSD</w:t>
      </w:r>
      <w:proofErr w:type="spellEnd"/>
      <w:r w:rsidRPr="00100AF5">
        <w:t xml:space="preserve"> has demonstrated the </w:t>
      </w:r>
      <w:proofErr w:type="spellStart"/>
      <w:r w:rsidRPr="00100AF5">
        <w:t>GoJ</w:t>
      </w:r>
      <w:proofErr w:type="spellEnd"/>
      <w:r w:rsidRPr="00100AF5">
        <w:t xml:space="preserve"> commitment to carry out the reform. There is </w:t>
      </w:r>
      <w:r w:rsidR="001B630D" w:rsidRPr="00100AF5">
        <w:t>no information on the involvement of relevant State bodies in the Project preparation. Some perplexities were expressed by the 2010 Mission on the actual capabilities of the State institutions to advance in the service delivery process. It is not clear whether the is</w:t>
      </w:r>
      <w:r w:rsidRPr="00100AF5">
        <w:t>sue was debated with the other i</w:t>
      </w:r>
      <w:r w:rsidR="001B630D" w:rsidRPr="00100AF5">
        <w:t>nstitutional stakeholders, as well as with the UND</w:t>
      </w:r>
      <w:r w:rsidRPr="00100AF5">
        <w:t>P. It seems however that there we</w:t>
      </w:r>
      <w:r w:rsidR="001B630D" w:rsidRPr="00100AF5">
        <w:t xml:space="preserve">re difficulties in sharing goals and vision of the Project with the relevant stakeholders. Also, the role of the </w:t>
      </w:r>
      <w:proofErr w:type="spellStart"/>
      <w:r w:rsidR="001B630D" w:rsidRPr="00100AF5">
        <w:t>MoPSD</w:t>
      </w:r>
      <w:proofErr w:type="spellEnd"/>
      <w:r w:rsidR="001B630D" w:rsidRPr="00100AF5">
        <w:t xml:space="preserve"> in steering the service delivery improvement process – and in general in leading the public sector reform – is not strong and institutionalised enough to achieve significant objectives.</w:t>
      </w:r>
    </w:p>
    <w:p w:rsidR="00895DF0" w:rsidRPr="00100AF5" w:rsidRDefault="00895DF0" w:rsidP="00895DF0">
      <w:r w:rsidRPr="00100AF5">
        <w:t xml:space="preserve">It is worth mentioning that the extent of involvement of different stakeholders depended </w:t>
      </w:r>
      <w:r w:rsidR="001B630D" w:rsidRPr="00100AF5">
        <w:t xml:space="preserve">also on the capacities of </w:t>
      </w:r>
      <w:r w:rsidR="004806E2" w:rsidRPr="00100AF5">
        <w:t>each Institution: the SDI staff states that while some MDAs are well staffed, have a good institutional culture and are committed to SDI process, others experience difficulties in service improvement and do not possess the adequate motivation and willingness to undertake such changes.</w:t>
      </w:r>
    </w:p>
    <w:p w:rsidR="00895DF0" w:rsidRPr="00100AF5" w:rsidRDefault="004806E2" w:rsidP="004806E2">
      <w:pPr>
        <w:spacing w:before="240" w:after="120"/>
      </w:pPr>
      <w:r w:rsidRPr="00100AF5">
        <w:t>As said above, absence in the Steering Committee of relevant MDAs involved in service delivery represented a weakness:</w:t>
      </w:r>
      <w:r w:rsidR="0084213C" w:rsidRPr="00100AF5">
        <w:t xml:space="preserve"> this would have provided for better involvement and commitment. </w:t>
      </w:r>
    </w:p>
    <w:p w:rsidR="00895DF0" w:rsidRPr="00100AF5" w:rsidRDefault="00895DF0" w:rsidP="004806E2">
      <w:pPr>
        <w:pStyle w:val="Heading4"/>
        <w:spacing w:before="240" w:after="120"/>
      </w:pPr>
      <w:bookmarkStart w:id="162" w:name="_Toc276461289"/>
      <w:r w:rsidRPr="00100AF5">
        <w:t>Ownership of achievements</w:t>
      </w:r>
      <w:bookmarkEnd w:id="162"/>
      <w:r w:rsidRPr="00100AF5">
        <w:t xml:space="preserve"> </w:t>
      </w:r>
    </w:p>
    <w:p w:rsidR="00895DF0" w:rsidRPr="00100AF5" w:rsidRDefault="00895DF0" w:rsidP="004806E2">
      <w:pPr>
        <w:spacing w:before="240" w:after="120"/>
        <w:rPr>
          <w:highlight w:val="yellow"/>
        </w:rPr>
      </w:pPr>
      <w:r w:rsidRPr="00100AF5">
        <w:rPr>
          <w:u w:val="single"/>
        </w:rPr>
        <w:t>Strategy.</w:t>
      </w:r>
      <w:r w:rsidRPr="00100AF5">
        <w:t xml:space="preserve"> The </w:t>
      </w:r>
      <w:r w:rsidR="00EB30A3" w:rsidRPr="00100AF5">
        <w:t xml:space="preserve">preparation of a </w:t>
      </w:r>
      <w:r w:rsidR="00917AA7" w:rsidRPr="00100AF5">
        <w:t>Strategy</w:t>
      </w:r>
      <w:r w:rsidR="00EB30A3" w:rsidRPr="00100AF5">
        <w:t xml:space="preserve"> for </w:t>
      </w:r>
      <w:r w:rsidR="00917AA7" w:rsidRPr="00100AF5">
        <w:t>Service</w:t>
      </w:r>
      <w:r w:rsidR="00EB30A3" w:rsidRPr="00100AF5">
        <w:t xml:space="preserve"> delivery and of an Operational Plan, although not implemented though the Project, </w:t>
      </w:r>
      <w:r w:rsidRPr="00100AF5">
        <w:t>is a clear evidence of a ownership of</w:t>
      </w:r>
      <w:r w:rsidR="00EB30A3" w:rsidRPr="00100AF5">
        <w:t xml:space="preserve"> service delivery issues.</w:t>
      </w:r>
      <w:r w:rsidRPr="00100AF5">
        <w:t xml:space="preserve"> </w:t>
      </w:r>
      <w:proofErr w:type="spellStart"/>
      <w:r w:rsidR="007C72FA" w:rsidRPr="00100AF5">
        <w:t>MoPSD</w:t>
      </w:r>
      <w:proofErr w:type="spellEnd"/>
      <w:r w:rsidR="007C72FA" w:rsidRPr="00100AF5">
        <w:t xml:space="preserve"> is chairing the </w:t>
      </w:r>
      <w:proofErr w:type="spellStart"/>
      <w:r w:rsidR="007C72FA" w:rsidRPr="00100AF5">
        <w:t>Interministerial</w:t>
      </w:r>
      <w:proofErr w:type="spellEnd"/>
      <w:r w:rsidR="007C72FA" w:rsidRPr="00100AF5">
        <w:t xml:space="preserve"> Committee on Capacity Building for Service Delivery. </w:t>
      </w:r>
      <w:r w:rsidRPr="00100AF5">
        <w:t>At the moment, the</w:t>
      </w:r>
      <w:r w:rsidR="007C72FA" w:rsidRPr="00100AF5">
        <w:t xml:space="preserve"> PSR is undergoing a revision which should lead to a comprehensive strategy to be endorsed by the Cabinet. Timing for this will depend upon the Minister’s ability to negotiate the strategy with the Cabinet and upon the results of forthcoming elections, to be held in November 2010.</w:t>
      </w:r>
    </w:p>
    <w:p w:rsidR="00895DF0" w:rsidRPr="00100AF5" w:rsidRDefault="0084213C" w:rsidP="0084213C">
      <w:r w:rsidRPr="00100AF5">
        <w:rPr>
          <w:u w:val="single"/>
        </w:rPr>
        <w:t>Service Delivery</w:t>
      </w:r>
      <w:r w:rsidRPr="00100AF5">
        <w:t xml:space="preserve">. </w:t>
      </w:r>
      <w:r w:rsidR="00895DF0" w:rsidRPr="00100AF5">
        <w:t>This is quite a controversially-percei</w:t>
      </w:r>
      <w:r w:rsidRPr="00100AF5">
        <w:t>ved achievement. Some of the MDAs</w:t>
      </w:r>
      <w:r w:rsidR="00895DF0" w:rsidRPr="00100AF5">
        <w:t xml:space="preserve"> are more aware of the role of </w:t>
      </w:r>
      <w:r w:rsidRPr="00100AF5">
        <w:t xml:space="preserve">the customer orientation concept in service delivery </w:t>
      </w:r>
      <w:r w:rsidR="00895DF0" w:rsidRPr="00100AF5">
        <w:t>and their potential to</w:t>
      </w:r>
      <w:r w:rsidRPr="00100AF5">
        <w:t xml:space="preserve"> improve work of institutions and citizens’ live</w:t>
      </w:r>
      <w:r w:rsidR="00DD1897" w:rsidRPr="00100AF5">
        <w:t>s</w:t>
      </w:r>
      <w:r w:rsidRPr="00100AF5">
        <w:t>. O</w:t>
      </w:r>
      <w:r w:rsidR="00895DF0" w:rsidRPr="00100AF5">
        <w:t>thers</w:t>
      </w:r>
      <w:r w:rsidRPr="00100AF5">
        <w:t xml:space="preserve">, however, seem </w:t>
      </w:r>
      <w:r w:rsidR="00895DF0" w:rsidRPr="00100AF5">
        <w:t xml:space="preserve">less aware and see </w:t>
      </w:r>
      <w:r w:rsidRPr="00100AF5">
        <w:t xml:space="preserve">the toolkit not as a needed and compulsory tool to be utilised and included in their working tools. Moreover, the role of </w:t>
      </w:r>
      <w:proofErr w:type="spellStart"/>
      <w:r w:rsidRPr="00100AF5">
        <w:t>MoPSD</w:t>
      </w:r>
      <w:proofErr w:type="spellEnd"/>
      <w:r w:rsidRPr="00100AF5">
        <w:t xml:space="preserve"> is not perceived as key. </w:t>
      </w:r>
      <w:r w:rsidR="00895DF0" w:rsidRPr="00100AF5">
        <w:t xml:space="preserve">The low retention rate in the </w:t>
      </w:r>
      <w:r w:rsidRPr="00100AF5">
        <w:t xml:space="preserve">Ministry </w:t>
      </w:r>
      <w:r w:rsidR="00EB30A3" w:rsidRPr="00100AF5">
        <w:t>staff (as an example,</w:t>
      </w:r>
      <w:r w:rsidR="008D5549" w:rsidRPr="00100AF5">
        <w:t xml:space="preserve"> </w:t>
      </w:r>
      <w:r w:rsidR="006A0571">
        <w:t xml:space="preserve">several </w:t>
      </w:r>
      <w:r w:rsidR="00EB30A3" w:rsidRPr="00100AF5">
        <w:t xml:space="preserve">consultants working in </w:t>
      </w:r>
      <w:proofErr w:type="spellStart"/>
      <w:r w:rsidR="00EB30A3" w:rsidRPr="00100AF5">
        <w:t>MoPSD</w:t>
      </w:r>
      <w:proofErr w:type="spellEnd"/>
      <w:r w:rsidR="008D5549" w:rsidRPr="00100AF5">
        <w:t xml:space="preserve"> were fired by the previous Minister </w:t>
      </w:r>
      <w:r w:rsidR="00EB30A3" w:rsidRPr="00100AF5">
        <w:t>with the pretext of being too expensive</w:t>
      </w:r>
      <w:r w:rsidR="00895DF0" w:rsidRPr="00100AF5">
        <w:t xml:space="preserve">) can </w:t>
      </w:r>
      <w:r w:rsidRPr="00100AF5">
        <w:t xml:space="preserve">also </w:t>
      </w:r>
      <w:r w:rsidR="00895DF0" w:rsidRPr="00100AF5">
        <w:t xml:space="preserve">have affected – though to a limited extent – this feeling. </w:t>
      </w:r>
    </w:p>
    <w:p w:rsidR="00895DF0" w:rsidRPr="00100AF5" w:rsidRDefault="00895DF0" w:rsidP="0084213C">
      <w:r w:rsidRPr="00100AF5">
        <w:rPr>
          <w:u w:val="single"/>
        </w:rPr>
        <w:t>Training and capacity building</w:t>
      </w:r>
      <w:r w:rsidRPr="00100AF5">
        <w:t>.</w:t>
      </w:r>
      <w:r w:rsidR="00EB30A3" w:rsidRPr="00100AF5">
        <w:t xml:space="preserve"> </w:t>
      </w:r>
      <w:r w:rsidR="009C10D1">
        <w:t>I</w:t>
      </w:r>
      <w:r w:rsidR="00DD1897" w:rsidRPr="00100AF5">
        <w:t xml:space="preserve">t </w:t>
      </w:r>
      <w:r w:rsidR="009C10D1">
        <w:t>seems</w:t>
      </w:r>
      <w:r w:rsidR="00DD1897" w:rsidRPr="00100AF5">
        <w:t xml:space="preserve"> clear that there is a</w:t>
      </w:r>
      <w:r w:rsidRPr="00100AF5">
        <w:t xml:space="preserve"> need for continuous training. </w:t>
      </w:r>
      <w:r w:rsidR="00EB30A3" w:rsidRPr="00100AF5">
        <w:t>An institutionalised planned</w:t>
      </w:r>
      <w:r w:rsidRPr="00100AF5">
        <w:t xml:space="preserve"> continuous learn</w:t>
      </w:r>
      <w:r w:rsidR="00DD1897" w:rsidRPr="00100AF5">
        <w:t>ing process/mechanism (which could perhaps</w:t>
      </w:r>
      <w:r w:rsidRPr="00100AF5">
        <w:t xml:space="preserve"> also help solving the issue of staff turnover) is not actually in place as such. This is a really key point to ensure sustainability and “bridge” the gaps that exist among different M</w:t>
      </w:r>
      <w:r w:rsidR="00DD1897" w:rsidRPr="00100AF5">
        <w:t>DAs in service delivery</w:t>
      </w:r>
      <w:r w:rsidRPr="00100AF5">
        <w:t xml:space="preserve">. </w:t>
      </w:r>
    </w:p>
    <w:p w:rsidR="00895DF0" w:rsidRPr="00100AF5" w:rsidRDefault="009C10D1" w:rsidP="0084213C">
      <w:r>
        <w:t>The consultant</w:t>
      </w:r>
      <w:r w:rsidR="00895DF0" w:rsidRPr="00100AF5">
        <w:t xml:space="preserve"> </w:t>
      </w:r>
      <w:r w:rsidR="0084213C" w:rsidRPr="00100AF5">
        <w:t>could verify that no</w:t>
      </w:r>
      <w:r w:rsidR="00895DF0" w:rsidRPr="00100AF5">
        <w:t xml:space="preserve"> quality</w:t>
      </w:r>
      <w:r w:rsidR="0084213C" w:rsidRPr="00100AF5">
        <w:t xml:space="preserve"> or impact evaluation </w:t>
      </w:r>
      <w:r w:rsidR="00895DF0" w:rsidRPr="00100AF5">
        <w:t xml:space="preserve">report on training and capacity building conducted by </w:t>
      </w:r>
      <w:proofErr w:type="spellStart"/>
      <w:r w:rsidR="0084213C" w:rsidRPr="00100AF5">
        <w:t>MoPSD</w:t>
      </w:r>
      <w:proofErr w:type="spellEnd"/>
      <w:r w:rsidR="0084213C" w:rsidRPr="00100AF5">
        <w:t xml:space="preserve"> was done. </w:t>
      </w:r>
      <w:r w:rsidR="00895DF0" w:rsidRPr="00100AF5">
        <w:t>Being capacity-building a long term continuous learning process, an “exposure” to development through practical training on-the-job and exchanges of experiences would have been definitely useful for better consolidation of concepts and ideas.</w:t>
      </w:r>
    </w:p>
    <w:p w:rsidR="00E021CB" w:rsidRPr="00100AF5" w:rsidRDefault="00E021CB" w:rsidP="004806E2">
      <w:pPr>
        <w:pStyle w:val="Heading3"/>
        <w:spacing w:before="240" w:after="120"/>
      </w:pPr>
      <w:bookmarkStart w:id="163" w:name="_Toc273263531"/>
      <w:bookmarkStart w:id="164" w:name="_Toc273263667"/>
      <w:bookmarkStart w:id="165" w:name="_Toc276461290"/>
      <w:r w:rsidRPr="00100AF5">
        <w:t>Capacity building</w:t>
      </w:r>
      <w:bookmarkEnd w:id="163"/>
      <w:bookmarkEnd w:id="164"/>
      <w:bookmarkEnd w:id="165"/>
    </w:p>
    <w:p w:rsidR="00E021CB" w:rsidRPr="00100AF5" w:rsidRDefault="00E021CB" w:rsidP="00E021CB">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Was capacity (individuals, institution, systems) built through the actions of the project?</w:t>
      </w:r>
    </w:p>
    <w:p w:rsidR="00EB30A3" w:rsidRPr="00100AF5" w:rsidRDefault="00AA5E78" w:rsidP="002726A7">
      <w:pPr>
        <w:rPr>
          <w:color w:val="000000"/>
        </w:rPr>
      </w:pPr>
      <w:r w:rsidRPr="00100AF5">
        <w:rPr>
          <w:color w:val="000000"/>
        </w:rPr>
        <w:t>Project activities on capacity building to date are limited to the training courses implemented for 100 staff from relevant institutions involved in service delivery.</w:t>
      </w:r>
      <w:r w:rsidR="00D10E92" w:rsidRPr="00100AF5">
        <w:rPr>
          <w:color w:val="000000"/>
        </w:rPr>
        <w:t xml:space="preserve">  </w:t>
      </w:r>
    </w:p>
    <w:p w:rsidR="008D5549" w:rsidRPr="00100AF5" w:rsidRDefault="00EB30A3" w:rsidP="002726A7">
      <w:r w:rsidRPr="00100AF5">
        <w:rPr>
          <w:color w:val="000000"/>
        </w:rPr>
        <w:t xml:space="preserve">At present, the SDI staff is cooperating with: </w:t>
      </w:r>
      <w:r w:rsidR="008D5549" w:rsidRPr="00100AF5">
        <w:t>M</w:t>
      </w:r>
      <w:r w:rsidR="00157FFE" w:rsidRPr="00100AF5">
        <w:t xml:space="preserve">inistry </w:t>
      </w:r>
      <w:r w:rsidR="008D5549" w:rsidRPr="00100AF5">
        <w:t>o</w:t>
      </w:r>
      <w:r w:rsidR="00157FFE" w:rsidRPr="00100AF5">
        <w:t>f Health</w:t>
      </w:r>
      <w:r w:rsidR="008D5549" w:rsidRPr="00100AF5">
        <w:t>, Passport Dep</w:t>
      </w:r>
      <w:r w:rsidRPr="00100AF5">
        <w:t>artment</w:t>
      </w:r>
      <w:r w:rsidR="008D5549" w:rsidRPr="00100AF5">
        <w:t xml:space="preserve">, Licensing </w:t>
      </w:r>
      <w:r w:rsidRPr="00100AF5">
        <w:t>Department</w:t>
      </w:r>
      <w:r w:rsidR="008D5549" w:rsidRPr="00100AF5">
        <w:t>, M</w:t>
      </w:r>
      <w:r w:rsidRPr="00100AF5">
        <w:t>inistry of Foreign Affairs (</w:t>
      </w:r>
      <w:proofErr w:type="spellStart"/>
      <w:r w:rsidRPr="00100AF5">
        <w:t>M</w:t>
      </w:r>
      <w:r w:rsidR="008D5549" w:rsidRPr="00100AF5">
        <w:t>oFA</w:t>
      </w:r>
      <w:proofErr w:type="spellEnd"/>
      <w:r w:rsidRPr="00100AF5">
        <w:t>)</w:t>
      </w:r>
      <w:r w:rsidR="008D5549" w:rsidRPr="00100AF5">
        <w:t xml:space="preserve"> for authenticating papers, Housing and Urban Dev</w:t>
      </w:r>
      <w:r w:rsidRPr="00100AF5">
        <w:t>elopment Department</w:t>
      </w:r>
      <w:r w:rsidR="008D5549" w:rsidRPr="00100AF5">
        <w:t xml:space="preserve"> </w:t>
      </w:r>
      <w:r w:rsidR="00C27580" w:rsidRPr="00100AF5">
        <w:t>(</w:t>
      </w:r>
      <w:r w:rsidRPr="00100AF5">
        <w:t>on reengineering services</w:t>
      </w:r>
      <w:r w:rsidR="008D5549" w:rsidRPr="00100AF5">
        <w:t xml:space="preserve"> to get housing permits and land drawing</w:t>
      </w:r>
      <w:r w:rsidR="00C27580" w:rsidRPr="00100AF5">
        <w:t>)</w:t>
      </w:r>
      <w:r w:rsidR="008D5549" w:rsidRPr="00100AF5">
        <w:t xml:space="preserve">, Civil </w:t>
      </w:r>
      <w:r w:rsidR="00C27580" w:rsidRPr="00100AF5">
        <w:t xml:space="preserve">Service </w:t>
      </w:r>
      <w:r w:rsidR="008D5549" w:rsidRPr="00100AF5">
        <w:t xml:space="preserve">Consumer </w:t>
      </w:r>
      <w:r w:rsidR="00C27580" w:rsidRPr="00100AF5">
        <w:t>Corporation</w:t>
      </w:r>
      <w:r w:rsidRPr="00100AF5">
        <w:t xml:space="preserve"> </w:t>
      </w:r>
      <w:r w:rsidR="00C27580" w:rsidRPr="00100AF5">
        <w:t>(</w:t>
      </w:r>
      <w:r w:rsidRPr="00100AF5">
        <w:t xml:space="preserve">a sort of supermarket initially only for </w:t>
      </w:r>
      <w:r w:rsidR="00C27580" w:rsidRPr="00100AF5">
        <w:t>civ</w:t>
      </w:r>
      <w:r w:rsidRPr="00100AF5">
        <w:t>il</w:t>
      </w:r>
      <w:r w:rsidR="00C27580" w:rsidRPr="00100AF5">
        <w:t xml:space="preserve"> serv</w:t>
      </w:r>
      <w:r w:rsidRPr="00100AF5">
        <w:t>ants</w:t>
      </w:r>
      <w:r w:rsidR="00C27580" w:rsidRPr="00100AF5">
        <w:t xml:space="preserve">, then </w:t>
      </w:r>
      <w:r w:rsidRPr="00100AF5">
        <w:t>extended to the population at whole)</w:t>
      </w:r>
      <w:r w:rsidR="00C27580" w:rsidRPr="00100AF5">
        <w:t>, Lands and Survey Dep</w:t>
      </w:r>
      <w:r w:rsidRPr="00100AF5">
        <w:t>artmen</w:t>
      </w:r>
      <w:r w:rsidR="00C27580" w:rsidRPr="00100AF5">
        <w:t xml:space="preserve">t, </w:t>
      </w:r>
      <w:r w:rsidRPr="00100AF5">
        <w:t xml:space="preserve">Ministry of </w:t>
      </w:r>
      <w:r w:rsidR="00157FFE" w:rsidRPr="00100AF5">
        <w:t>Municipal</w:t>
      </w:r>
      <w:r w:rsidRPr="00100AF5">
        <w:t xml:space="preserve"> Affairs (</w:t>
      </w:r>
      <w:proofErr w:type="spellStart"/>
      <w:r w:rsidRPr="00100AF5">
        <w:t>M</w:t>
      </w:r>
      <w:r w:rsidR="00C27580" w:rsidRPr="00100AF5">
        <w:t>oMA</w:t>
      </w:r>
      <w:proofErr w:type="spellEnd"/>
      <w:r w:rsidRPr="00100AF5">
        <w:t>)</w:t>
      </w:r>
      <w:r w:rsidR="00C27580" w:rsidRPr="00100AF5">
        <w:t xml:space="preserve"> on reengineering services, M</w:t>
      </w:r>
      <w:r w:rsidRPr="00100AF5">
        <w:t xml:space="preserve">inistry </w:t>
      </w:r>
      <w:r w:rsidR="00C27580" w:rsidRPr="00100AF5">
        <w:t>o</w:t>
      </w:r>
      <w:r w:rsidRPr="00100AF5">
        <w:t xml:space="preserve">f </w:t>
      </w:r>
      <w:r w:rsidR="00C27580" w:rsidRPr="00100AF5">
        <w:t>I</w:t>
      </w:r>
      <w:r w:rsidRPr="00100AF5">
        <w:t>nterior</w:t>
      </w:r>
      <w:r w:rsidR="00C27580" w:rsidRPr="00100AF5">
        <w:t>, M</w:t>
      </w:r>
      <w:r w:rsidRPr="00100AF5">
        <w:t xml:space="preserve">inistry </w:t>
      </w:r>
      <w:r w:rsidR="00C27580" w:rsidRPr="00100AF5">
        <w:t>o</w:t>
      </w:r>
      <w:r w:rsidRPr="00100AF5">
        <w:t xml:space="preserve">f </w:t>
      </w:r>
      <w:r w:rsidR="00157FFE" w:rsidRPr="00100AF5">
        <w:t>Labour, Residence</w:t>
      </w:r>
      <w:r w:rsidR="00C27580" w:rsidRPr="00100AF5">
        <w:t xml:space="preserve"> and Border Dep</w:t>
      </w:r>
      <w:r w:rsidRPr="00100AF5">
        <w:t>artmen</w:t>
      </w:r>
      <w:r w:rsidR="00C27580" w:rsidRPr="00100AF5">
        <w:t>t of General Security (Police), M</w:t>
      </w:r>
      <w:r w:rsidRPr="00100AF5">
        <w:t xml:space="preserve">inistry </w:t>
      </w:r>
      <w:r w:rsidR="00C27580" w:rsidRPr="00100AF5">
        <w:t>o</w:t>
      </w:r>
      <w:r w:rsidRPr="00100AF5">
        <w:t xml:space="preserve">f </w:t>
      </w:r>
      <w:r w:rsidR="00C27580" w:rsidRPr="00100AF5">
        <w:t>S</w:t>
      </w:r>
      <w:r w:rsidRPr="00100AF5">
        <w:t xml:space="preserve">ocial Development.  </w:t>
      </w:r>
      <w:r w:rsidR="00157FFE" w:rsidRPr="00100AF5">
        <w:t>Acceptance and cooperation highly differ, with a very good cooperation from L</w:t>
      </w:r>
      <w:r w:rsidR="00C27580" w:rsidRPr="00100AF5">
        <w:t xml:space="preserve">icensing </w:t>
      </w:r>
      <w:r w:rsidR="00157FFE" w:rsidRPr="00100AF5">
        <w:t>Department (</w:t>
      </w:r>
      <w:r w:rsidR="00C27580" w:rsidRPr="00100AF5">
        <w:t xml:space="preserve">it is </w:t>
      </w:r>
      <w:r w:rsidR="00157FFE" w:rsidRPr="00100AF5">
        <w:t xml:space="preserve">a </w:t>
      </w:r>
      <w:r w:rsidR="00C27580" w:rsidRPr="00100AF5">
        <w:t xml:space="preserve">military </w:t>
      </w:r>
      <w:r w:rsidR="00157FFE" w:rsidRPr="00100AF5">
        <w:t>organisation and performance level is very high)</w:t>
      </w:r>
      <w:r w:rsidR="00D07FF8">
        <w:t>,</w:t>
      </w:r>
      <w:r w:rsidR="00157FFE" w:rsidRPr="00100AF5">
        <w:t xml:space="preserve"> Procurement D</w:t>
      </w:r>
      <w:r w:rsidR="00C27580" w:rsidRPr="00100AF5">
        <w:t>irectorate, Food and Drugs Admin</w:t>
      </w:r>
      <w:r w:rsidR="00157FFE" w:rsidRPr="00100AF5">
        <w:t xml:space="preserve">istration, </w:t>
      </w:r>
      <w:r w:rsidR="00C27580" w:rsidRPr="00100AF5">
        <w:t>Standards and Metrology</w:t>
      </w:r>
      <w:r w:rsidR="00157FFE" w:rsidRPr="00100AF5">
        <w:t xml:space="preserve"> Directorate,</w:t>
      </w:r>
      <w:r w:rsidR="00C27580" w:rsidRPr="00100AF5">
        <w:t xml:space="preserve"> Central Bank of J</w:t>
      </w:r>
      <w:r w:rsidR="00157FFE" w:rsidRPr="00100AF5">
        <w:t>ordan.</w:t>
      </w:r>
      <w:r w:rsidR="00C27580" w:rsidRPr="00100AF5">
        <w:t xml:space="preserve"> </w:t>
      </w:r>
    </w:p>
    <w:p w:rsidR="002726A7" w:rsidRPr="00100AF5" w:rsidRDefault="00D10E92" w:rsidP="002726A7">
      <w:r w:rsidRPr="00100AF5">
        <w:t xml:space="preserve"> In general, results have been uneven. </w:t>
      </w:r>
      <w:r w:rsidR="00D07FF8" w:rsidRPr="00100AF5">
        <w:t>Central</w:t>
      </w:r>
      <w:r w:rsidR="00EB0AA0" w:rsidRPr="00100AF5">
        <w:rPr>
          <w:color w:val="000000"/>
        </w:rPr>
        <w:t xml:space="preserve"> level institutions </w:t>
      </w:r>
      <w:r w:rsidR="00D35A84" w:rsidRPr="00100AF5">
        <w:rPr>
          <w:color w:val="000000"/>
        </w:rPr>
        <w:t xml:space="preserve">seem not to </w:t>
      </w:r>
      <w:r w:rsidR="00EB0AA0" w:rsidRPr="00100AF5">
        <w:rPr>
          <w:color w:val="000000"/>
        </w:rPr>
        <w:t>have qualified human resources and good equipment</w:t>
      </w:r>
      <w:r w:rsidRPr="00100AF5">
        <w:rPr>
          <w:color w:val="000000"/>
        </w:rPr>
        <w:t xml:space="preserve"> and their absorption level is still limited, due to lack of clear guidelines and to the fa</w:t>
      </w:r>
      <w:r w:rsidR="00B13D10" w:rsidRPr="00100AF5">
        <w:rPr>
          <w:color w:val="000000"/>
        </w:rPr>
        <w:t xml:space="preserve">ct that </w:t>
      </w:r>
      <w:proofErr w:type="spellStart"/>
      <w:r w:rsidR="00B13D10" w:rsidRPr="00100AF5">
        <w:rPr>
          <w:color w:val="000000"/>
        </w:rPr>
        <w:t>MoPSD</w:t>
      </w:r>
      <w:proofErr w:type="spellEnd"/>
      <w:r w:rsidR="00B13D10" w:rsidRPr="00100AF5">
        <w:rPr>
          <w:color w:val="000000"/>
        </w:rPr>
        <w:t xml:space="preserve"> mandate to steer service delivery improvement</w:t>
      </w:r>
      <w:r w:rsidRPr="00100AF5">
        <w:rPr>
          <w:color w:val="000000"/>
        </w:rPr>
        <w:t xml:space="preserve"> is not yet fully institutionalized. </w:t>
      </w:r>
    </w:p>
    <w:p w:rsidR="00B131D2" w:rsidRPr="00100AF5" w:rsidRDefault="005F75D7" w:rsidP="00B131D2">
      <w:pPr>
        <w:rPr>
          <w:color w:val="000000"/>
        </w:rPr>
      </w:pPr>
      <w:r w:rsidRPr="00100AF5">
        <w:rPr>
          <w:color w:val="000000"/>
        </w:rPr>
        <w:t xml:space="preserve">The </w:t>
      </w:r>
      <w:proofErr w:type="spellStart"/>
      <w:r w:rsidRPr="00100AF5">
        <w:rPr>
          <w:color w:val="000000"/>
        </w:rPr>
        <w:t>MoPSD</w:t>
      </w:r>
      <w:proofErr w:type="spellEnd"/>
      <w:r w:rsidR="00157FFE" w:rsidRPr="00100AF5">
        <w:rPr>
          <w:color w:val="000000"/>
        </w:rPr>
        <w:t xml:space="preserve"> SDI</w:t>
      </w:r>
      <w:r w:rsidRPr="00100AF5">
        <w:rPr>
          <w:color w:val="000000"/>
        </w:rPr>
        <w:t xml:space="preserve"> staff</w:t>
      </w:r>
      <w:r w:rsidR="00D10E92" w:rsidRPr="00100AF5">
        <w:rPr>
          <w:color w:val="000000"/>
        </w:rPr>
        <w:t xml:space="preserve"> has not received training to date. It is hoped that it </w:t>
      </w:r>
      <w:r w:rsidRPr="00100AF5">
        <w:rPr>
          <w:color w:val="000000"/>
        </w:rPr>
        <w:t xml:space="preserve">will benefit from </w:t>
      </w:r>
      <w:r w:rsidR="00EB0AA0" w:rsidRPr="00100AF5">
        <w:rPr>
          <w:color w:val="000000"/>
        </w:rPr>
        <w:t>additional training</w:t>
      </w:r>
      <w:r w:rsidRPr="00100AF5">
        <w:rPr>
          <w:color w:val="000000"/>
        </w:rPr>
        <w:t xml:space="preserve"> under CBII</w:t>
      </w:r>
      <w:r w:rsidR="002726A7" w:rsidRPr="00100AF5">
        <w:rPr>
          <w:color w:val="000000"/>
        </w:rPr>
        <w:t>, to be conducted in the forthcoming weeks under UNDP funds</w:t>
      </w:r>
      <w:r w:rsidR="00B131D2" w:rsidRPr="00100AF5">
        <w:rPr>
          <w:color w:val="000000"/>
        </w:rPr>
        <w:t xml:space="preserve">. </w:t>
      </w:r>
      <w:r w:rsidR="00D10E92" w:rsidRPr="00100AF5">
        <w:rPr>
          <w:color w:val="000000"/>
        </w:rPr>
        <w:t xml:space="preserve">Training for </w:t>
      </w:r>
      <w:proofErr w:type="spellStart"/>
      <w:r w:rsidR="00D10E92" w:rsidRPr="00100AF5">
        <w:rPr>
          <w:color w:val="000000"/>
        </w:rPr>
        <w:t>MoPSD</w:t>
      </w:r>
      <w:proofErr w:type="spellEnd"/>
      <w:r w:rsidR="00D10E92" w:rsidRPr="00100AF5">
        <w:rPr>
          <w:color w:val="000000"/>
        </w:rPr>
        <w:t xml:space="preserve"> should have been conducted before going to MDAs, in order to strengthen their commitment, knowledge and capacities to effectively lead the process</w:t>
      </w:r>
      <w:r w:rsidR="00D07FF8">
        <w:rPr>
          <w:color w:val="000000"/>
        </w:rPr>
        <w:t>.</w:t>
      </w:r>
    </w:p>
    <w:p w:rsidR="002726A7" w:rsidRPr="00100AF5" w:rsidRDefault="00B131D2" w:rsidP="00B131D2">
      <w:r w:rsidRPr="00100AF5">
        <w:rPr>
          <w:color w:val="000000"/>
        </w:rPr>
        <w:t>F</w:t>
      </w:r>
      <w:r w:rsidR="005F75D7" w:rsidRPr="00100AF5">
        <w:rPr>
          <w:color w:val="000000"/>
        </w:rPr>
        <w:t>urther training</w:t>
      </w:r>
      <w:r w:rsidR="00EB0AA0" w:rsidRPr="00100AF5">
        <w:rPr>
          <w:color w:val="000000"/>
        </w:rPr>
        <w:t xml:space="preserve"> </w:t>
      </w:r>
      <w:r w:rsidR="005F75D7" w:rsidRPr="00100AF5">
        <w:rPr>
          <w:color w:val="000000"/>
        </w:rPr>
        <w:t xml:space="preserve">is also </w:t>
      </w:r>
      <w:r w:rsidRPr="00100AF5">
        <w:rPr>
          <w:color w:val="000000"/>
        </w:rPr>
        <w:t xml:space="preserve">much </w:t>
      </w:r>
      <w:r w:rsidR="005F75D7" w:rsidRPr="00100AF5">
        <w:rPr>
          <w:color w:val="000000"/>
        </w:rPr>
        <w:t>needed</w:t>
      </w:r>
      <w:r w:rsidR="002726A7" w:rsidRPr="00100AF5">
        <w:rPr>
          <w:color w:val="000000"/>
        </w:rPr>
        <w:t xml:space="preserve"> at, </w:t>
      </w:r>
      <w:r w:rsidR="005F75D7" w:rsidRPr="00100AF5">
        <w:rPr>
          <w:color w:val="000000"/>
        </w:rPr>
        <w:t>and will</w:t>
      </w:r>
      <w:r w:rsidR="00EB0AA0" w:rsidRPr="00100AF5">
        <w:rPr>
          <w:color w:val="000000"/>
        </w:rPr>
        <w:t xml:space="preserve"> be beneficial to</w:t>
      </w:r>
      <w:r w:rsidR="002726A7" w:rsidRPr="00100AF5">
        <w:rPr>
          <w:color w:val="000000"/>
        </w:rPr>
        <w:t>,</w:t>
      </w:r>
      <w:r w:rsidR="00EB0AA0" w:rsidRPr="00100AF5">
        <w:rPr>
          <w:color w:val="000000"/>
        </w:rPr>
        <w:t xml:space="preserve"> </w:t>
      </w:r>
      <w:r w:rsidR="005F75D7" w:rsidRPr="00100AF5">
        <w:rPr>
          <w:color w:val="000000"/>
        </w:rPr>
        <w:t xml:space="preserve">MDAs. </w:t>
      </w:r>
      <w:r w:rsidRPr="00100AF5">
        <w:t xml:space="preserve">Their capacity to act as agents of change and to provide the array of services attributed to them by law varies greatly and seems in general to be </w:t>
      </w:r>
      <w:r w:rsidR="002726A7" w:rsidRPr="00100AF5">
        <w:t xml:space="preserve">still </w:t>
      </w:r>
      <w:r w:rsidRPr="00100AF5">
        <w:t xml:space="preserve">low. </w:t>
      </w:r>
    </w:p>
    <w:p w:rsidR="00B131D2" w:rsidRPr="00100AF5" w:rsidRDefault="00B131D2" w:rsidP="00B131D2">
      <w:r w:rsidRPr="00100AF5">
        <w:t>Additional awareness initiatives are required, and training should not be confined to the utilization of the toolkit, especially if service delivery standards and modalities of implementation will be subject to change in the framework of the new public sector reform.</w:t>
      </w:r>
      <w:r w:rsidR="00A450C4" w:rsidRPr="00100AF5">
        <w:t xml:space="preserve"> Modules should be properly articulated. A thorough assessment of training needs should be conducted prior to training activities; this should include a proper delivery plan and should involve not only specific staff of SD departments, but also high ranking managers, to ensure institutional commitment. </w:t>
      </w:r>
    </w:p>
    <w:p w:rsidR="00EB0AA0" w:rsidRPr="00100AF5" w:rsidRDefault="003E7D69" w:rsidP="00EB0AA0">
      <w:pPr>
        <w:rPr>
          <w:color w:val="000000"/>
        </w:rPr>
      </w:pPr>
      <w:r w:rsidRPr="00100AF5">
        <w:rPr>
          <w:color w:val="000000"/>
        </w:rPr>
        <w:t xml:space="preserve">Some training modules </w:t>
      </w:r>
      <w:r w:rsidR="00EB0AA0" w:rsidRPr="00100AF5">
        <w:rPr>
          <w:color w:val="000000"/>
        </w:rPr>
        <w:t xml:space="preserve">should </w:t>
      </w:r>
      <w:r w:rsidR="005F75D7" w:rsidRPr="00100AF5">
        <w:rPr>
          <w:color w:val="000000"/>
        </w:rPr>
        <w:t xml:space="preserve">be </w:t>
      </w:r>
      <w:r w:rsidR="00EB0AA0" w:rsidRPr="00100AF5">
        <w:rPr>
          <w:color w:val="000000"/>
        </w:rPr>
        <w:t xml:space="preserve">tailored to the institution and personnel involved, </w:t>
      </w:r>
      <w:r w:rsidRPr="00100AF5">
        <w:rPr>
          <w:color w:val="000000"/>
        </w:rPr>
        <w:t>while other modules could be</w:t>
      </w:r>
      <w:r w:rsidR="005F75D7" w:rsidRPr="00100AF5">
        <w:rPr>
          <w:color w:val="000000"/>
        </w:rPr>
        <w:t xml:space="preserve"> applied to all stakeholders, irrespe</w:t>
      </w:r>
      <w:r w:rsidR="00EB0AA0" w:rsidRPr="00100AF5">
        <w:rPr>
          <w:color w:val="000000"/>
        </w:rPr>
        <w:t>ctive of different background and capacities.</w:t>
      </w:r>
    </w:p>
    <w:p w:rsidR="00BA6539" w:rsidRPr="00100AF5" w:rsidRDefault="00BA6539" w:rsidP="00EB0AA0">
      <w:pPr>
        <w:rPr>
          <w:color w:val="000000"/>
        </w:rPr>
      </w:pPr>
      <w:r w:rsidRPr="00100AF5">
        <w:rPr>
          <w:color w:val="000000"/>
        </w:rPr>
        <w:t>Also, recommendations of the 2010 Mission should be taken into consideration to strengthen capabilities of involved units in the MDAs.</w:t>
      </w:r>
    </w:p>
    <w:p w:rsidR="00E021CB" w:rsidRPr="00100AF5" w:rsidRDefault="00E021CB" w:rsidP="00E021CB">
      <w:pPr>
        <w:pStyle w:val="Heading3"/>
      </w:pPr>
      <w:bookmarkStart w:id="166" w:name="_Toc273263532"/>
      <w:bookmarkStart w:id="167" w:name="_Toc273263668"/>
      <w:bookmarkStart w:id="168" w:name="_Toc276461291"/>
      <w:r w:rsidRPr="00100AF5">
        <w:t>National ownership</w:t>
      </w:r>
      <w:bookmarkEnd w:id="166"/>
      <w:bookmarkEnd w:id="167"/>
      <w:bookmarkEnd w:id="168"/>
    </w:p>
    <w:p w:rsidR="00E021CB" w:rsidRPr="00100AF5" w:rsidRDefault="00E021CB" w:rsidP="00E021CB">
      <w:pPr>
        <w:pBdr>
          <w:top w:val="single" w:sz="4" w:space="1" w:color="auto"/>
          <w:left w:val="single" w:sz="4" w:space="4" w:color="auto"/>
          <w:bottom w:val="single" w:sz="4" w:space="1" w:color="auto"/>
          <w:right w:val="single" w:sz="4" w:space="4" w:color="auto"/>
        </w:pBdr>
        <w:rPr>
          <w:rFonts w:ascii="Palatino Linotype" w:hAnsi="Palatino Linotype"/>
          <w:sz w:val="20"/>
          <w:szCs w:val="22"/>
        </w:rPr>
      </w:pPr>
      <w:r w:rsidRPr="00100AF5">
        <w:rPr>
          <w:rFonts w:ascii="Palatino Linotype" w:hAnsi="Palatino Linotype"/>
          <w:sz w:val="20"/>
          <w:szCs w:val="22"/>
        </w:rPr>
        <w:t>What is the level of contribution of the project management arrangements to national ownership of the set objectives, results, and outputs?</w:t>
      </w:r>
    </w:p>
    <w:p w:rsidR="005074D9" w:rsidRPr="00100AF5" w:rsidRDefault="005074D9" w:rsidP="005074D9">
      <w:pPr>
        <w:rPr>
          <w:rFonts w:cs="Times New Roman"/>
          <w:szCs w:val="20"/>
        </w:rPr>
      </w:pPr>
      <w:r w:rsidRPr="00100AF5">
        <w:rPr>
          <w:rFonts w:cs="Times New Roman"/>
        </w:rPr>
        <w:t xml:space="preserve">In general terms, the choice of institutions to coordinate and manage the project was good. </w:t>
      </w:r>
      <w:proofErr w:type="spellStart"/>
      <w:r w:rsidR="00FC7012" w:rsidRPr="00100AF5">
        <w:rPr>
          <w:rFonts w:cs="Times New Roman"/>
        </w:rPr>
        <w:t>MoPSD</w:t>
      </w:r>
      <w:proofErr w:type="spellEnd"/>
      <w:r w:rsidRPr="00100AF5">
        <w:rPr>
          <w:rFonts w:cs="Times New Roman"/>
        </w:rPr>
        <w:t xml:space="preserve"> is entrusted by law with the tasks of d</w:t>
      </w:r>
      <w:r w:rsidRPr="00100AF5">
        <w:rPr>
          <w:rFonts w:cs="Times New Roman"/>
          <w:szCs w:val="20"/>
        </w:rPr>
        <w:t xml:space="preserve">rawing and implementation </w:t>
      </w:r>
      <w:r w:rsidR="00B13D10" w:rsidRPr="00100AF5">
        <w:rPr>
          <w:rFonts w:cs="Times New Roman"/>
          <w:szCs w:val="20"/>
        </w:rPr>
        <w:t>of the</w:t>
      </w:r>
      <w:r w:rsidRPr="00100AF5">
        <w:rPr>
          <w:rFonts w:cs="Times New Roman"/>
          <w:szCs w:val="20"/>
        </w:rPr>
        <w:t xml:space="preserve"> general policy for administrative development</w:t>
      </w:r>
      <w:r w:rsidR="00B13D10" w:rsidRPr="00100AF5">
        <w:rPr>
          <w:rFonts w:cs="Times New Roman"/>
          <w:szCs w:val="20"/>
        </w:rPr>
        <w:t>, improving</w:t>
      </w:r>
      <w:r w:rsidRPr="00100AF5">
        <w:rPr>
          <w:rFonts w:cs="Times New Roman"/>
          <w:szCs w:val="20"/>
        </w:rPr>
        <w:t xml:space="preserve"> utilization </w:t>
      </w:r>
      <w:r w:rsidR="00B13D10" w:rsidRPr="00100AF5">
        <w:rPr>
          <w:rFonts w:cs="Times New Roman"/>
          <w:szCs w:val="20"/>
        </w:rPr>
        <w:t>of human</w:t>
      </w:r>
      <w:r w:rsidRPr="00100AF5">
        <w:rPr>
          <w:rFonts w:cs="Times New Roman"/>
          <w:szCs w:val="20"/>
        </w:rPr>
        <w:t xml:space="preserve"> resources in public offices, projecting and planning administrative regulatory systems</w:t>
      </w:r>
      <w:r w:rsidR="00B13D10" w:rsidRPr="00100AF5">
        <w:rPr>
          <w:rFonts w:cs="Times New Roman"/>
          <w:szCs w:val="20"/>
        </w:rPr>
        <w:t xml:space="preserve">, employing </w:t>
      </w:r>
      <w:r w:rsidRPr="00100AF5">
        <w:rPr>
          <w:rFonts w:cs="Times New Roman"/>
          <w:szCs w:val="20"/>
        </w:rPr>
        <w:t xml:space="preserve">modern </w:t>
      </w:r>
      <w:r w:rsidR="00B13D10" w:rsidRPr="00100AF5">
        <w:rPr>
          <w:rFonts w:cs="Times New Roman"/>
          <w:szCs w:val="20"/>
        </w:rPr>
        <w:t>management</w:t>
      </w:r>
      <w:r w:rsidRPr="00100AF5">
        <w:rPr>
          <w:rFonts w:cs="Times New Roman"/>
          <w:szCs w:val="20"/>
        </w:rPr>
        <w:t xml:space="preserve"> methods for better performance at the departments</w:t>
      </w:r>
      <w:r w:rsidR="00B13D10" w:rsidRPr="00100AF5">
        <w:rPr>
          <w:rFonts w:cs="Times New Roman"/>
          <w:szCs w:val="20"/>
        </w:rPr>
        <w:t>,</w:t>
      </w:r>
      <w:r w:rsidRPr="00100AF5">
        <w:rPr>
          <w:rFonts w:cs="Times New Roman"/>
          <w:szCs w:val="20"/>
        </w:rPr>
        <w:t xml:space="preserve"> and offering consulting and support services to other MDAs.</w:t>
      </w:r>
    </w:p>
    <w:p w:rsidR="00895DF0" w:rsidRPr="00100AF5" w:rsidRDefault="00895DF0" w:rsidP="005074D9">
      <w:pPr>
        <w:spacing w:after="120"/>
      </w:pPr>
      <w:r w:rsidRPr="00100AF5">
        <w:t>MoPIC is entrusted by law with the coordination and steering of developmental efforts through planning, execution, monitoring and evaluation of social and economic development plans, as well as with the coordination of international cooperation.</w:t>
      </w:r>
      <w:r w:rsidR="004806E2" w:rsidRPr="00100AF5">
        <w:t xml:space="preserve"> In the framework of the Project, the Ministry was involved in overall coordination activities.</w:t>
      </w:r>
      <w:r w:rsidR="00B76CA7" w:rsidRPr="00100AF5">
        <w:t xml:space="preserve"> </w:t>
      </w:r>
    </w:p>
    <w:p w:rsidR="005074D9" w:rsidRPr="00100AF5" w:rsidRDefault="005074D9" w:rsidP="005074D9">
      <w:pPr>
        <w:rPr>
          <w:rFonts w:cs="TTE1FFD470t00"/>
        </w:rPr>
      </w:pPr>
      <w:r w:rsidRPr="00100AF5">
        <w:rPr>
          <w:rFonts w:cs="TTE1FFD470t00"/>
        </w:rPr>
        <w:t xml:space="preserve">However, it is a matter of fact </w:t>
      </w:r>
      <w:r w:rsidRPr="00100AF5">
        <w:rPr>
          <w:rFonts w:cs="TTE1FFD470t00"/>
          <w:u w:val="single"/>
        </w:rPr>
        <w:t>that commitment towards improved service delivery needs to come from the top.</w:t>
      </w:r>
      <w:r w:rsidRPr="00100AF5">
        <w:rPr>
          <w:rFonts w:cs="TTE1FFD470t00"/>
        </w:rPr>
        <w:t xml:space="preserve"> In the case of Jordan, </w:t>
      </w:r>
      <w:r w:rsidR="00FC7012" w:rsidRPr="00100AF5">
        <w:rPr>
          <w:rFonts w:cs="TTE1FFD470t00"/>
        </w:rPr>
        <w:t>top level means clear strategic directions from H.M</w:t>
      </w:r>
      <w:r w:rsidR="004806E2" w:rsidRPr="00100AF5">
        <w:rPr>
          <w:rFonts w:cs="TTE1FFD470t00"/>
        </w:rPr>
        <w:t>.</w:t>
      </w:r>
      <w:r w:rsidR="00FC7012" w:rsidRPr="00100AF5">
        <w:rPr>
          <w:rFonts w:cs="TTE1FFD470t00"/>
        </w:rPr>
        <w:t xml:space="preserve"> the King and a recognized acceptance and commitment from the Cabinet side. This has not happened to date. As above said, a clear mandate to </w:t>
      </w:r>
      <w:proofErr w:type="spellStart"/>
      <w:r w:rsidR="00FC7012" w:rsidRPr="00100AF5">
        <w:rPr>
          <w:rFonts w:cs="TTE1FFD470t00"/>
        </w:rPr>
        <w:t>MoPSD</w:t>
      </w:r>
      <w:proofErr w:type="spellEnd"/>
      <w:r w:rsidR="00FC7012" w:rsidRPr="00100AF5">
        <w:rPr>
          <w:rFonts w:cs="TTE1FFD470t00"/>
        </w:rPr>
        <w:t xml:space="preserve"> from the PM and the Cabinet is key for the success of any initiatives in the sector.</w:t>
      </w:r>
    </w:p>
    <w:p w:rsidR="0092262B" w:rsidRPr="00100AF5" w:rsidRDefault="00EB0AA0" w:rsidP="00FC7012">
      <w:pPr>
        <w:spacing w:after="120"/>
      </w:pPr>
      <w:r w:rsidRPr="00100AF5">
        <w:t xml:space="preserve">The announced public sector reform is still under debate and will have </w:t>
      </w:r>
      <w:r w:rsidR="00FC7012" w:rsidRPr="00100AF5">
        <w:t xml:space="preserve">direct </w:t>
      </w:r>
      <w:r w:rsidRPr="00100AF5">
        <w:t xml:space="preserve">effect on the Project </w:t>
      </w:r>
      <w:r w:rsidR="00FC7012" w:rsidRPr="00100AF5">
        <w:t xml:space="preserve">ownership and </w:t>
      </w:r>
      <w:r w:rsidRPr="00100AF5">
        <w:t>sustainability</w:t>
      </w:r>
      <w:r w:rsidR="00FC7012" w:rsidRPr="00100AF5">
        <w:t>.</w:t>
      </w:r>
      <w:r w:rsidR="006372E0" w:rsidRPr="00100AF5">
        <w:t xml:space="preserve"> </w:t>
      </w:r>
    </w:p>
    <w:p w:rsidR="00E021CB" w:rsidRPr="00100AF5" w:rsidRDefault="00E021CB" w:rsidP="00E021CB">
      <w:pPr>
        <w:pStyle w:val="Heading3"/>
      </w:pPr>
      <w:bookmarkStart w:id="169" w:name="_Toc273263533"/>
      <w:bookmarkStart w:id="170" w:name="_Toc273263669"/>
      <w:bookmarkStart w:id="171" w:name="_Toc276461292"/>
      <w:r w:rsidRPr="00100AF5">
        <w:t>Promotion of ownership and sustainability</w:t>
      </w:r>
      <w:bookmarkEnd w:id="169"/>
      <w:bookmarkEnd w:id="170"/>
      <w:bookmarkEnd w:id="171"/>
    </w:p>
    <w:p w:rsidR="008E4654" w:rsidRPr="00100AF5" w:rsidRDefault="00D971EF" w:rsidP="0057317C">
      <w:pPr>
        <w:pBdr>
          <w:top w:val="single" w:sz="4" w:space="1" w:color="auto"/>
          <w:left w:val="single" w:sz="4" w:space="4" w:color="auto"/>
          <w:bottom w:val="single" w:sz="4" w:space="1" w:color="auto"/>
          <w:right w:val="single" w:sz="4" w:space="4" w:color="auto"/>
        </w:pBdr>
        <w:spacing w:after="120"/>
        <w:rPr>
          <w:sz w:val="22"/>
        </w:rPr>
      </w:pPr>
      <w:r w:rsidRPr="00100AF5">
        <w:rPr>
          <w:rFonts w:ascii="Palatino Linotype" w:hAnsi="Palatino Linotype"/>
          <w:sz w:val="20"/>
          <w:szCs w:val="22"/>
        </w:rPr>
        <w:t>Were the modes of deliveries of the outputs appropriate to promote national ownership and sustainability of the results achieved?</w:t>
      </w:r>
    </w:p>
    <w:p w:rsidR="004B66DC" w:rsidRDefault="004B66DC" w:rsidP="004B66DC">
      <w:r w:rsidRPr="00100AF5">
        <w:t xml:space="preserve">As said above, no real measures were taken to strengthen ownership. Regular contacts of the SDI Directorate in </w:t>
      </w:r>
      <w:proofErr w:type="spellStart"/>
      <w:r w:rsidRPr="00100AF5">
        <w:t>MoPSD</w:t>
      </w:r>
      <w:proofErr w:type="spellEnd"/>
      <w:r w:rsidRPr="00100AF5">
        <w:t xml:space="preserve"> with relevant units in MDAs occur but are not sufficient to achieve full consensus and commitment, if not properly followed by a clear mandate, recognised and accepted at high Government level. Steering Committees of future initiatives should include representatives of MDAs as well </w:t>
      </w:r>
      <w:r w:rsidR="00DA59B5" w:rsidRPr="00100AF5">
        <w:t xml:space="preserve">as </w:t>
      </w:r>
      <w:r w:rsidRPr="00100AF5">
        <w:t>of the Prime Minister Office. With regard to sustainability</w:t>
      </w:r>
      <w:r w:rsidR="00DA59B5" w:rsidRPr="00100AF5">
        <w:t xml:space="preserve">, it would be essential that a proper set of capacity building tools (training, toolkit etc.) be consolidated and disseminated to  relevant staff of both MDAs and </w:t>
      </w:r>
      <w:proofErr w:type="spellStart"/>
      <w:r w:rsidR="00DA59B5" w:rsidRPr="00100AF5">
        <w:t>MoPSD</w:t>
      </w:r>
      <w:proofErr w:type="spellEnd"/>
      <w:r w:rsidR="00DA59B5" w:rsidRPr="00100AF5">
        <w:t>, and that the successful examples of the two sub-projects be publicised and replicated in other entities.</w:t>
      </w:r>
    </w:p>
    <w:p w:rsidR="00391A9F" w:rsidRDefault="00391A9F" w:rsidP="000B18C7">
      <w:pPr>
        <w:pStyle w:val="Heading3"/>
      </w:pPr>
      <w:bookmarkStart w:id="172" w:name="_Toc276461293"/>
      <w:r w:rsidRPr="000B18C7">
        <w:t>Conclusions</w:t>
      </w:r>
      <w:bookmarkEnd w:id="172"/>
    </w:p>
    <w:p w:rsidR="000047D4" w:rsidRDefault="007B78C8" w:rsidP="000047D4">
      <w:pPr>
        <w:spacing w:before="240" w:after="120"/>
      </w:pPr>
      <w:r>
        <w:t>Impact was in general hindered by several factors. Activities were scattered and did not follow an internal logic. Moreover, t</w:t>
      </w:r>
      <w:r w:rsidRPr="00100AF5">
        <w:rPr>
          <w:color w:val="000000"/>
        </w:rPr>
        <w:t xml:space="preserve">he role of </w:t>
      </w:r>
      <w:proofErr w:type="spellStart"/>
      <w:r w:rsidRPr="00100AF5">
        <w:rPr>
          <w:color w:val="000000"/>
        </w:rPr>
        <w:t>MoPSD</w:t>
      </w:r>
      <w:proofErr w:type="spellEnd"/>
      <w:r w:rsidRPr="00100AF5">
        <w:rPr>
          <w:color w:val="000000"/>
        </w:rPr>
        <w:t xml:space="preserve"> in enhancing service delivery – implemented in the Project through dissemination of the Toolkit</w:t>
      </w:r>
      <w:r>
        <w:rPr>
          <w:color w:val="000000"/>
        </w:rPr>
        <w:t xml:space="preserve"> – must be further strengthened; t</w:t>
      </w:r>
      <w:r w:rsidRPr="00100AF5">
        <w:rPr>
          <w:color w:val="000000"/>
        </w:rPr>
        <w:t>he Ministry should receive a clear mandate from the Prime Ministry and this should be endorsed by the Cabinet</w:t>
      </w:r>
      <w:r>
        <w:rPr>
          <w:color w:val="000000"/>
        </w:rPr>
        <w:t xml:space="preserve">. </w:t>
      </w:r>
      <w:r w:rsidR="000047D4" w:rsidRPr="00100AF5">
        <w:t>It is not clear whether the central level (PRSD, GPD) were involved in the Project preparation, shared its general concept and agreed on objectives and methodology.</w:t>
      </w:r>
      <w:r w:rsidR="000047D4" w:rsidRPr="00100AF5">
        <w:rPr>
          <w:b/>
        </w:rPr>
        <w:t xml:space="preserve"> </w:t>
      </w:r>
      <w:r w:rsidR="000047D4" w:rsidRPr="00100AF5">
        <w:t xml:space="preserve">As for service delivery, it seems that not all relevant Ministries are fully aware of the role of the customer orientation concept in service delivery and its potential to improve citizens’ lives.. The level of involvement of them is still not an institutionalised process, following clear patterns and protocols, </w:t>
      </w:r>
      <w:r w:rsidR="000047D4" w:rsidRPr="00100AF5">
        <w:rPr>
          <w:shd w:val="clear" w:color="auto" w:fill="FFFFFF"/>
        </w:rPr>
        <w:t>but</w:t>
      </w:r>
      <w:r w:rsidR="000047D4" w:rsidRPr="00100AF5">
        <w:t xml:space="preserve"> it is rather left to the initiative and good will of the single agency.</w:t>
      </w:r>
    </w:p>
    <w:p w:rsidR="007B78C8" w:rsidRPr="00100AF5" w:rsidRDefault="007B78C8" w:rsidP="000047D4">
      <w:pPr>
        <w:spacing w:before="240" w:after="120"/>
      </w:pPr>
      <w:r>
        <w:t xml:space="preserve">Sustainability is made difficult by the scattered character of training, lack of institutional memory due to high staff turnover, lack of training material, scarce communication between the project management and the staff of </w:t>
      </w:r>
      <w:proofErr w:type="spellStart"/>
      <w:r>
        <w:t>MoPSD</w:t>
      </w:r>
      <w:proofErr w:type="spellEnd"/>
      <w:r>
        <w:t>.</w:t>
      </w:r>
    </w:p>
    <w:p w:rsidR="000047D4" w:rsidRPr="00100AF5" w:rsidRDefault="000047D4" w:rsidP="004B66DC"/>
    <w:p w:rsidR="004B66DC" w:rsidRPr="00100AF5" w:rsidRDefault="004B66DC" w:rsidP="004B66DC">
      <w:pPr>
        <w:pStyle w:val="Heading1"/>
      </w:pPr>
      <w:bookmarkStart w:id="173" w:name="_Toc276461294"/>
      <w:r w:rsidRPr="00100AF5">
        <w:t>Coherence</w:t>
      </w:r>
      <w:bookmarkEnd w:id="173"/>
    </w:p>
    <w:p w:rsidR="007F18E9" w:rsidRPr="00100AF5" w:rsidRDefault="007F18E9" w:rsidP="007F18E9">
      <w:pPr>
        <w:pBdr>
          <w:top w:val="single" w:sz="8" w:space="1" w:color="auto"/>
          <w:left w:val="single" w:sz="8" w:space="4" w:color="auto"/>
          <w:bottom w:val="single" w:sz="8" w:space="1" w:color="auto"/>
          <w:right w:val="single" w:sz="8" w:space="4" w:color="auto"/>
        </w:pBdr>
      </w:pPr>
      <w:r w:rsidRPr="00100AF5">
        <w:rPr>
          <w:rFonts w:ascii="Palatino Linotype" w:hAnsi="Palatino Linotype"/>
          <w:sz w:val="20"/>
          <w:szCs w:val="22"/>
        </w:rPr>
        <w:t xml:space="preserve">Did  UNDP activities under the </w:t>
      </w:r>
      <w:r w:rsidRPr="00100AF5">
        <w:rPr>
          <w:rFonts w:ascii="Palatino Linotype" w:hAnsi="Palatino Linotype"/>
          <w:sz w:val="20"/>
          <w:szCs w:val="20"/>
        </w:rPr>
        <w:t>project</w:t>
      </w:r>
      <w:r w:rsidRPr="00100AF5">
        <w:rPr>
          <w:rFonts w:ascii="Palatino Linotype" w:hAnsi="Palatino Linotype"/>
          <w:iCs/>
          <w:sz w:val="20"/>
          <w:szCs w:val="20"/>
        </w:rPr>
        <w:t xml:space="preserve"> allow UNDP to achieve its development policy objectives without internal contradiction or without contradiction with other </w:t>
      </w:r>
      <w:proofErr w:type="spellStart"/>
      <w:r w:rsidRPr="00100AF5">
        <w:rPr>
          <w:rFonts w:ascii="Palatino Linotype" w:hAnsi="Palatino Linotype"/>
          <w:iCs/>
          <w:sz w:val="20"/>
          <w:szCs w:val="20"/>
        </w:rPr>
        <w:t>donors’policies</w:t>
      </w:r>
      <w:proofErr w:type="spellEnd"/>
      <w:r w:rsidRPr="00100AF5">
        <w:rPr>
          <w:rFonts w:ascii="Palatino Linotype" w:hAnsi="Palatino Linotype"/>
          <w:iCs/>
          <w:sz w:val="20"/>
          <w:szCs w:val="20"/>
        </w:rPr>
        <w:t>?</w:t>
      </w:r>
    </w:p>
    <w:p w:rsidR="00496421" w:rsidRPr="00100AF5" w:rsidRDefault="00496421" w:rsidP="00520F31">
      <w:pPr>
        <w:spacing w:after="120"/>
        <w:rPr>
          <w:rFonts w:eastAsiaTheme="minorHAnsi"/>
        </w:rPr>
      </w:pPr>
      <w:r w:rsidRPr="00100AF5">
        <w:rPr>
          <w:rFonts w:eastAsiaTheme="minorHAnsi"/>
        </w:rPr>
        <w:t xml:space="preserve">In terms of </w:t>
      </w:r>
      <w:r w:rsidRPr="00100AF5">
        <w:rPr>
          <w:rFonts w:eastAsiaTheme="minorHAnsi"/>
          <w:bCs/>
        </w:rPr>
        <w:t xml:space="preserve">donor coordination, </w:t>
      </w:r>
      <w:r w:rsidRPr="00100AF5">
        <w:rPr>
          <w:rFonts w:eastAsiaTheme="minorHAnsi"/>
        </w:rPr>
        <w:t>Jordan approved the Paris Declaration on Aid Effectiveness, and</w:t>
      </w:r>
      <w:r w:rsidR="00520F31" w:rsidRPr="00100AF5">
        <w:rPr>
          <w:rFonts w:eastAsiaTheme="minorHAnsi"/>
        </w:rPr>
        <w:t xml:space="preserve"> </w:t>
      </w:r>
      <w:r w:rsidRPr="00100AF5">
        <w:rPr>
          <w:rFonts w:eastAsiaTheme="minorHAnsi"/>
        </w:rPr>
        <w:t xml:space="preserve">the first Survey on Monitoring the Paris Declaration took place in 2008. </w:t>
      </w:r>
    </w:p>
    <w:p w:rsidR="00520F31" w:rsidRPr="00100AF5" w:rsidRDefault="00520F31" w:rsidP="00520F31">
      <w:pPr>
        <w:spacing w:before="60" w:after="120" w:line="280" w:lineRule="atLeast"/>
      </w:pPr>
      <w:r w:rsidRPr="00100AF5">
        <w:t xml:space="preserve">Mutual reinforcement implies in general a high degree of coordination, both among UNDP funded projects and with other donors. Donors’ coordination is in Jordan an issue to be addressed. MoPIC is in charge of ensuring coordination; however, there aren’t yet regular mechanisms to concretely address this issue. MoPIC is part of the </w:t>
      </w:r>
      <w:proofErr w:type="spellStart"/>
      <w:r w:rsidRPr="00100AF5">
        <w:t>Interministerial</w:t>
      </w:r>
      <w:proofErr w:type="spellEnd"/>
      <w:r w:rsidRPr="00100AF5">
        <w:t xml:space="preserve"> committee’s technical subcommittee in charge of capacity building</w:t>
      </w:r>
      <w:r w:rsidR="007B78C8">
        <w:t xml:space="preserve"> for decentralisation</w:t>
      </w:r>
      <w:r w:rsidRPr="00100AF5">
        <w:t>, and is reportedly working to coordinate donors’ efforts in this field.</w:t>
      </w:r>
    </w:p>
    <w:p w:rsidR="00103E1C" w:rsidRDefault="00103E1C" w:rsidP="00103E1C">
      <w:r w:rsidRPr="00100AF5">
        <w:t>A factor which perhaps needs to be taken into consideration is the donors’ attitude to fund projects which are surely in their priorities for external aid, but might prove to be unrealistic vis-à-vis the country’s positions or consolidated traditions, thus becoming unrealistic. The Paris declaration on Aid Effectiveness stressed the need for linking donors’ interventions to concrete, approved</w:t>
      </w:r>
      <w:r w:rsidR="0067541B" w:rsidRPr="00100AF5">
        <w:t>, shared</w:t>
      </w:r>
      <w:r w:rsidRPr="00100AF5">
        <w:t xml:space="preserve"> and </w:t>
      </w:r>
      <w:proofErr w:type="spellStart"/>
      <w:r w:rsidRPr="00100AF5">
        <w:rPr>
          <w:u w:val="single"/>
        </w:rPr>
        <w:t>ongoing</w:t>
      </w:r>
      <w:proofErr w:type="spellEnd"/>
      <w:r w:rsidRPr="00100AF5">
        <w:t xml:space="preserve"> national plans and strategies. One might add that any donor intervention should previously consider the pace of implementa</w:t>
      </w:r>
      <w:r w:rsidR="0067541B" w:rsidRPr="00100AF5">
        <w:t>tion of reforms in the country. T</w:t>
      </w:r>
      <w:r w:rsidRPr="00100AF5">
        <w:t>he main issue in PSR in Jordan is not linked to the absence of strategies, but rather to difficulties in their implementation.</w:t>
      </w:r>
    </w:p>
    <w:p w:rsidR="007B78C8" w:rsidRPr="00100AF5" w:rsidRDefault="007B78C8" w:rsidP="00103E1C">
      <w:r>
        <w:t xml:space="preserve">In view of the recent developments of </w:t>
      </w:r>
      <w:proofErr w:type="spellStart"/>
      <w:r>
        <w:t>MoPSD</w:t>
      </w:r>
      <w:proofErr w:type="spellEnd"/>
      <w:r>
        <w:t xml:space="preserve"> and its </w:t>
      </w:r>
      <w:proofErr w:type="spellStart"/>
      <w:r>
        <w:t>ongoing</w:t>
      </w:r>
      <w:proofErr w:type="spellEnd"/>
      <w:r>
        <w:t xml:space="preserve"> negotiations with other donors on support to public sector reform, it is highly advised that coordination be strengthened to avoid overlapping </w:t>
      </w:r>
      <w:r w:rsidR="00D4095A">
        <w:t>and to ensure harmonisation of funding interventions.</w:t>
      </w:r>
    </w:p>
    <w:p w:rsidR="00430043" w:rsidRPr="00100AF5" w:rsidRDefault="008B4CE3" w:rsidP="008B4CE3">
      <w:pPr>
        <w:pStyle w:val="Heading1"/>
      </w:pPr>
      <w:bookmarkStart w:id="174" w:name="_Toc273263535"/>
      <w:bookmarkStart w:id="175" w:name="_Toc273263671"/>
      <w:bookmarkStart w:id="176" w:name="_Toc276461295"/>
      <w:r w:rsidRPr="00100AF5">
        <w:t>Cross-cutting issues</w:t>
      </w:r>
      <w:bookmarkEnd w:id="174"/>
      <w:bookmarkEnd w:id="175"/>
      <w:bookmarkEnd w:id="176"/>
    </w:p>
    <w:p w:rsidR="008B4CE3" w:rsidRPr="00100AF5" w:rsidRDefault="008B4CE3" w:rsidP="008B4CE3">
      <w:pPr>
        <w:rPr>
          <w:lang w:eastAsia="zh-CN"/>
        </w:rPr>
      </w:pPr>
      <w:r w:rsidRPr="00100AF5">
        <w:t>Environmental sustainability is not addressed in the Project and environment issues were</w:t>
      </w:r>
      <w:r w:rsidRPr="00100AF5">
        <w:rPr>
          <w:lang w:eastAsia="zh-CN"/>
        </w:rPr>
        <w:t xml:space="preserve"> not scrutinised at all. </w:t>
      </w:r>
    </w:p>
    <w:p w:rsidR="008B4CE3" w:rsidRPr="00100AF5" w:rsidRDefault="008B4CE3" w:rsidP="008B4CE3">
      <w:r w:rsidRPr="00100AF5">
        <w:rPr>
          <w:lang w:eastAsia="zh-CN"/>
        </w:rPr>
        <w:t>Gender issues might also have taken into consideration in in the selection of sub-projects,</w:t>
      </w:r>
      <w:r w:rsidR="009C4E8D" w:rsidRPr="00100AF5">
        <w:rPr>
          <w:lang w:eastAsia="zh-CN"/>
        </w:rPr>
        <w:t xml:space="preserve"> especially as far as service delivery is concerned,</w:t>
      </w:r>
      <w:r w:rsidRPr="00100AF5">
        <w:rPr>
          <w:lang w:eastAsia="zh-CN"/>
        </w:rPr>
        <w:t xml:space="preserve"> but this issue was not dealt with at all.</w:t>
      </w:r>
    </w:p>
    <w:p w:rsidR="008B4CE3" w:rsidRPr="00100AF5" w:rsidRDefault="008B4CE3" w:rsidP="008B4CE3">
      <w:r w:rsidRPr="00100AF5">
        <w:t>A more specific approach to include these aspects into project implementation should have been carried out</w:t>
      </w:r>
      <w:r w:rsidR="009C4E8D" w:rsidRPr="00100AF5">
        <w:t xml:space="preserve">, </w:t>
      </w:r>
      <w:r w:rsidRPr="00100AF5">
        <w:t xml:space="preserve">and should have been carefully addressed by </w:t>
      </w:r>
      <w:r w:rsidR="009C4E8D" w:rsidRPr="00100AF5">
        <w:t xml:space="preserve">the Project </w:t>
      </w:r>
      <w:r w:rsidRPr="00100AF5">
        <w:t xml:space="preserve">Steering </w:t>
      </w:r>
      <w:r w:rsidR="009C4E8D" w:rsidRPr="00100AF5">
        <w:t>Committee</w:t>
      </w:r>
      <w:r w:rsidRPr="00100AF5">
        <w:t>.</w:t>
      </w:r>
    </w:p>
    <w:p w:rsidR="006064FA" w:rsidRPr="006064FA" w:rsidRDefault="007A6481" w:rsidP="006064FA">
      <w:r>
        <w:t>Same comments as in summary</w:t>
      </w:r>
      <w:r w:rsidR="00CA22C2">
        <w:t>. Yes, the summary just recapitulates conclusions taken from chapters.</w:t>
      </w:r>
    </w:p>
    <w:p w:rsidR="005B40CC" w:rsidRPr="00100AF5" w:rsidRDefault="005B40CC" w:rsidP="00CD7605">
      <w:pPr>
        <w:pStyle w:val="Heading1"/>
        <w:rPr>
          <w:lang w:eastAsia="ja-JP"/>
        </w:rPr>
      </w:pPr>
      <w:bookmarkStart w:id="177" w:name="_Toc273263537"/>
      <w:bookmarkStart w:id="178" w:name="_Toc273263673"/>
      <w:bookmarkStart w:id="179" w:name="_Toc276461296"/>
      <w:r w:rsidRPr="00100AF5">
        <w:rPr>
          <w:lang w:eastAsia="ja-JP"/>
        </w:rPr>
        <w:t>Conclusions</w:t>
      </w:r>
      <w:bookmarkEnd w:id="177"/>
      <w:bookmarkEnd w:id="178"/>
      <w:bookmarkEnd w:id="179"/>
      <w:r w:rsidRPr="00100AF5">
        <w:rPr>
          <w:lang w:eastAsia="ja-JP"/>
        </w:rPr>
        <w:t xml:space="preserve"> </w:t>
      </w:r>
    </w:p>
    <w:p w:rsidR="003A320D" w:rsidRPr="00100AF5" w:rsidRDefault="00541980" w:rsidP="00541980">
      <w:pPr>
        <w:rPr>
          <w:lang w:eastAsia="ja-JP"/>
        </w:rPr>
      </w:pPr>
      <w:r w:rsidRPr="00100AF5">
        <w:rPr>
          <w:lang w:eastAsia="ja-JP"/>
        </w:rPr>
        <w:t>The table below summarizes</w:t>
      </w:r>
      <w:r w:rsidRPr="00100AF5">
        <w:t xml:space="preserve"> the results of evaluation based on the pre-stated criteria. This matrix elucidates the performance based on each criteria of evaluation.</w:t>
      </w:r>
      <w:r w:rsidR="003A320D" w:rsidRPr="00100AF5">
        <w:t xml:space="preserve"> The Consultant divided the evaluation of the Project as a whole from the evaluation of sub-projects to better evidence differences between projects with a focused approach and projects based on general topics.</w:t>
      </w:r>
    </w:p>
    <w:p w:rsidR="00541980" w:rsidRPr="00100AF5" w:rsidRDefault="00541980" w:rsidP="00541980">
      <w:pPr>
        <w:rPr>
          <w:lang w:eastAsia="ja-JP"/>
        </w:rPr>
      </w:pPr>
    </w:p>
    <w:tbl>
      <w:tblPr>
        <w:tblW w:w="9828" w:type="dxa"/>
        <w:tblInd w:w="180" w:type="dxa"/>
        <w:tblBorders>
          <w:top w:val="nil"/>
          <w:left w:val="nil"/>
          <w:bottom w:val="nil"/>
          <w:right w:val="nil"/>
        </w:tblBorders>
        <w:tblLayout w:type="fixed"/>
        <w:tblLook w:val="0000" w:firstRow="0" w:lastRow="0" w:firstColumn="0" w:lastColumn="0" w:noHBand="0" w:noVBand="0"/>
      </w:tblPr>
      <w:tblGrid>
        <w:gridCol w:w="5238"/>
        <w:gridCol w:w="2340"/>
        <w:gridCol w:w="2250"/>
      </w:tblGrid>
      <w:tr w:rsidR="003A320D" w:rsidRPr="00100AF5" w:rsidTr="00863DB2">
        <w:trPr>
          <w:trHeight w:val="230"/>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Criteria of Evaluation </w:t>
            </w:r>
          </w:p>
        </w:tc>
        <w:tc>
          <w:tcPr>
            <w:tcW w:w="4590" w:type="dxa"/>
            <w:gridSpan w:val="2"/>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Performance Rating</w:t>
            </w:r>
          </w:p>
        </w:tc>
      </w:tr>
      <w:tr w:rsidR="003A320D" w:rsidRPr="00100AF5" w:rsidTr="0067541B">
        <w:trPr>
          <w:trHeight w:val="230"/>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jc w:val="center"/>
              <w:rPr>
                <w:rFonts w:ascii="Times New Roman" w:hAnsi="Times New Roman" w:cs="Times New Roman"/>
                <w:sz w:val="20"/>
                <w:szCs w:val="20"/>
                <w:lang w:val="en-GB"/>
              </w:rPr>
            </w:pPr>
          </w:p>
        </w:tc>
        <w:tc>
          <w:tcPr>
            <w:tcW w:w="2340"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Whole Project</w:t>
            </w:r>
          </w:p>
        </w:tc>
        <w:tc>
          <w:tcPr>
            <w:tcW w:w="2250"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Sub-Projects</w:t>
            </w:r>
          </w:p>
        </w:tc>
      </w:tr>
      <w:tr w:rsidR="003A320D" w:rsidRPr="00100AF5" w:rsidTr="003A320D">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9F7647">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Project Management</w:t>
            </w:r>
          </w:p>
        </w:tc>
        <w:tc>
          <w:tcPr>
            <w:tcW w:w="2340" w:type="dxa"/>
            <w:tcBorders>
              <w:top w:val="single" w:sz="8" w:space="0" w:color="000000"/>
              <w:left w:val="single" w:sz="8" w:space="0" w:color="000000"/>
              <w:bottom w:val="single" w:sz="8" w:space="0" w:color="000000"/>
              <w:right w:val="single" w:sz="8" w:space="0" w:color="000000"/>
            </w:tcBorders>
            <w:shd w:val="clear" w:color="auto" w:fill="FFC00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2</w:t>
            </w:r>
            <w:r w:rsidR="00343CBC" w:rsidRPr="00100AF5">
              <w:rPr>
                <w:rFonts w:ascii="Times New Roman" w:hAnsi="Times New Roman" w:cs="Times New Roman"/>
                <w:sz w:val="20"/>
                <w:szCs w:val="20"/>
                <w:lang w:val="en-GB"/>
              </w:rPr>
              <w:t>.5</w:t>
            </w:r>
            <w:r w:rsidRPr="00100AF5">
              <w:rPr>
                <w:rFonts w:ascii="Times New Roman" w:hAnsi="Times New Roman" w:cs="Times New Roman"/>
                <w:sz w:val="20"/>
                <w:szCs w:val="20"/>
                <w:lang w:val="en-GB"/>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92D05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7C72FA">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Project Design</w:t>
            </w:r>
          </w:p>
        </w:tc>
        <w:tc>
          <w:tcPr>
            <w:tcW w:w="2340" w:type="dxa"/>
            <w:tcBorders>
              <w:top w:val="single" w:sz="8" w:space="0" w:color="000000"/>
              <w:left w:val="single" w:sz="8" w:space="0" w:color="000000"/>
              <w:bottom w:val="single" w:sz="8" w:space="0" w:color="000000"/>
              <w:right w:val="single" w:sz="8" w:space="0" w:color="000000"/>
            </w:tcBorders>
            <w:shd w:val="clear" w:color="auto" w:fill="FFC000"/>
          </w:tcPr>
          <w:p w:rsidR="003A320D" w:rsidRPr="00100AF5" w:rsidRDefault="00343CBC"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2.5</w:t>
            </w:r>
            <w:r w:rsidR="003A320D" w:rsidRPr="00100AF5">
              <w:rPr>
                <w:rFonts w:ascii="Times New Roman" w:hAnsi="Times New Roman" w:cs="Times New Roman"/>
                <w:sz w:val="20"/>
                <w:szCs w:val="20"/>
                <w:lang w:val="en-GB"/>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92D05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7C72FA">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Relevance</w:t>
            </w:r>
          </w:p>
        </w:tc>
        <w:tc>
          <w:tcPr>
            <w:tcW w:w="2340" w:type="dxa"/>
            <w:tcBorders>
              <w:top w:val="single" w:sz="8" w:space="0" w:color="000000"/>
              <w:left w:val="single" w:sz="8" w:space="0" w:color="000000"/>
              <w:bottom w:val="single" w:sz="8" w:space="0" w:color="000000"/>
              <w:right w:val="single" w:sz="8" w:space="0" w:color="000000"/>
            </w:tcBorders>
            <w:shd w:val="clear" w:color="auto" w:fill="00FF0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5 </w:t>
            </w:r>
          </w:p>
        </w:tc>
        <w:tc>
          <w:tcPr>
            <w:tcW w:w="2250" w:type="dxa"/>
            <w:tcBorders>
              <w:top w:val="single" w:sz="8" w:space="0" w:color="000000"/>
              <w:left w:val="single" w:sz="8" w:space="0" w:color="000000"/>
              <w:bottom w:val="single" w:sz="8" w:space="0" w:color="000000"/>
              <w:right w:val="single" w:sz="8" w:space="0" w:color="000000"/>
            </w:tcBorders>
            <w:shd w:val="clear" w:color="auto" w:fill="00FF00"/>
          </w:tcPr>
          <w:p w:rsidR="003A320D" w:rsidRPr="00100AF5" w:rsidRDefault="00343CBC"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5</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3667AD">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Effectiveness</w:t>
            </w:r>
          </w:p>
        </w:tc>
        <w:tc>
          <w:tcPr>
            <w:tcW w:w="2340" w:type="dxa"/>
            <w:tcBorders>
              <w:top w:val="single" w:sz="8" w:space="0" w:color="000000"/>
              <w:left w:val="single" w:sz="8" w:space="0" w:color="000000"/>
              <w:bottom w:val="single" w:sz="8" w:space="0" w:color="000000"/>
              <w:right w:val="single" w:sz="8" w:space="0" w:color="000000"/>
            </w:tcBorders>
            <w:shd w:val="clear" w:color="auto" w:fill="FFFF00"/>
          </w:tcPr>
          <w:p w:rsidR="003A320D" w:rsidRPr="00100AF5" w:rsidRDefault="00343CBC"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3</w:t>
            </w:r>
          </w:p>
        </w:tc>
        <w:tc>
          <w:tcPr>
            <w:tcW w:w="2250" w:type="dxa"/>
            <w:tcBorders>
              <w:top w:val="single" w:sz="8" w:space="0" w:color="000000"/>
              <w:left w:val="single" w:sz="8" w:space="0" w:color="000000"/>
              <w:bottom w:val="single" w:sz="8" w:space="0" w:color="000000"/>
              <w:right w:val="single" w:sz="8" w:space="0" w:color="000000"/>
            </w:tcBorders>
            <w:shd w:val="clear" w:color="auto" w:fill="97CC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3667AD">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Efficiency</w:t>
            </w:r>
          </w:p>
        </w:tc>
        <w:tc>
          <w:tcPr>
            <w:tcW w:w="2340" w:type="dxa"/>
            <w:tcBorders>
              <w:top w:val="single" w:sz="8" w:space="0" w:color="000000"/>
              <w:left w:val="single" w:sz="8" w:space="0" w:color="000000"/>
              <w:bottom w:val="single" w:sz="8" w:space="0" w:color="000000"/>
              <w:right w:val="single" w:sz="8" w:space="0" w:color="000000"/>
            </w:tcBorders>
            <w:shd w:val="clear" w:color="auto" w:fill="FFFF0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3 </w:t>
            </w:r>
          </w:p>
        </w:tc>
        <w:tc>
          <w:tcPr>
            <w:tcW w:w="2250" w:type="dxa"/>
            <w:tcBorders>
              <w:top w:val="single" w:sz="8" w:space="0" w:color="000000"/>
              <w:left w:val="single" w:sz="8" w:space="0" w:color="000000"/>
              <w:bottom w:val="single" w:sz="8" w:space="0" w:color="000000"/>
              <w:right w:val="single" w:sz="8" w:space="0" w:color="000000"/>
            </w:tcBorders>
            <w:shd w:val="clear" w:color="auto" w:fill="FFFF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3</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3667AD">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Impact</w:t>
            </w:r>
          </w:p>
        </w:tc>
        <w:tc>
          <w:tcPr>
            <w:tcW w:w="2340" w:type="dxa"/>
            <w:tcBorders>
              <w:top w:val="single" w:sz="8" w:space="0" w:color="000000"/>
              <w:left w:val="single" w:sz="8" w:space="0" w:color="000000"/>
              <w:bottom w:val="single" w:sz="8" w:space="0" w:color="000000"/>
              <w:right w:val="single" w:sz="8" w:space="0" w:color="000000"/>
            </w:tcBorders>
            <w:shd w:val="clear" w:color="auto" w:fill="FFC0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2</w:t>
            </w:r>
          </w:p>
        </w:tc>
        <w:tc>
          <w:tcPr>
            <w:tcW w:w="2250" w:type="dxa"/>
            <w:tcBorders>
              <w:top w:val="single" w:sz="8" w:space="0" w:color="000000"/>
              <w:left w:val="single" w:sz="8" w:space="0" w:color="000000"/>
              <w:bottom w:val="single" w:sz="8" w:space="0" w:color="000000"/>
              <w:right w:val="single" w:sz="8" w:space="0" w:color="000000"/>
            </w:tcBorders>
            <w:shd w:val="clear" w:color="auto" w:fill="97CC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r w:rsidR="003A320D" w:rsidRPr="00100AF5" w:rsidTr="0067541B">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Sustainability</w:t>
            </w:r>
          </w:p>
        </w:tc>
        <w:tc>
          <w:tcPr>
            <w:tcW w:w="2340" w:type="dxa"/>
            <w:tcBorders>
              <w:top w:val="single" w:sz="8" w:space="0" w:color="000000"/>
              <w:left w:val="single" w:sz="8" w:space="0" w:color="000000"/>
              <w:bottom w:val="single" w:sz="8" w:space="0" w:color="000000"/>
              <w:right w:val="single" w:sz="8" w:space="0" w:color="000000"/>
            </w:tcBorders>
            <w:shd w:val="clear" w:color="auto" w:fill="FFFF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3</w:t>
            </w:r>
          </w:p>
        </w:tc>
        <w:tc>
          <w:tcPr>
            <w:tcW w:w="2250" w:type="dxa"/>
            <w:tcBorders>
              <w:top w:val="single" w:sz="8" w:space="0" w:color="000000"/>
              <w:left w:val="single" w:sz="8" w:space="0" w:color="000000"/>
              <w:bottom w:val="single" w:sz="8" w:space="0" w:color="000000"/>
              <w:right w:val="single" w:sz="8" w:space="0" w:color="000000"/>
            </w:tcBorders>
            <w:shd w:val="clear" w:color="auto" w:fill="98CC00"/>
          </w:tcPr>
          <w:p w:rsidR="003A320D" w:rsidRPr="00100AF5" w:rsidRDefault="0067541B"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r w:rsidR="003A320D" w:rsidRPr="00100AF5" w:rsidTr="003A320D">
        <w:trPr>
          <w:trHeight w:val="133"/>
        </w:trPr>
        <w:tc>
          <w:tcPr>
            <w:tcW w:w="5238" w:type="dxa"/>
            <w:tcBorders>
              <w:top w:val="single" w:sz="8" w:space="0" w:color="000000"/>
              <w:left w:val="single" w:sz="8" w:space="0" w:color="000000"/>
              <w:bottom w:val="single" w:sz="8" w:space="0" w:color="000000"/>
              <w:right w:val="single" w:sz="8" w:space="0" w:color="000000"/>
            </w:tcBorders>
          </w:tcPr>
          <w:p w:rsidR="003A320D" w:rsidRPr="00100AF5" w:rsidRDefault="003A320D" w:rsidP="00891FA8">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Coherence</w:t>
            </w:r>
          </w:p>
        </w:tc>
        <w:tc>
          <w:tcPr>
            <w:tcW w:w="2340" w:type="dxa"/>
            <w:tcBorders>
              <w:top w:val="single" w:sz="8" w:space="0" w:color="000000"/>
              <w:left w:val="single" w:sz="8" w:space="0" w:color="000000"/>
              <w:bottom w:val="single" w:sz="8" w:space="0" w:color="000000"/>
              <w:right w:val="single" w:sz="8" w:space="0" w:color="000000"/>
            </w:tcBorders>
            <w:shd w:val="clear" w:color="auto" w:fill="98CC00"/>
          </w:tcPr>
          <w:p w:rsidR="003A320D" w:rsidRPr="00100AF5" w:rsidRDefault="003A320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4 </w:t>
            </w:r>
          </w:p>
        </w:tc>
        <w:tc>
          <w:tcPr>
            <w:tcW w:w="2250" w:type="dxa"/>
            <w:tcBorders>
              <w:top w:val="single" w:sz="8" w:space="0" w:color="000000"/>
              <w:left w:val="single" w:sz="8" w:space="0" w:color="000000"/>
              <w:bottom w:val="single" w:sz="8" w:space="0" w:color="000000"/>
              <w:right w:val="single" w:sz="8" w:space="0" w:color="000000"/>
            </w:tcBorders>
            <w:shd w:val="clear" w:color="auto" w:fill="98CC00"/>
          </w:tcPr>
          <w:p w:rsidR="003A320D" w:rsidRPr="00100AF5" w:rsidRDefault="00E66CAD"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4</w:t>
            </w:r>
          </w:p>
        </w:tc>
      </w:tr>
    </w:tbl>
    <w:p w:rsidR="00541980" w:rsidRPr="00100AF5" w:rsidRDefault="00541980" w:rsidP="00541980">
      <w:pPr>
        <w:rPr>
          <w:rFonts w:cs="Times New Roman"/>
          <w:sz w:val="20"/>
          <w:szCs w:val="20"/>
        </w:rPr>
      </w:pPr>
    </w:p>
    <w:tbl>
      <w:tblPr>
        <w:tblW w:w="6858" w:type="dxa"/>
        <w:tblInd w:w="180" w:type="dxa"/>
        <w:tblBorders>
          <w:top w:val="nil"/>
          <w:left w:val="nil"/>
          <w:bottom w:val="nil"/>
          <w:right w:val="nil"/>
        </w:tblBorders>
        <w:tblLayout w:type="fixed"/>
        <w:tblLook w:val="0000" w:firstRow="0" w:lastRow="0" w:firstColumn="0" w:lastColumn="0" w:noHBand="0" w:noVBand="0"/>
      </w:tblPr>
      <w:tblGrid>
        <w:gridCol w:w="1498"/>
        <w:gridCol w:w="1170"/>
        <w:gridCol w:w="1260"/>
        <w:gridCol w:w="1440"/>
        <w:gridCol w:w="1470"/>
        <w:gridCol w:w="20"/>
      </w:tblGrid>
      <w:tr w:rsidR="00541980" w:rsidRPr="00100AF5" w:rsidTr="00891FA8">
        <w:trPr>
          <w:gridAfter w:val="1"/>
          <w:wAfter w:w="20" w:type="dxa"/>
          <w:trHeight w:val="211"/>
        </w:trPr>
        <w:tc>
          <w:tcPr>
            <w:tcW w:w="6838" w:type="dxa"/>
            <w:gridSpan w:val="5"/>
            <w:tcBorders>
              <w:top w:val="single" w:sz="8" w:space="0" w:color="000000"/>
              <w:left w:val="single" w:sz="8" w:space="0" w:color="000000"/>
              <w:bottom w:val="single" w:sz="8" w:space="0" w:color="000000"/>
              <w:right w:val="single" w:sz="8" w:space="0" w:color="000000"/>
            </w:tcBorders>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Performance Rating </w:t>
            </w:r>
          </w:p>
        </w:tc>
      </w:tr>
      <w:tr w:rsidR="00541980" w:rsidRPr="00100AF5" w:rsidTr="00891FA8">
        <w:trPr>
          <w:trHeight w:val="133"/>
        </w:trPr>
        <w:tc>
          <w:tcPr>
            <w:tcW w:w="1498" w:type="dxa"/>
            <w:tcBorders>
              <w:top w:val="single" w:sz="8" w:space="0" w:color="000000"/>
              <w:left w:val="single" w:sz="8" w:space="0" w:color="000000"/>
              <w:bottom w:val="single" w:sz="8" w:space="0" w:color="000000"/>
              <w:right w:val="single" w:sz="8" w:space="0" w:color="000000"/>
            </w:tcBorders>
            <w:shd w:val="clear" w:color="auto" w:fill="00FF00"/>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5 </w:t>
            </w:r>
          </w:p>
        </w:tc>
        <w:tc>
          <w:tcPr>
            <w:tcW w:w="1170" w:type="dxa"/>
            <w:tcBorders>
              <w:top w:val="single" w:sz="8" w:space="0" w:color="000000"/>
              <w:left w:val="single" w:sz="8" w:space="0" w:color="000000"/>
              <w:bottom w:val="single" w:sz="8" w:space="0" w:color="000000"/>
              <w:right w:val="single" w:sz="8" w:space="0" w:color="000000"/>
            </w:tcBorders>
            <w:shd w:val="clear" w:color="auto" w:fill="98CC00"/>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4 </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3 </w:t>
            </w:r>
          </w:p>
        </w:tc>
        <w:tc>
          <w:tcPr>
            <w:tcW w:w="1440" w:type="dxa"/>
            <w:tcBorders>
              <w:top w:val="single" w:sz="8" w:space="0" w:color="000000"/>
              <w:left w:val="single" w:sz="8" w:space="0" w:color="000000"/>
              <w:bottom w:val="single" w:sz="8" w:space="0" w:color="000000"/>
              <w:right w:val="single" w:sz="8" w:space="0" w:color="000000"/>
            </w:tcBorders>
            <w:shd w:val="clear" w:color="auto" w:fill="FFCC00"/>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2 </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FF0000"/>
          </w:tcPr>
          <w:p w:rsidR="00541980" w:rsidRPr="00100AF5" w:rsidRDefault="00541980" w:rsidP="00891FA8">
            <w:pPr>
              <w:pStyle w:val="Default"/>
              <w:jc w:val="center"/>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1 </w:t>
            </w:r>
          </w:p>
        </w:tc>
      </w:tr>
    </w:tbl>
    <w:p w:rsidR="00541980" w:rsidRPr="00100AF5" w:rsidRDefault="00541980" w:rsidP="00541980">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5 signifies outstanding performance </w:t>
      </w:r>
    </w:p>
    <w:p w:rsidR="00541980" w:rsidRPr="00100AF5" w:rsidRDefault="00541980" w:rsidP="00541980">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4 signifies satisfactory performance </w:t>
      </w:r>
    </w:p>
    <w:p w:rsidR="00541980" w:rsidRPr="00100AF5" w:rsidRDefault="00541980" w:rsidP="00541980">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3 signifies moderate performance </w:t>
      </w:r>
    </w:p>
    <w:p w:rsidR="00541980" w:rsidRPr="00100AF5" w:rsidRDefault="00541980" w:rsidP="00541980">
      <w:pPr>
        <w:pStyle w:val="Default"/>
        <w:rPr>
          <w:rFonts w:ascii="Times New Roman" w:hAnsi="Times New Roman" w:cs="Times New Roman"/>
          <w:sz w:val="20"/>
          <w:szCs w:val="20"/>
          <w:lang w:val="en-GB"/>
        </w:rPr>
      </w:pPr>
      <w:r w:rsidRPr="00100AF5">
        <w:rPr>
          <w:rFonts w:ascii="Times New Roman" w:hAnsi="Times New Roman" w:cs="Times New Roman"/>
          <w:sz w:val="20"/>
          <w:szCs w:val="20"/>
          <w:lang w:val="en-GB"/>
        </w:rPr>
        <w:t xml:space="preserve">2 signifies poor performance </w:t>
      </w:r>
    </w:p>
    <w:p w:rsidR="00541980" w:rsidRPr="00100AF5" w:rsidRDefault="00541980" w:rsidP="00541980">
      <w:pPr>
        <w:rPr>
          <w:rFonts w:cs="Times New Roman"/>
          <w:sz w:val="20"/>
          <w:szCs w:val="20"/>
        </w:rPr>
      </w:pPr>
      <w:r w:rsidRPr="00100AF5">
        <w:rPr>
          <w:rFonts w:cs="Times New Roman"/>
          <w:sz w:val="20"/>
          <w:szCs w:val="20"/>
        </w:rPr>
        <w:t>1 signifies unsatisfactory performance</w:t>
      </w:r>
    </w:p>
    <w:p w:rsidR="009213B6" w:rsidRPr="00100AF5" w:rsidRDefault="009213B6" w:rsidP="009213B6">
      <w:pPr>
        <w:rPr>
          <w:lang w:eastAsia="ja-JP"/>
        </w:rPr>
      </w:pPr>
    </w:p>
    <w:p w:rsidR="005B40CC" w:rsidRPr="00100AF5" w:rsidRDefault="005B40CC" w:rsidP="00CD7605">
      <w:pPr>
        <w:pStyle w:val="Heading1"/>
        <w:rPr>
          <w:lang w:eastAsia="ja-JP"/>
        </w:rPr>
      </w:pPr>
      <w:bookmarkStart w:id="180" w:name="_Toc273263538"/>
      <w:bookmarkStart w:id="181" w:name="_Toc273263674"/>
      <w:bookmarkStart w:id="182" w:name="_Toc276461297"/>
      <w:r w:rsidRPr="00100AF5">
        <w:t>Recommendations</w:t>
      </w:r>
      <w:bookmarkEnd w:id="180"/>
      <w:bookmarkEnd w:id="181"/>
      <w:bookmarkEnd w:id="182"/>
      <w:r w:rsidRPr="00100AF5">
        <w:rPr>
          <w:lang w:eastAsia="ja-JP"/>
        </w:rPr>
        <w:t xml:space="preserve"> </w:t>
      </w:r>
    </w:p>
    <w:p w:rsidR="00F02D12" w:rsidRPr="00100AF5" w:rsidRDefault="00F02D12" w:rsidP="00F02D12">
      <w:pPr>
        <w:rPr>
          <w:lang w:eastAsia="ja-JP"/>
        </w:rPr>
      </w:pPr>
    </w:p>
    <w:p w:rsidR="00F02D12" w:rsidRPr="00100AF5" w:rsidRDefault="00F02D12" w:rsidP="00F02D12">
      <w:pPr>
        <w:rPr>
          <w:rFonts w:cs="Times New Roman"/>
        </w:rPr>
      </w:pPr>
      <w:r w:rsidRPr="00100AF5">
        <w:rPr>
          <w:rFonts w:cs="Times New Roman"/>
        </w:rPr>
        <w:t>The team has identified 6 main key areas for recommendations:</w:t>
      </w:r>
    </w:p>
    <w:p w:rsidR="00F02D12" w:rsidRPr="00100AF5" w:rsidRDefault="00F02D12" w:rsidP="00F02D12">
      <w:pPr>
        <w:rPr>
          <w:rFonts w:cs="Times New Roman"/>
        </w:rPr>
      </w:pPr>
      <w:r w:rsidRPr="00100AF5">
        <w:rPr>
          <w:rFonts w:cs="Times New Roman"/>
        </w:rPr>
        <w:t>Key Area 1: Strengthen project design</w:t>
      </w:r>
    </w:p>
    <w:p w:rsidR="00F02D12" w:rsidRPr="00100AF5" w:rsidRDefault="00FD1E03" w:rsidP="00F02D12">
      <w:pPr>
        <w:rPr>
          <w:rFonts w:cs="Times New Roman"/>
        </w:rPr>
      </w:pPr>
      <w:r w:rsidRPr="00100AF5">
        <w:rPr>
          <w:rFonts w:cs="Times New Roman"/>
        </w:rPr>
        <w:t>Key Area 2: Streamline</w:t>
      </w:r>
      <w:r w:rsidR="00F02D12" w:rsidRPr="00100AF5">
        <w:rPr>
          <w:rFonts w:cs="Times New Roman"/>
        </w:rPr>
        <w:t xml:space="preserve"> project management </w:t>
      </w:r>
    </w:p>
    <w:p w:rsidR="00F02D12" w:rsidRPr="00100AF5" w:rsidRDefault="00F02D12" w:rsidP="00F02D12">
      <w:pPr>
        <w:rPr>
          <w:rFonts w:cs="Times New Roman"/>
        </w:rPr>
      </w:pPr>
      <w:r w:rsidRPr="00100AF5">
        <w:rPr>
          <w:rFonts w:cs="Times New Roman"/>
        </w:rPr>
        <w:t xml:space="preserve">Key Area 3: Streamline human resources </w:t>
      </w:r>
    </w:p>
    <w:p w:rsidR="00F02D12" w:rsidRPr="00100AF5" w:rsidRDefault="00F02D12" w:rsidP="00F02D12">
      <w:pPr>
        <w:rPr>
          <w:rFonts w:cs="Times New Roman"/>
        </w:rPr>
      </w:pPr>
      <w:r w:rsidRPr="00100AF5">
        <w:rPr>
          <w:rFonts w:cs="Times New Roman"/>
        </w:rPr>
        <w:t>Key Area 4: Focus on long-term approaches (impact, sustainability)</w:t>
      </w:r>
    </w:p>
    <w:p w:rsidR="00F02D12" w:rsidRPr="00100AF5" w:rsidRDefault="00F02D12" w:rsidP="00F02D12">
      <w:pPr>
        <w:rPr>
          <w:rFonts w:cs="Times New Roman"/>
          <w:b/>
        </w:rPr>
      </w:pPr>
    </w:p>
    <w:p w:rsidR="00F02D12" w:rsidRPr="00100AF5" w:rsidRDefault="00F02D12" w:rsidP="00F02D12">
      <w:pPr>
        <w:rPr>
          <w:rFonts w:cs="Times New Roman"/>
        </w:rPr>
      </w:pPr>
      <w:r w:rsidRPr="00100AF5">
        <w:rPr>
          <w:rFonts w:cs="Times New Roman"/>
        </w:rPr>
        <w:t xml:space="preserve">Each recommendation is targeted at the following levels: </w:t>
      </w:r>
    </w:p>
    <w:p w:rsidR="00F02D12" w:rsidRPr="00100AF5" w:rsidRDefault="0033212D" w:rsidP="00F02D12">
      <w:pPr>
        <w:rPr>
          <w:rFonts w:cs="Times New Roman"/>
        </w:rPr>
      </w:pPr>
      <w:r w:rsidRPr="00100AF5">
        <w:rPr>
          <w:rFonts w:cs="Times New Roman"/>
        </w:rPr>
        <w:t>FA,    Funding Agency (UNDP)</w:t>
      </w:r>
    </w:p>
    <w:p w:rsidR="00F02D12" w:rsidRPr="00100AF5" w:rsidRDefault="00F02D12" w:rsidP="00F02D12">
      <w:pPr>
        <w:rPr>
          <w:rFonts w:cs="Times New Roman"/>
        </w:rPr>
      </w:pPr>
      <w:r w:rsidRPr="00100AF5">
        <w:rPr>
          <w:rFonts w:cs="Times New Roman"/>
        </w:rPr>
        <w:t>MG,   Management  (</w:t>
      </w:r>
      <w:proofErr w:type="spellStart"/>
      <w:r w:rsidRPr="00100AF5">
        <w:rPr>
          <w:rFonts w:cs="Times New Roman"/>
        </w:rPr>
        <w:t>MoPSD</w:t>
      </w:r>
      <w:proofErr w:type="spellEnd"/>
      <w:r w:rsidRPr="00100AF5">
        <w:rPr>
          <w:rFonts w:cs="Times New Roman"/>
        </w:rPr>
        <w:t>)</w:t>
      </w:r>
    </w:p>
    <w:p w:rsidR="00F02D12" w:rsidRPr="00100AF5" w:rsidRDefault="00F02D12" w:rsidP="00F02D12">
      <w:pPr>
        <w:rPr>
          <w:rFonts w:cs="Times New Roman"/>
        </w:rPr>
      </w:pPr>
      <w:r w:rsidRPr="00100AF5">
        <w:rPr>
          <w:rFonts w:cs="Times New Roman"/>
        </w:rPr>
        <w:t>MDA</w:t>
      </w:r>
      <w:r w:rsidR="0033212D" w:rsidRPr="00100AF5">
        <w:rPr>
          <w:rFonts w:cs="Times New Roman"/>
        </w:rPr>
        <w:t>s</w:t>
      </w:r>
      <w:r w:rsidRPr="00100AF5">
        <w:rPr>
          <w:rFonts w:cs="Times New Roman"/>
        </w:rPr>
        <w:t xml:space="preserve">, Ministries, Departments, Agencies </w:t>
      </w:r>
    </w:p>
    <w:p w:rsidR="00F02D12" w:rsidRPr="00100AF5" w:rsidRDefault="00F02D12" w:rsidP="00F02D12">
      <w:pPr>
        <w:rPr>
          <w:rFonts w:cs="Times New Roman"/>
        </w:rPr>
      </w:pPr>
      <w:r w:rsidRPr="00100AF5">
        <w:rPr>
          <w:rFonts w:cs="Times New Roman"/>
        </w:rPr>
        <w:t>Recommendations are given for each key area. A degree of priority is assessed for each recommendation on a high (XXX) to low (X) scale. An indicative timeframe for implementation of recommendations is also provided.</w:t>
      </w:r>
    </w:p>
    <w:p w:rsidR="00F02D12" w:rsidRPr="00100AF5" w:rsidRDefault="00F02D12" w:rsidP="00F02D12">
      <w:pPr>
        <w:rPr>
          <w:lang w:eastAsia="zh-CN"/>
        </w:rPr>
      </w:pPr>
    </w:p>
    <w:p w:rsidR="00F02D12" w:rsidRPr="00100AF5" w:rsidRDefault="00F02D12" w:rsidP="00F02D12">
      <w:pPr>
        <w:rPr>
          <w:lang w:eastAsia="zh-CN"/>
        </w:rPr>
      </w:pPr>
    </w:p>
    <w:p w:rsidR="00F02D12" w:rsidRPr="00100AF5" w:rsidRDefault="00F93D02" w:rsidP="00F02D12">
      <w:pPr>
        <w:rPr>
          <w:rFonts w:cs="Times New Roman"/>
        </w:rPr>
      </w:pPr>
      <w:r w:rsidRPr="00100AF5">
        <w:rPr>
          <w:rFonts w:cs="Times New Roman"/>
          <w:b/>
        </w:rPr>
        <w:t xml:space="preserve">Recommendation 1 – </w:t>
      </w:r>
      <w:r w:rsidR="00F02D12" w:rsidRPr="00100AF5">
        <w:rPr>
          <w:rFonts w:cs="Times New Roman"/>
          <w:b/>
        </w:rPr>
        <w:t xml:space="preserve">Strengthen project design </w:t>
      </w:r>
    </w:p>
    <w:p w:rsidR="00F02D12" w:rsidRPr="00100AF5" w:rsidRDefault="00F02D12" w:rsidP="00F02D12">
      <w:pPr>
        <w:pStyle w:val="Default"/>
        <w:rPr>
          <w:rFonts w:ascii="Times New Roman" w:hAnsi="Times New Roman" w:cs="Times New Roman"/>
          <w:b/>
          <w:sz w:val="22"/>
          <w:szCs w:val="22"/>
          <w:lang w:val="en-GB"/>
        </w:rPr>
      </w:pPr>
    </w:p>
    <w:tbl>
      <w:tblPr>
        <w:tblW w:w="9700" w:type="dxa"/>
        <w:tblInd w:w="-42" w:type="dxa"/>
        <w:tblLayout w:type="fixed"/>
        <w:tblLook w:val="0000" w:firstRow="0" w:lastRow="0" w:firstColumn="0" w:lastColumn="0" w:noHBand="0" w:noVBand="0"/>
      </w:tblPr>
      <w:tblGrid>
        <w:gridCol w:w="512"/>
        <w:gridCol w:w="1420"/>
        <w:gridCol w:w="1320"/>
        <w:gridCol w:w="996"/>
        <w:gridCol w:w="5452"/>
      </w:tblGrid>
      <w:tr w:rsidR="00F02D12" w:rsidRPr="00100AF5" w:rsidTr="005024A2">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 xml:space="preserve">1a </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F02D12" w:rsidRPr="00100AF5" w:rsidRDefault="00F02D12" w:rsidP="005024A2">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Introduce stakeholders’ analysis</w:t>
            </w:r>
          </w:p>
        </w:tc>
      </w:tr>
      <w:tr w:rsidR="00F02D12" w:rsidRPr="00100AF5" w:rsidTr="00F93D02">
        <w:trPr>
          <w:trHeight w:val="908"/>
        </w:trPr>
        <w:tc>
          <w:tcPr>
            <w:tcW w:w="970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F93D02">
            <w:pPr>
              <w:snapToGrid w:val="0"/>
              <w:rPr>
                <w:rFonts w:cs="Times New Roman"/>
              </w:rPr>
            </w:pPr>
            <w:r w:rsidRPr="00100AF5">
              <w:rPr>
                <w:rFonts w:cs="Times New Roman"/>
                <w:b/>
              </w:rPr>
              <w:t xml:space="preserve">Operational application: </w:t>
            </w:r>
            <w:r w:rsidR="003667AD" w:rsidRPr="00100AF5">
              <w:rPr>
                <w:rFonts w:cs="Times New Roman"/>
              </w:rPr>
              <w:t>P</w:t>
            </w:r>
            <w:r w:rsidRPr="00100AF5">
              <w:rPr>
                <w:rFonts w:cs="Times New Roman"/>
              </w:rPr>
              <w:t>roject documents should contain an appropriate analysis from which  a sets of results  and adequate action should be derived.</w:t>
            </w:r>
          </w:p>
        </w:tc>
      </w:tr>
    </w:tbl>
    <w:p w:rsidR="00F02D12" w:rsidRPr="00100AF5" w:rsidRDefault="00F02D12" w:rsidP="00F02D12">
      <w:pPr>
        <w:rPr>
          <w:rFonts w:cs="Times New Roman"/>
        </w:rPr>
      </w:pPr>
    </w:p>
    <w:tbl>
      <w:tblPr>
        <w:tblW w:w="9700" w:type="dxa"/>
        <w:tblInd w:w="-42" w:type="dxa"/>
        <w:tblLayout w:type="fixed"/>
        <w:tblLook w:val="0000" w:firstRow="0" w:lastRow="0" w:firstColumn="0" w:lastColumn="0" w:noHBand="0" w:noVBand="0"/>
      </w:tblPr>
      <w:tblGrid>
        <w:gridCol w:w="512"/>
        <w:gridCol w:w="1420"/>
        <w:gridCol w:w="1320"/>
        <w:gridCol w:w="996"/>
        <w:gridCol w:w="5452"/>
      </w:tblGrid>
      <w:tr w:rsidR="00F02D12" w:rsidRPr="00100AF5" w:rsidTr="00FD1E03">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 xml:space="preserve">1b </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F02D12" w:rsidRPr="00100AF5" w:rsidRDefault="00F02D12" w:rsidP="005024A2">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Introduce outcome indicators in the project documents</w:t>
            </w:r>
          </w:p>
        </w:tc>
      </w:tr>
      <w:tr w:rsidR="00F02D12" w:rsidRPr="00100AF5" w:rsidTr="00FD1E03">
        <w:trPr>
          <w:trHeight w:val="683"/>
        </w:trPr>
        <w:tc>
          <w:tcPr>
            <w:tcW w:w="970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3667AD">
            <w:pPr>
              <w:snapToGrid w:val="0"/>
              <w:rPr>
                <w:rFonts w:cs="Times New Roman"/>
              </w:rPr>
            </w:pPr>
            <w:r w:rsidRPr="00100AF5">
              <w:rPr>
                <w:rFonts w:cs="Times New Roman"/>
                <w:b/>
              </w:rPr>
              <w:t xml:space="preserve">Operational application: </w:t>
            </w:r>
            <w:r w:rsidRPr="00100AF5">
              <w:rPr>
                <w:rFonts w:cs="Times New Roman"/>
              </w:rPr>
              <w:t xml:space="preserve">outcome indicators should be included in the </w:t>
            </w:r>
            <w:r w:rsidR="003667AD" w:rsidRPr="00100AF5">
              <w:rPr>
                <w:rFonts w:cs="Times New Roman"/>
              </w:rPr>
              <w:t>project documents.</w:t>
            </w:r>
          </w:p>
        </w:tc>
      </w:tr>
    </w:tbl>
    <w:p w:rsidR="00F02D12" w:rsidRPr="00100AF5" w:rsidRDefault="00F02D12" w:rsidP="00F02D12">
      <w:pPr>
        <w:rPr>
          <w:rFonts w:cs="Times New Roman"/>
        </w:rPr>
      </w:pPr>
    </w:p>
    <w:tbl>
      <w:tblPr>
        <w:tblW w:w="0" w:type="auto"/>
        <w:tblInd w:w="-42" w:type="dxa"/>
        <w:tblLayout w:type="fixed"/>
        <w:tblLook w:val="0000" w:firstRow="0" w:lastRow="0" w:firstColumn="0" w:lastColumn="0" w:noHBand="0" w:noVBand="0"/>
      </w:tblPr>
      <w:tblGrid>
        <w:gridCol w:w="512"/>
        <w:gridCol w:w="1420"/>
        <w:gridCol w:w="1320"/>
        <w:gridCol w:w="996"/>
        <w:gridCol w:w="5452"/>
      </w:tblGrid>
      <w:tr w:rsidR="00F93D02" w:rsidRPr="00100AF5" w:rsidTr="00863DB2">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F93D02" w:rsidRPr="00100AF5" w:rsidRDefault="00F93D02" w:rsidP="00863DB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 xml:space="preserve">1c </w:t>
            </w:r>
          </w:p>
        </w:tc>
        <w:tc>
          <w:tcPr>
            <w:tcW w:w="1420" w:type="dxa"/>
            <w:tcBorders>
              <w:top w:val="single" w:sz="4" w:space="0" w:color="000000"/>
              <w:left w:val="single" w:sz="4" w:space="0" w:color="000000"/>
              <w:bottom w:val="single" w:sz="4" w:space="0" w:color="000000"/>
            </w:tcBorders>
            <w:shd w:val="clear" w:color="auto" w:fill="F3F3F3"/>
          </w:tcPr>
          <w:p w:rsidR="00F93D02" w:rsidRPr="00100AF5" w:rsidRDefault="00F93D02"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F93D02" w:rsidRPr="00100AF5" w:rsidRDefault="00F93D02"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F93D02" w:rsidRPr="00100AF5" w:rsidRDefault="00F93D02" w:rsidP="00863DB2">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F93D02" w:rsidRPr="00100AF5" w:rsidRDefault="00F93D02" w:rsidP="00863DB2">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93D02" w:rsidRPr="00100AF5" w:rsidRDefault="00F93D02" w:rsidP="00F93D0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Link interventions to shared, endorsed country strategies</w:t>
            </w:r>
          </w:p>
        </w:tc>
      </w:tr>
      <w:tr w:rsidR="00F93D02" w:rsidRPr="00100AF5" w:rsidTr="00863DB2">
        <w:trPr>
          <w:trHeight w:val="941"/>
        </w:trPr>
        <w:tc>
          <w:tcPr>
            <w:tcW w:w="9700" w:type="dxa"/>
            <w:gridSpan w:val="5"/>
            <w:tcBorders>
              <w:left w:val="single" w:sz="4" w:space="0" w:color="000000"/>
              <w:bottom w:val="single" w:sz="4" w:space="0" w:color="000000"/>
              <w:right w:val="single" w:sz="4" w:space="0" w:color="000000"/>
            </w:tcBorders>
            <w:shd w:val="clear" w:color="auto" w:fill="F3F3F3"/>
          </w:tcPr>
          <w:p w:rsidR="00F93D02" w:rsidRPr="00100AF5" w:rsidRDefault="00F93D02" w:rsidP="00F93D02">
            <w:pPr>
              <w:snapToGrid w:val="0"/>
              <w:spacing w:after="120"/>
              <w:rPr>
                <w:rFonts w:cs="Times New Roman"/>
              </w:rPr>
            </w:pPr>
            <w:r w:rsidRPr="00100AF5">
              <w:rPr>
                <w:rFonts w:cs="Times New Roman"/>
                <w:b/>
              </w:rPr>
              <w:t xml:space="preserve">Operational application: </w:t>
            </w:r>
            <w:r w:rsidRPr="00100AF5">
              <w:rPr>
                <w:rFonts w:cs="Times New Roman"/>
              </w:rPr>
              <w:t>ensure that the project objectives are shared and agreed among key Government stakeholders over reasonable time.</w:t>
            </w:r>
          </w:p>
        </w:tc>
      </w:tr>
    </w:tbl>
    <w:p w:rsidR="00F93D02" w:rsidRPr="00100AF5" w:rsidRDefault="00F93D02" w:rsidP="00F02D12">
      <w:pPr>
        <w:rPr>
          <w:rFonts w:cs="Times New Roman"/>
        </w:rPr>
      </w:pPr>
    </w:p>
    <w:tbl>
      <w:tblPr>
        <w:tblW w:w="0" w:type="auto"/>
        <w:tblInd w:w="-42" w:type="dxa"/>
        <w:tblLayout w:type="fixed"/>
        <w:tblLook w:val="0000" w:firstRow="0" w:lastRow="0" w:firstColumn="0" w:lastColumn="0" w:noHBand="0" w:noVBand="0"/>
      </w:tblPr>
      <w:tblGrid>
        <w:gridCol w:w="512"/>
        <w:gridCol w:w="1420"/>
        <w:gridCol w:w="1320"/>
        <w:gridCol w:w="996"/>
        <w:gridCol w:w="5452"/>
      </w:tblGrid>
      <w:tr w:rsidR="00F93D02" w:rsidRPr="00100AF5" w:rsidTr="00863DB2">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F93D02" w:rsidRPr="00100AF5" w:rsidRDefault="00F93D02" w:rsidP="00863DB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 xml:space="preserve">1d </w:t>
            </w:r>
          </w:p>
        </w:tc>
        <w:tc>
          <w:tcPr>
            <w:tcW w:w="1420" w:type="dxa"/>
            <w:tcBorders>
              <w:top w:val="single" w:sz="4" w:space="0" w:color="000000"/>
              <w:left w:val="single" w:sz="4" w:space="0" w:color="000000"/>
              <w:bottom w:val="single" w:sz="4" w:space="0" w:color="000000"/>
            </w:tcBorders>
            <w:shd w:val="clear" w:color="auto" w:fill="F3F3F3"/>
          </w:tcPr>
          <w:p w:rsidR="00F93D02" w:rsidRPr="00100AF5" w:rsidRDefault="00F93D02"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F93D02" w:rsidRPr="00100AF5" w:rsidRDefault="00F93D02"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F93D02" w:rsidRPr="00100AF5" w:rsidRDefault="00F93D02" w:rsidP="00863DB2">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F93D02" w:rsidRPr="00100AF5" w:rsidRDefault="00F93D02" w:rsidP="00863DB2">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93D02" w:rsidRPr="00100AF5" w:rsidRDefault="00F93D02" w:rsidP="00863DB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Focus interventions on realistic objectives</w:t>
            </w:r>
          </w:p>
        </w:tc>
      </w:tr>
      <w:tr w:rsidR="00F93D02" w:rsidRPr="00100AF5" w:rsidTr="00FD1E03">
        <w:trPr>
          <w:trHeight w:val="647"/>
        </w:trPr>
        <w:tc>
          <w:tcPr>
            <w:tcW w:w="9700" w:type="dxa"/>
            <w:gridSpan w:val="5"/>
            <w:tcBorders>
              <w:left w:val="single" w:sz="4" w:space="0" w:color="000000"/>
              <w:bottom w:val="single" w:sz="4" w:space="0" w:color="000000"/>
              <w:right w:val="single" w:sz="4" w:space="0" w:color="000000"/>
            </w:tcBorders>
            <w:shd w:val="clear" w:color="auto" w:fill="F3F3F3"/>
          </w:tcPr>
          <w:p w:rsidR="00F93D02" w:rsidRPr="00100AF5" w:rsidRDefault="00F93D02" w:rsidP="00FD1E03">
            <w:pPr>
              <w:snapToGrid w:val="0"/>
              <w:spacing w:after="120"/>
              <w:rPr>
                <w:rFonts w:cs="Times New Roman"/>
              </w:rPr>
            </w:pPr>
            <w:r w:rsidRPr="00100AF5">
              <w:rPr>
                <w:rFonts w:cs="Times New Roman"/>
                <w:b/>
              </w:rPr>
              <w:t xml:space="preserve">Operational application: </w:t>
            </w:r>
            <w:r w:rsidR="00FD1E03" w:rsidRPr="00100AF5">
              <w:rPr>
                <w:rFonts w:cs="Times New Roman"/>
              </w:rPr>
              <w:t>ensure that project objectives are realistic and achievable against the actual political, economic and social context of Jordan.</w:t>
            </w:r>
            <w:r w:rsidR="00407C1C" w:rsidRPr="00100AF5">
              <w:rPr>
                <w:rFonts w:cs="Times New Roman"/>
              </w:rPr>
              <w:t xml:space="preserve"> Prefer areas which are not heavily subject to changing political environment.</w:t>
            </w:r>
          </w:p>
        </w:tc>
      </w:tr>
    </w:tbl>
    <w:p w:rsidR="00F93D02" w:rsidRPr="00100AF5" w:rsidRDefault="00F93D02" w:rsidP="00F02D12">
      <w:pPr>
        <w:rPr>
          <w:rFonts w:cs="Times New Roman"/>
        </w:rPr>
      </w:pPr>
    </w:p>
    <w:p w:rsidR="003667AD" w:rsidRPr="00100AF5" w:rsidRDefault="00FD1E03" w:rsidP="003667AD">
      <w:pPr>
        <w:rPr>
          <w:rFonts w:cs="Times New Roman"/>
        </w:rPr>
      </w:pPr>
      <w:r w:rsidRPr="00100AF5">
        <w:rPr>
          <w:rFonts w:cs="Times New Roman"/>
          <w:b/>
        </w:rPr>
        <w:t>Recommendation 2</w:t>
      </w:r>
      <w:r w:rsidR="00E66CAD" w:rsidRPr="00100AF5">
        <w:rPr>
          <w:rFonts w:cs="Times New Roman"/>
          <w:b/>
        </w:rPr>
        <w:t xml:space="preserve"> </w:t>
      </w:r>
      <w:r w:rsidRPr="00100AF5">
        <w:rPr>
          <w:rFonts w:cs="Times New Roman"/>
          <w:b/>
        </w:rPr>
        <w:t>– Streamline</w:t>
      </w:r>
      <w:r w:rsidR="003667AD" w:rsidRPr="00100AF5">
        <w:rPr>
          <w:rFonts w:cs="Times New Roman"/>
          <w:b/>
        </w:rPr>
        <w:t xml:space="preserve"> project management </w:t>
      </w:r>
    </w:p>
    <w:p w:rsidR="003667AD" w:rsidRPr="00100AF5" w:rsidRDefault="003667AD" w:rsidP="003667AD">
      <w:pPr>
        <w:pStyle w:val="Default"/>
        <w:rPr>
          <w:rFonts w:ascii="Times New Roman" w:hAnsi="Times New Roman" w:cs="Times New Roman"/>
          <w:b/>
          <w:sz w:val="22"/>
          <w:szCs w:val="22"/>
          <w:lang w:val="en-GB"/>
        </w:rPr>
      </w:pPr>
    </w:p>
    <w:tbl>
      <w:tblPr>
        <w:tblW w:w="9700" w:type="dxa"/>
        <w:tblInd w:w="-42" w:type="dxa"/>
        <w:tblLayout w:type="fixed"/>
        <w:tblLook w:val="0000" w:firstRow="0" w:lastRow="0" w:firstColumn="0" w:lastColumn="0" w:noHBand="0" w:noVBand="0"/>
      </w:tblPr>
      <w:tblGrid>
        <w:gridCol w:w="512"/>
        <w:gridCol w:w="1420"/>
        <w:gridCol w:w="1320"/>
        <w:gridCol w:w="996"/>
        <w:gridCol w:w="5452"/>
      </w:tblGrid>
      <w:tr w:rsidR="003667AD" w:rsidRPr="00100AF5" w:rsidTr="00BC2CE8">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3667AD" w:rsidRPr="00100AF5" w:rsidRDefault="00FD1E03" w:rsidP="00BC2CE8">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2</w:t>
            </w:r>
            <w:r w:rsidR="003667AD" w:rsidRPr="00100AF5">
              <w:rPr>
                <w:rFonts w:ascii="Times New Roman" w:hAnsi="Times New Roman" w:cs="Times New Roman"/>
                <w:b/>
                <w:bCs/>
                <w:sz w:val="22"/>
                <w:szCs w:val="22"/>
                <w:lang w:val="en-GB"/>
              </w:rPr>
              <w:t xml:space="preserve">a </w:t>
            </w:r>
          </w:p>
        </w:tc>
        <w:tc>
          <w:tcPr>
            <w:tcW w:w="1420" w:type="dxa"/>
            <w:tcBorders>
              <w:top w:val="single" w:sz="4" w:space="0" w:color="000000"/>
              <w:left w:val="single" w:sz="4" w:space="0" w:color="000000"/>
              <w:bottom w:val="single" w:sz="4" w:space="0" w:color="000000"/>
            </w:tcBorders>
            <w:shd w:val="clear" w:color="auto" w:fill="F3F3F3"/>
          </w:tcPr>
          <w:p w:rsidR="003667AD" w:rsidRPr="00100AF5" w:rsidRDefault="003667AD" w:rsidP="00BC2CE8">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3667AD" w:rsidRPr="00100AF5" w:rsidRDefault="003667AD" w:rsidP="00BC2CE8">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3667AD" w:rsidRPr="00100AF5" w:rsidRDefault="003667AD" w:rsidP="00BC2CE8">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3667AD" w:rsidRPr="00100AF5" w:rsidRDefault="003667AD" w:rsidP="00BC2CE8">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667AD" w:rsidRPr="00100AF5" w:rsidRDefault="00FD1E03" w:rsidP="00FD1E03">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Link payments to the project’s management and reporting arrangements</w:t>
            </w:r>
            <w:r w:rsidR="00407F52" w:rsidRPr="00100AF5">
              <w:rPr>
                <w:rFonts w:ascii="Times New Roman" w:hAnsi="Times New Roman" w:cs="Times New Roman"/>
                <w:b/>
                <w:sz w:val="22"/>
                <w:szCs w:val="22"/>
                <w:lang w:val="en-GB"/>
              </w:rPr>
              <w:t xml:space="preserve"> </w:t>
            </w:r>
          </w:p>
        </w:tc>
      </w:tr>
      <w:tr w:rsidR="003667AD" w:rsidRPr="00100AF5" w:rsidTr="00BC2CE8">
        <w:trPr>
          <w:trHeight w:val="941"/>
        </w:trPr>
        <w:tc>
          <w:tcPr>
            <w:tcW w:w="9700" w:type="dxa"/>
            <w:gridSpan w:val="5"/>
            <w:tcBorders>
              <w:left w:val="single" w:sz="4" w:space="0" w:color="000000"/>
              <w:bottom w:val="single" w:sz="4" w:space="0" w:color="000000"/>
              <w:right w:val="single" w:sz="4" w:space="0" w:color="000000"/>
            </w:tcBorders>
            <w:shd w:val="clear" w:color="auto" w:fill="F3F3F3"/>
          </w:tcPr>
          <w:p w:rsidR="003667AD" w:rsidRPr="00100AF5" w:rsidRDefault="003667AD" w:rsidP="00BC2CE8">
            <w:pPr>
              <w:snapToGrid w:val="0"/>
              <w:rPr>
                <w:rFonts w:cs="Times New Roman"/>
              </w:rPr>
            </w:pPr>
            <w:r w:rsidRPr="00100AF5">
              <w:rPr>
                <w:rFonts w:cs="Times New Roman"/>
                <w:b/>
              </w:rPr>
              <w:t>Operational application:</w:t>
            </w:r>
            <w:r w:rsidR="00FD1E03" w:rsidRPr="00100AF5">
              <w:rPr>
                <w:rFonts w:cs="Times New Roman"/>
              </w:rPr>
              <w:t xml:space="preserve"> payments should be executed against presentation of regular sets of reports (progress reports, minutes of SC meetings, quarterly reports...)</w:t>
            </w:r>
          </w:p>
          <w:p w:rsidR="003667AD" w:rsidRPr="00100AF5" w:rsidRDefault="003667AD" w:rsidP="00BC2CE8">
            <w:pPr>
              <w:snapToGrid w:val="0"/>
              <w:rPr>
                <w:rFonts w:cs="Times New Roman"/>
              </w:rPr>
            </w:pPr>
          </w:p>
        </w:tc>
      </w:tr>
    </w:tbl>
    <w:p w:rsidR="003667AD" w:rsidRPr="00100AF5" w:rsidRDefault="003667AD" w:rsidP="003667AD">
      <w:pPr>
        <w:rPr>
          <w:rFonts w:cs="Times New Roman"/>
        </w:rPr>
      </w:pPr>
    </w:p>
    <w:tbl>
      <w:tblPr>
        <w:tblW w:w="0" w:type="auto"/>
        <w:tblInd w:w="-42" w:type="dxa"/>
        <w:tblLayout w:type="fixed"/>
        <w:tblLook w:val="0000" w:firstRow="0" w:lastRow="0" w:firstColumn="0" w:lastColumn="0" w:noHBand="0" w:noVBand="0"/>
      </w:tblPr>
      <w:tblGrid>
        <w:gridCol w:w="512"/>
        <w:gridCol w:w="1420"/>
        <w:gridCol w:w="1320"/>
        <w:gridCol w:w="996"/>
        <w:gridCol w:w="5452"/>
      </w:tblGrid>
      <w:tr w:rsidR="00407C1C" w:rsidRPr="00100AF5" w:rsidTr="00863DB2">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407C1C" w:rsidRPr="00100AF5" w:rsidRDefault="00407C1C" w:rsidP="00863DB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 xml:space="preserve">2b </w:t>
            </w:r>
          </w:p>
        </w:tc>
        <w:tc>
          <w:tcPr>
            <w:tcW w:w="1420" w:type="dxa"/>
            <w:tcBorders>
              <w:top w:val="single" w:sz="4" w:space="0" w:color="000000"/>
              <w:left w:val="single" w:sz="4" w:space="0" w:color="000000"/>
              <w:bottom w:val="single" w:sz="4" w:space="0" w:color="000000"/>
            </w:tcBorders>
            <w:shd w:val="clear" w:color="auto" w:fill="F3F3F3"/>
          </w:tcPr>
          <w:p w:rsidR="00407C1C" w:rsidRPr="00100AF5" w:rsidRDefault="00407C1C"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407C1C" w:rsidRPr="00100AF5" w:rsidRDefault="00407C1C" w:rsidP="00863DB2">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407C1C" w:rsidRPr="00100AF5" w:rsidRDefault="00407C1C" w:rsidP="00863DB2">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407C1C" w:rsidRPr="00100AF5" w:rsidRDefault="00407C1C" w:rsidP="00863DB2">
            <w:pPr>
              <w:pStyle w:val="Default"/>
              <w:snapToGrid w:val="0"/>
              <w:rPr>
                <w:rFonts w:ascii="Times New Roman" w:hAnsi="Times New Roman" w:cs="Times New Roman"/>
                <w:lang w:val="en-GB"/>
              </w:rPr>
            </w:pPr>
            <w:r w:rsidRPr="00100AF5">
              <w:rPr>
                <w:rFonts w:ascii="Times New Roman" w:hAnsi="Times New Roman" w:cs="Times New Roman"/>
                <w:lang w:val="en-GB"/>
              </w:rPr>
              <w:t>MG</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07C1C" w:rsidRPr="00100AF5" w:rsidRDefault="00407C1C" w:rsidP="00863DB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 xml:space="preserve">Increase communication within the </w:t>
            </w:r>
            <w:proofErr w:type="spellStart"/>
            <w:r w:rsidRPr="00100AF5">
              <w:rPr>
                <w:rFonts w:ascii="Times New Roman" w:hAnsi="Times New Roman" w:cs="Times New Roman"/>
                <w:b/>
                <w:sz w:val="22"/>
                <w:szCs w:val="22"/>
                <w:lang w:val="en-GB"/>
              </w:rPr>
              <w:t>MoPSD</w:t>
            </w:r>
            <w:proofErr w:type="spellEnd"/>
          </w:p>
        </w:tc>
      </w:tr>
      <w:tr w:rsidR="00407C1C" w:rsidRPr="00100AF5" w:rsidTr="00863DB2">
        <w:trPr>
          <w:trHeight w:val="941"/>
        </w:trPr>
        <w:tc>
          <w:tcPr>
            <w:tcW w:w="9700" w:type="dxa"/>
            <w:gridSpan w:val="5"/>
            <w:tcBorders>
              <w:left w:val="single" w:sz="4" w:space="0" w:color="000000"/>
              <w:bottom w:val="single" w:sz="4" w:space="0" w:color="000000"/>
              <w:right w:val="single" w:sz="4" w:space="0" w:color="000000"/>
            </w:tcBorders>
            <w:shd w:val="clear" w:color="auto" w:fill="F3F3F3"/>
          </w:tcPr>
          <w:p w:rsidR="00407C1C" w:rsidRPr="00100AF5" w:rsidRDefault="00407C1C" w:rsidP="00407C1C">
            <w:pPr>
              <w:snapToGrid w:val="0"/>
              <w:spacing w:after="120"/>
              <w:rPr>
                <w:rFonts w:cs="Times New Roman"/>
              </w:rPr>
            </w:pPr>
            <w:r w:rsidRPr="00100AF5">
              <w:rPr>
                <w:rFonts w:cs="Times New Roman"/>
                <w:b/>
              </w:rPr>
              <w:t>Operational application</w:t>
            </w:r>
            <w:r w:rsidRPr="00100AF5">
              <w:rPr>
                <w:rFonts w:cs="Times New Roman"/>
              </w:rPr>
              <w:t xml:space="preserve">:  project activities, report and other information should be communicated and disseminated among all ministry staff, in order to create awareness, consensus and in order to contribute to the creation of shared </w:t>
            </w:r>
            <w:proofErr w:type="spellStart"/>
            <w:r w:rsidRPr="00100AF5">
              <w:rPr>
                <w:rFonts w:cs="Times New Roman"/>
              </w:rPr>
              <w:t>MoPSD</w:t>
            </w:r>
            <w:proofErr w:type="spellEnd"/>
            <w:r w:rsidRPr="00100AF5">
              <w:rPr>
                <w:rFonts w:cs="Times New Roman"/>
              </w:rPr>
              <w:t xml:space="preserve"> objectives.</w:t>
            </w:r>
          </w:p>
        </w:tc>
      </w:tr>
    </w:tbl>
    <w:p w:rsidR="00407C1C" w:rsidRPr="00100AF5" w:rsidRDefault="00407C1C" w:rsidP="003667AD">
      <w:pPr>
        <w:rPr>
          <w:rFonts w:cs="Times New Roman"/>
        </w:rPr>
      </w:pPr>
    </w:p>
    <w:tbl>
      <w:tblPr>
        <w:tblW w:w="9700" w:type="dxa"/>
        <w:tblInd w:w="-42" w:type="dxa"/>
        <w:tblLayout w:type="fixed"/>
        <w:tblLook w:val="0000" w:firstRow="0" w:lastRow="0" w:firstColumn="0" w:lastColumn="0" w:noHBand="0" w:noVBand="0"/>
      </w:tblPr>
      <w:tblGrid>
        <w:gridCol w:w="512"/>
        <w:gridCol w:w="1420"/>
        <w:gridCol w:w="1320"/>
        <w:gridCol w:w="996"/>
        <w:gridCol w:w="5452"/>
      </w:tblGrid>
      <w:tr w:rsidR="003667AD" w:rsidRPr="00100AF5" w:rsidTr="00407C1C">
        <w:trPr>
          <w:trHeight w:val="290"/>
        </w:trPr>
        <w:tc>
          <w:tcPr>
            <w:tcW w:w="512" w:type="dxa"/>
            <w:tcBorders>
              <w:top w:val="single" w:sz="4" w:space="0" w:color="000000"/>
              <w:left w:val="single" w:sz="4" w:space="0" w:color="000000"/>
              <w:bottom w:val="single" w:sz="4" w:space="0" w:color="000000"/>
            </w:tcBorders>
            <w:shd w:val="clear" w:color="auto" w:fill="F3F3F3"/>
            <w:vAlign w:val="center"/>
          </w:tcPr>
          <w:p w:rsidR="003667AD" w:rsidRPr="00100AF5" w:rsidRDefault="00FD1E03" w:rsidP="00BC2CE8">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2</w:t>
            </w:r>
            <w:r w:rsidR="00407C1C" w:rsidRPr="00100AF5">
              <w:rPr>
                <w:rFonts w:ascii="Times New Roman" w:hAnsi="Times New Roman" w:cs="Times New Roman"/>
                <w:b/>
                <w:bCs/>
                <w:sz w:val="22"/>
                <w:szCs w:val="22"/>
                <w:lang w:val="en-GB"/>
              </w:rPr>
              <w:t>c</w:t>
            </w:r>
            <w:r w:rsidR="003667AD" w:rsidRPr="00100AF5">
              <w:rPr>
                <w:rFonts w:ascii="Times New Roman" w:hAnsi="Times New Roman" w:cs="Times New Roman"/>
                <w:b/>
                <w:bCs/>
                <w:sz w:val="22"/>
                <w:szCs w:val="22"/>
                <w:lang w:val="en-GB"/>
              </w:rPr>
              <w:t xml:space="preserve"> </w:t>
            </w:r>
          </w:p>
        </w:tc>
        <w:tc>
          <w:tcPr>
            <w:tcW w:w="1420" w:type="dxa"/>
            <w:tcBorders>
              <w:top w:val="single" w:sz="4" w:space="0" w:color="000000"/>
              <w:left w:val="single" w:sz="4" w:space="0" w:color="000000"/>
              <w:bottom w:val="single" w:sz="4" w:space="0" w:color="000000"/>
            </w:tcBorders>
            <w:shd w:val="clear" w:color="auto" w:fill="F3F3F3"/>
          </w:tcPr>
          <w:p w:rsidR="003667AD" w:rsidRPr="00100AF5" w:rsidRDefault="003667AD" w:rsidP="00BC2CE8">
            <w:pPr>
              <w:pStyle w:val="Default"/>
              <w:snapToGrid w:val="0"/>
              <w:jc w:val="center"/>
              <w:rPr>
                <w:rFonts w:ascii="Times New Roman" w:hAnsi="Times New Roman" w:cs="Times New Roman"/>
                <w:lang w:val="en-GB"/>
              </w:rPr>
            </w:pPr>
            <w:r w:rsidRPr="00100AF5">
              <w:rPr>
                <w:rFonts w:ascii="Times New Roman" w:hAnsi="Times New Roman" w:cs="Times New Roman"/>
                <w:lang w:val="en-GB"/>
              </w:rPr>
              <w:t>Priority: XXX</w:t>
            </w:r>
          </w:p>
        </w:tc>
        <w:tc>
          <w:tcPr>
            <w:tcW w:w="1320" w:type="dxa"/>
            <w:tcBorders>
              <w:top w:val="single" w:sz="4" w:space="0" w:color="000000"/>
              <w:left w:val="single" w:sz="4" w:space="0" w:color="000000"/>
              <w:bottom w:val="single" w:sz="4" w:space="0" w:color="000000"/>
            </w:tcBorders>
            <w:shd w:val="clear" w:color="auto" w:fill="F3F3F3"/>
          </w:tcPr>
          <w:p w:rsidR="003667AD" w:rsidRPr="00100AF5" w:rsidRDefault="003667AD" w:rsidP="00BC2CE8">
            <w:pPr>
              <w:pStyle w:val="Default"/>
              <w:snapToGrid w:val="0"/>
              <w:jc w:val="center"/>
              <w:rPr>
                <w:rFonts w:ascii="Times New Roman" w:hAnsi="Times New Roman" w:cs="Times New Roman"/>
                <w:lang w:val="en-GB"/>
              </w:rPr>
            </w:pPr>
            <w:r w:rsidRPr="00100AF5">
              <w:rPr>
                <w:rFonts w:ascii="Times New Roman" w:hAnsi="Times New Roman" w:cs="Times New Roman"/>
                <w:lang w:val="en-GB"/>
              </w:rPr>
              <w:t xml:space="preserve">Timing: </w:t>
            </w:r>
          </w:p>
          <w:p w:rsidR="003667AD" w:rsidRPr="00100AF5" w:rsidRDefault="003667AD" w:rsidP="00BC2CE8">
            <w:pPr>
              <w:pStyle w:val="Default"/>
              <w:jc w:val="center"/>
              <w:rPr>
                <w:rFonts w:ascii="Times New Roman" w:hAnsi="Times New Roman" w:cs="Times New Roman"/>
                <w:lang w:val="en-GB"/>
              </w:rPr>
            </w:pPr>
            <w:r w:rsidRPr="00100AF5">
              <w:rPr>
                <w:rFonts w:ascii="Times New Roman" w:hAnsi="Times New Roman" w:cs="Times New Roman"/>
                <w:lang w:val="en-GB"/>
              </w:rPr>
              <w:t>MT</w:t>
            </w:r>
          </w:p>
        </w:tc>
        <w:tc>
          <w:tcPr>
            <w:tcW w:w="996" w:type="dxa"/>
            <w:tcBorders>
              <w:top w:val="single" w:sz="4" w:space="0" w:color="000000"/>
              <w:left w:val="single" w:sz="4" w:space="0" w:color="000000"/>
              <w:bottom w:val="single" w:sz="4" w:space="0" w:color="000000"/>
            </w:tcBorders>
            <w:shd w:val="clear" w:color="auto" w:fill="F3F3F3"/>
            <w:vAlign w:val="center"/>
          </w:tcPr>
          <w:p w:rsidR="003667AD" w:rsidRPr="00100AF5" w:rsidRDefault="003667AD" w:rsidP="00BC2CE8">
            <w:pPr>
              <w:pStyle w:val="Default"/>
              <w:snapToGrid w:val="0"/>
              <w:rPr>
                <w:rFonts w:ascii="Times New Roman" w:hAnsi="Times New Roman" w:cs="Times New Roman"/>
                <w:lang w:val="en-GB"/>
              </w:rPr>
            </w:pPr>
            <w:r w:rsidRPr="00100AF5">
              <w:rPr>
                <w:rFonts w:ascii="Times New Roman" w:hAnsi="Times New Roman" w:cs="Times New Roman"/>
                <w:lang w:val="en-GB"/>
              </w:rPr>
              <w:t>FA</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667AD" w:rsidRPr="00100AF5" w:rsidRDefault="00FD1E03" w:rsidP="00BC2CE8">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Pay attention to the composition of Steering Committees</w:t>
            </w:r>
          </w:p>
        </w:tc>
      </w:tr>
      <w:tr w:rsidR="003667AD" w:rsidRPr="00100AF5" w:rsidTr="00407C1C">
        <w:trPr>
          <w:trHeight w:val="941"/>
        </w:trPr>
        <w:tc>
          <w:tcPr>
            <w:tcW w:w="9700" w:type="dxa"/>
            <w:gridSpan w:val="5"/>
            <w:tcBorders>
              <w:left w:val="single" w:sz="4" w:space="0" w:color="000000"/>
              <w:bottom w:val="single" w:sz="4" w:space="0" w:color="000000"/>
              <w:right w:val="single" w:sz="4" w:space="0" w:color="000000"/>
            </w:tcBorders>
            <w:shd w:val="clear" w:color="auto" w:fill="F3F3F3"/>
          </w:tcPr>
          <w:p w:rsidR="003667AD" w:rsidRPr="00100AF5" w:rsidRDefault="003667AD" w:rsidP="00FD1E03">
            <w:pPr>
              <w:snapToGrid w:val="0"/>
              <w:rPr>
                <w:rFonts w:cs="Times New Roman"/>
              </w:rPr>
            </w:pPr>
            <w:r w:rsidRPr="00100AF5">
              <w:rPr>
                <w:rFonts w:cs="Times New Roman"/>
                <w:b/>
              </w:rPr>
              <w:t xml:space="preserve">Operational application: </w:t>
            </w:r>
            <w:r w:rsidR="00FD1E03" w:rsidRPr="00100AF5">
              <w:rPr>
                <w:rFonts w:cs="Times New Roman"/>
                <w:b/>
              </w:rPr>
              <w:t xml:space="preserve"> </w:t>
            </w:r>
            <w:r w:rsidR="00FD1E03" w:rsidRPr="00100AF5">
              <w:rPr>
                <w:rFonts w:cs="Times New Roman"/>
              </w:rPr>
              <w:t>Steering Committee should reflect/represent key stakeholders. In a Public Sector Reform project, as an example, the PM should be member.</w:t>
            </w:r>
          </w:p>
        </w:tc>
      </w:tr>
    </w:tbl>
    <w:p w:rsidR="003667AD" w:rsidRPr="00100AF5" w:rsidRDefault="003667AD" w:rsidP="00F02D12">
      <w:pPr>
        <w:rPr>
          <w:rFonts w:cs="Times New Roman"/>
        </w:rPr>
      </w:pPr>
    </w:p>
    <w:p w:rsidR="00F02D12" w:rsidRPr="00100AF5" w:rsidRDefault="00FD1E03" w:rsidP="00F02D12">
      <w:pPr>
        <w:rPr>
          <w:rFonts w:cs="Times New Roman"/>
          <w:b/>
        </w:rPr>
      </w:pPr>
      <w:r w:rsidRPr="00100AF5">
        <w:rPr>
          <w:rFonts w:cs="Times New Roman"/>
          <w:b/>
        </w:rPr>
        <w:t>Recommendation 3</w:t>
      </w:r>
      <w:r w:rsidR="00F02D12" w:rsidRPr="00100AF5">
        <w:rPr>
          <w:rFonts w:cs="Times New Roman"/>
          <w:b/>
        </w:rPr>
        <w:t xml:space="preserve"> - Streamline human resources</w:t>
      </w:r>
    </w:p>
    <w:p w:rsidR="00F02D12" w:rsidRPr="00100AF5" w:rsidRDefault="00F02D12" w:rsidP="00F02D12">
      <w:pPr>
        <w:rPr>
          <w:rFonts w:cs="Times New Roman"/>
          <w:b/>
        </w:rPr>
      </w:pPr>
    </w:p>
    <w:tbl>
      <w:tblPr>
        <w:tblW w:w="0" w:type="auto"/>
        <w:tblInd w:w="-42" w:type="dxa"/>
        <w:tblLayout w:type="fixed"/>
        <w:tblLook w:val="0000" w:firstRow="0" w:lastRow="0" w:firstColumn="0" w:lastColumn="0" w:noHBand="0" w:noVBand="0"/>
      </w:tblPr>
      <w:tblGrid>
        <w:gridCol w:w="513"/>
        <w:gridCol w:w="1420"/>
        <w:gridCol w:w="1320"/>
        <w:gridCol w:w="995"/>
        <w:gridCol w:w="5452"/>
      </w:tblGrid>
      <w:tr w:rsidR="00F02D12" w:rsidRPr="00100AF5" w:rsidTr="005024A2">
        <w:trPr>
          <w:trHeight w:val="290"/>
        </w:trPr>
        <w:tc>
          <w:tcPr>
            <w:tcW w:w="513" w:type="dxa"/>
            <w:tcBorders>
              <w:top w:val="single" w:sz="4" w:space="0" w:color="000000"/>
              <w:left w:val="single" w:sz="4" w:space="0" w:color="000000"/>
              <w:bottom w:val="single" w:sz="4" w:space="0" w:color="000000"/>
            </w:tcBorders>
            <w:shd w:val="clear" w:color="auto" w:fill="F3F3F3"/>
            <w:vAlign w:val="center"/>
          </w:tcPr>
          <w:p w:rsidR="00F02D12" w:rsidRPr="00100AF5" w:rsidRDefault="00FD1E03"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3</w:t>
            </w:r>
            <w:r w:rsidR="00F02D12" w:rsidRPr="00100AF5">
              <w:rPr>
                <w:rFonts w:ascii="Times New Roman" w:hAnsi="Times New Roman" w:cs="Times New Roman"/>
                <w:b/>
                <w:bCs/>
                <w:sz w:val="22"/>
                <w:szCs w:val="22"/>
                <w:lang w:val="en-GB"/>
              </w:rPr>
              <w:t>a</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 xml:space="preserve">Priority: </w:t>
            </w:r>
          </w:p>
          <w:p w:rsidR="00F02D12" w:rsidRPr="00100AF5" w:rsidRDefault="00F02D12" w:rsidP="005024A2">
            <w:pPr>
              <w:rPr>
                <w:rFonts w:cs="Times New Roman"/>
              </w:rPr>
            </w:pPr>
            <w:r w:rsidRPr="00100AF5">
              <w:rPr>
                <w:rFonts w:cs="Times New Roman"/>
              </w:rPr>
              <w:t>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Timing:</w:t>
            </w:r>
          </w:p>
          <w:p w:rsidR="00F02D12" w:rsidRPr="00100AF5" w:rsidRDefault="00F02D12" w:rsidP="005024A2">
            <w:pPr>
              <w:rPr>
                <w:rFonts w:cs="Times New Roman"/>
              </w:rPr>
            </w:pPr>
            <w:r w:rsidRPr="00100AF5">
              <w:rPr>
                <w:rFonts w:cs="Times New Roman"/>
              </w:rPr>
              <w:t xml:space="preserve"> ST</w:t>
            </w:r>
          </w:p>
        </w:tc>
        <w:tc>
          <w:tcPr>
            <w:tcW w:w="995"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rPr>
                <w:rFonts w:cs="Times New Roman"/>
              </w:rPr>
            </w:pPr>
            <w:r w:rsidRPr="00100AF5">
              <w:rPr>
                <w:rFonts w:cs="Times New Roman"/>
              </w:rPr>
              <w:t>FA/MG</w:t>
            </w:r>
            <w:r w:rsidR="0033212D" w:rsidRPr="00100AF5">
              <w:rPr>
                <w:rFonts w:cs="Times New Roman"/>
              </w:rPr>
              <w:t>/MDAs</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Analyse training and capacity building needs at all levels</w:t>
            </w:r>
          </w:p>
        </w:tc>
      </w:tr>
      <w:tr w:rsidR="00F02D12" w:rsidRPr="00100AF5" w:rsidTr="005024A2">
        <w:trPr>
          <w:trHeight w:val="1445"/>
        </w:trPr>
        <w:tc>
          <w:tcPr>
            <w:tcW w:w="970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5024A2">
            <w:pPr>
              <w:snapToGrid w:val="0"/>
              <w:rPr>
                <w:rFonts w:cs="Times New Roman"/>
              </w:rPr>
            </w:pPr>
            <w:r w:rsidRPr="00100AF5">
              <w:rPr>
                <w:rFonts w:cs="Times New Roman"/>
                <w:b/>
              </w:rPr>
              <w:t>Operational application:</w:t>
            </w:r>
            <w:r w:rsidRPr="00100AF5">
              <w:rPr>
                <w:rFonts w:cs="Times New Roman"/>
              </w:rPr>
              <w:t xml:space="preserve">  Training and capacity building measures should be based on the stakeholders’ analysis and should be specified in a detailed study prior to </w:t>
            </w:r>
            <w:proofErr w:type="spellStart"/>
            <w:r w:rsidRPr="00100AF5">
              <w:rPr>
                <w:rFonts w:cs="Times New Roman"/>
              </w:rPr>
              <w:t>start up</w:t>
            </w:r>
            <w:proofErr w:type="spellEnd"/>
            <w:r w:rsidRPr="00100AF5">
              <w:rPr>
                <w:rFonts w:cs="Times New Roman"/>
              </w:rPr>
              <w:t xml:space="preserve"> of activities. They should be extended to all stakeholders. </w:t>
            </w:r>
          </w:p>
          <w:p w:rsidR="00F02D12" w:rsidRPr="00100AF5" w:rsidRDefault="00FD1E03" w:rsidP="00FD1E03">
            <w:pPr>
              <w:snapToGrid w:val="0"/>
              <w:spacing w:after="120"/>
              <w:rPr>
                <w:rFonts w:cs="Times New Roman"/>
              </w:rPr>
            </w:pPr>
            <w:r w:rsidRPr="00100AF5">
              <w:rPr>
                <w:rFonts w:cs="Times New Roman"/>
              </w:rPr>
              <w:t>A</w:t>
            </w:r>
            <w:r w:rsidR="00F02D12" w:rsidRPr="00100AF5">
              <w:rPr>
                <w:rFonts w:cs="Times New Roman"/>
              </w:rPr>
              <w:t xml:space="preserve">nalysis of capacities and training needs are not periodically carried out on a standardised basis. </w:t>
            </w:r>
            <w:r w:rsidRPr="00100AF5">
              <w:rPr>
                <w:rFonts w:cs="Times New Roman"/>
              </w:rPr>
              <w:t>In view of the re-launch of SDI initiatives, such analysis should be conducted.</w:t>
            </w:r>
          </w:p>
        </w:tc>
      </w:tr>
    </w:tbl>
    <w:p w:rsidR="00F02D12" w:rsidRPr="00100AF5" w:rsidRDefault="00F02D12" w:rsidP="00F02D12">
      <w:pPr>
        <w:rPr>
          <w:rFonts w:cs="Times New Roman"/>
          <w:b/>
        </w:rPr>
      </w:pPr>
    </w:p>
    <w:tbl>
      <w:tblPr>
        <w:tblW w:w="9700" w:type="dxa"/>
        <w:tblInd w:w="-42" w:type="dxa"/>
        <w:tblLayout w:type="fixed"/>
        <w:tblLook w:val="0000" w:firstRow="0" w:lastRow="0" w:firstColumn="0" w:lastColumn="0" w:noHBand="0" w:noVBand="0"/>
      </w:tblPr>
      <w:tblGrid>
        <w:gridCol w:w="513"/>
        <w:gridCol w:w="1420"/>
        <w:gridCol w:w="1320"/>
        <w:gridCol w:w="995"/>
        <w:gridCol w:w="5452"/>
      </w:tblGrid>
      <w:tr w:rsidR="00F02D12" w:rsidRPr="00100AF5" w:rsidTr="00407C1C">
        <w:trPr>
          <w:trHeight w:val="290"/>
        </w:trPr>
        <w:tc>
          <w:tcPr>
            <w:tcW w:w="513" w:type="dxa"/>
            <w:tcBorders>
              <w:top w:val="single" w:sz="4" w:space="0" w:color="000000"/>
              <w:left w:val="single" w:sz="4" w:space="0" w:color="000000"/>
              <w:bottom w:val="single" w:sz="4" w:space="0" w:color="000000"/>
            </w:tcBorders>
            <w:shd w:val="clear" w:color="auto" w:fill="F3F3F3"/>
            <w:vAlign w:val="center"/>
          </w:tcPr>
          <w:p w:rsidR="00F02D12" w:rsidRPr="00100AF5" w:rsidRDefault="007B7B5B"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3</w:t>
            </w:r>
            <w:r w:rsidR="00F02D12" w:rsidRPr="00100AF5">
              <w:rPr>
                <w:rFonts w:ascii="Times New Roman" w:hAnsi="Times New Roman" w:cs="Times New Roman"/>
                <w:b/>
                <w:bCs/>
                <w:sz w:val="22"/>
                <w:szCs w:val="22"/>
                <w:lang w:val="en-GB"/>
              </w:rPr>
              <w:t>b</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 xml:space="preserve">Priority: </w:t>
            </w:r>
          </w:p>
          <w:p w:rsidR="00F02D12" w:rsidRPr="00100AF5" w:rsidRDefault="00F02D12" w:rsidP="005024A2">
            <w:pPr>
              <w:rPr>
                <w:rFonts w:cs="Times New Roman"/>
              </w:rPr>
            </w:pPr>
            <w:r w:rsidRPr="00100AF5">
              <w:rPr>
                <w:rFonts w:cs="Times New Roman"/>
              </w:rPr>
              <w:t>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Timing:</w:t>
            </w:r>
          </w:p>
          <w:p w:rsidR="00F02D12" w:rsidRPr="00100AF5" w:rsidRDefault="00F02D12" w:rsidP="005024A2">
            <w:pPr>
              <w:rPr>
                <w:rFonts w:cs="Times New Roman"/>
              </w:rPr>
            </w:pPr>
            <w:r w:rsidRPr="00100AF5">
              <w:rPr>
                <w:rFonts w:cs="Times New Roman"/>
              </w:rPr>
              <w:t xml:space="preserve"> MT</w:t>
            </w:r>
          </w:p>
        </w:tc>
        <w:tc>
          <w:tcPr>
            <w:tcW w:w="995"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rPr>
                <w:rFonts w:cs="Times New Roman"/>
              </w:rPr>
            </w:pPr>
            <w:r w:rsidRPr="00100AF5">
              <w:rPr>
                <w:rFonts w:cs="Times New Roman"/>
              </w:rPr>
              <w:t>MG</w:t>
            </w:r>
            <w:r w:rsidR="0033212D" w:rsidRPr="00100AF5">
              <w:rPr>
                <w:rFonts w:cs="Times New Roman"/>
              </w:rPr>
              <w:t>/ MDAs</w:t>
            </w:r>
          </w:p>
        </w:tc>
        <w:tc>
          <w:tcPr>
            <w:tcW w:w="545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 xml:space="preserve">Institutionalise training activities </w:t>
            </w:r>
          </w:p>
        </w:tc>
      </w:tr>
      <w:tr w:rsidR="00F02D12" w:rsidRPr="00100AF5" w:rsidTr="00407C1C">
        <w:trPr>
          <w:trHeight w:val="805"/>
        </w:trPr>
        <w:tc>
          <w:tcPr>
            <w:tcW w:w="970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5024A2">
            <w:pPr>
              <w:snapToGrid w:val="0"/>
              <w:rPr>
                <w:rFonts w:cs="Times New Roman"/>
              </w:rPr>
            </w:pPr>
            <w:r w:rsidRPr="00100AF5">
              <w:rPr>
                <w:rFonts w:cs="Times New Roman"/>
                <w:b/>
              </w:rPr>
              <w:t>Operational application:</w:t>
            </w:r>
            <w:r w:rsidRPr="00100AF5">
              <w:rPr>
                <w:rFonts w:cs="Times New Roman"/>
              </w:rPr>
              <w:t xml:space="preserve">  </w:t>
            </w:r>
          </w:p>
          <w:p w:rsidR="007B7B5B" w:rsidRPr="00100AF5" w:rsidRDefault="00F02D12" w:rsidP="005024A2">
            <w:pPr>
              <w:snapToGrid w:val="0"/>
              <w:rPr>
                <w:rFonts w:cs="Times New Roman"/>
              </w:rPr>
            </w:pPr>
            <w:r w:rsidRPr="00100AF5">
              <w:rPr>
                <w:rFonts w:cs="Times New Roman"/>
              </w:rPr>
              <w:t>- Appropriate training modules should be prepared and made easily available to staff</w:t>
            </w:r>
            <w:r w:rsidR="007B7B5B" w:rsidRPr="00100AF5">
              <w:rPr>
                <w:rFonts w:cs="Times New Roman"/>
              </w:rPr>
              <w:t xml:space="preserve"> of each </w:t>
            </w:r>
            <w:proofErr w:type="spellStart"/>
            <w:r w:rsidR="007B7B5B" w:rsidRPr="00100AF5">
              <w:rPr>
                <w:rFonts w:cs="Times New Roman"/>
              </w:rPr>
              <w:t>MoPSD</w:t>
            </w:r>
            <w:proofErr w:type="spellEnd"/>
            <w:r w:rsidR="007B7B5B" w:rsidRPr="00100AF5">
              <w:rPr>
                <w:rFonts w:cs="Times New Roman"/>
              </w:rPr>
              <w:t xml:space="preserve"> Directorate.</w:t>
            </w:r>
          </w:p>
          <w:p w:rsidR="00F02D12" w:rsidRPr="00100AF5" w:rsidRDefault="00F02D12" w:rsidP="005024A2">
            <w:pPr>
              <w:snapToGrid w:val="0"/>
              <w:rPr>
                <w:rFonts w:cs="Times New Roman"/>
              </w:rPr>
            </w:pPr>
            <w:r w:rsidRPr="00100AF5">
              <w:rPr>
                <w:rFonts w:cs="Times New Roman"/>
              </w:rPr>
              <w:t>- Priority should be given to Training of Trainers (</w:t>
            </w:r>
            <w:proofErr w:type="spellStart"/>
            <w:r w:rsidRPr="00100AF5">
              <w:rPr>
                <w:rFonts w:cs="Times New Roman"/>
              </w:rPr>
              <w:t>ToT</w:t>
            </w:r>
            <w:proofErr w:type="spellEnd"/>
            <w:r w:rsidR="007B7B5B" w:rsidRPr="00100AF5">
              <w:rPr>
                <w:rFonts w:cs="Times New Roman"/>
              </w:rPr>
              <w:t>).</w:t>
            </w:r>
            <w:r w:rsidRPr="00100AF5">
              <w:rPr>
                <w:rFonts w:cs="Times New Roman"/>
              </w:rPr>
              <w:t xml:space="preserve"> A shift from theoretical traditional methods to more practical on-the-job training is strongly needed.</w:t>
            </w:r>
          </w:p>
          <w:p w:rsidR="00F02D12" w:rsidRPr="00100AF5" w:rsidRDefault="00F02D12" w:rsidP="005024A2">
            <w:pPr>
              <w:snapToGrid w:val="0"/>
              <w:rPr>
                <w:rFonts w:cs="Times New Roman"/>
              </w:rPr>
            </w:pPr>
            <w:r w:rsidRPr="00100AF5">
              <w:rPr>
                <w:rFonts w:cs="Times New Roman"/>
              </w:rPr>
              <w:t xml:space="preserve">-- </w:t>
            </w:r>
            <w:r w:rsidR="007B7B5B" w:rsidRPr="00100AF5">
              <w:rPr>
                <w:rFonts w:cs="Times New Roman"/>
              </w:rPr>
              <w:t>A</w:t>
            </w:r>
            <w:r w:rsidRPr="00100AF5">
              <w:rPr>
                <w:rFonts w:cs="Times New Roman"/>
              </w:rPr>
              <w:t xml:space="preserve">n institutionalised mechanism aimed at creating a “continuous coaching” of </w:t>
            </w:r>
            <w:r w:rsidR="007B7B5B" w:rsidRPr="00100AF5">
              <w:rPr>
                <w:rFonts w:cs="Times New Roman"/>
              </w:rPr>
              <w:t>MDAs</w:t>
            </w:r>
            <w:r w:rsidRPr="00100AF5">
              <w:rPr>
                <w:rFonts w:cs="Times New Roman"/>
              </w:rPr>
              <w:t xml:space="preserve"> is needed in order to provide adequate stimuli for skills upgrading and problem solving.</w:t>
            </w:r>
          </w:p>
          <w:p w:rsidR="00F02D12" w:rsidRPr="00100AF5" w:rsidRDefault="00F02D12" w:rsidP="007B7B5B">
            <w:pPr>
              <w:spacing w:after="120"/>
              <w:rPr>
                <w:rFonts w:cs="Times New Roman"/>
              </w:rPr>
            </w:pPr>
            <w:r w:rsidRPr="00100AF5">
              <w:rPr>
                <w:rFonts w:cs="Times New Roman"/>
              </w:rPr>
              <w:t>- Training material should be carefully evaluated in order to ascertain that it is suitable for immediate and practical use and integration into existing training programmes of State institutions.</w:t>
            </w:r>
          </w:p>
        </w:tc>
      </w:tr>
    </w:tbl>
    <w:p w:rsidR="00F02D12" w:rsidRPr="00100AF5" w:rsidRDefault="00F02D12" w:rsidP="00F02D12">
      <w:pPr>
        <w:rPr>
          <w:rFonts w:cs="Times New Roman"/>
        </w:rPr>
      </w:pPr>
    </w:p>
    <w:p w:rsidR="00F02D12" w:rsidRPr="00100AF5" w:rsidRDefault="007B7B5B" w:rsidP="00F02D12">
      <w:pPr>
        <w:rPr>
          <w:rFonts w:cs="Times New Roman"/>
          <w:b/>
        </w:rPr>
      </w:pPr>
      <w:r w:rsidRPr="00100AF5">
        <w:rPr>
          <w:rFonts w:cs="Times New Roman"/>
          <w:b/>
        </w:rPr>
        <w:t>Recommendation 4</w:t>
      </w:r>
      <w:r w:rsidR="00F02D12" w:rsidRPr="00100AF5">
        <w:rPr>
          <w:rFonts w:cs="Times New Roman"/>
          <w:b/>
        </w:rPr>
        <w:t>: Focus on long-term approaches (impact, sustainability)</w:t>
      </w:r>
    </w:p>
    <w:p w:rsidR="00F02D12" w:rsidRPr="00100AF5" w:rsidRDefault="00F02D12" w:rsidP="00F02D12">
      <w:pPr>
        <w:pStyle w:val="Default"/>
        <w:rPr>
          <w:rFonts w:ascii="Times New Roman" w:hAnsi="Times New Roman" w:cs="Times New Roman"/>
          <w:b/>
          <w:sz w:val="22"/>
          <w:szCs w:val="22"/>
          <w:lang w:val="en-GB"/>
        </w:rPr>
      </w:pPr>
    </w:p>
    <w:tbl>
      <w:tblPr>
        <w:tblW w:w="9730" w:type="dxa"/>
        <w:tblInd w:w="-57" w:type="dxa"/>
        <w:tblLayout w:type="fixed"/>
        <w:tblLook w:val="0000" w:firstRow="0" w:lastRow="0" w:firstColumn="0" w:lastColumn="0" w:noHBand="0" w:noVBand="0"/>
      </w:tblPr>
      <w:tblGrid>
        <w:gridCol w:w="513"/>
        <w:gridCol w:w="1420"/>
        <w:gridCol w:w="1320"/>
        <w:gridCol w:w="995"/>
        <w:gridCol w:w="5482"/>
      </w:tblGrid>
      <w:tr w:rsidR="00F02D12" w:rsidRPr="00100AF5" w:rsidTr="007B7B5B">
        <w:trPr>
          <w:trHeight w:val="290"/>
        </w:trPr>
        <w:tc>
          <w:tcPr>
            <w:tcW w:w="513" w:type="dxa"/>
            <w:tcBorders>
              <w:top w:val="single" w:sz="4" w:space="0" w:color="000000"/>
              <w:left w:val="single" w:sz="4" w:space="0" w:color="000000"/>
              <w:bottom w:val="single" w:sz="4" w:space="0" w:color="000000"/>
            </w:tcBorders>
            <w:shd w:val="clear" w:color="auto" w:fill="F3F3F3"/>
            <w:vAlign w:val="center"/>
          </w:tcPr>
          <w:p w:rsidR="00F02D12" w:rsidRPr="00100AF5" w:rsidRDefault="007B7B5B"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4a</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 xml:space="preserve">Priority: </w:t>
            </w:r>
          </w:p>
          <w:p w:rsidR="00F02D12" w:rsidRPr="00100AF5" w:rsidRDefault="00F02D12" w:rsidP="005024A2">
            <w:pPr>
              <w:rPr>
                <w:rFonts w:cs="Times New Roman"/>
              </w:rPr>
            </w:pPr>
            <w:r w:rsidRPr="00100AF5">
              <w:rPr>
                <w:rFonts w:cs="Times New Roman"/>
              </w:rPr>
              <w:t>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Timing:</w:t>
            </w:r>
          </w:p>
          <w:p w:rsidR="00F02D12" w:rsidRPr="00100AF5" w:rsidRDefault="00F02D12" w:rsidP="005024A2">
            <w:pPr>
              <w:rPr>
                <w:rFonts w:cs="Times New Roman"/>
              </w:rPr>
            </w:pPr>
            <w:r w:rsidRPr="00100AF5">
              <w:rPr>
                <w:rFonts w:cs="Times New Roman"/>
              </w:rPr>
              <w:t xml:space="preserve"> MT</w:t>
            </w:r>
          </w:p>
        </w:tc>
        <w:tc>
          <w:tcPr>
            <w:tcW w:w="995" w:type="dxa"/>
            <w:tcBorders>
              <w:top w:val="single" w:sz="4" w:space="0" w:color="000000"/>
              <w:left w:val="single" w:sz="4" w:space="0" w:color="000000"/>
              <w:bottom w:val="single" w:sz="4" w:space="0" w:color="000000"/>
            </w:tcBorders>
            <w:shd w:val="clear" w:color="auto" w:fill="F3F3F3"/>
            <w:vAlign w:val="center"/>
          </w:tcPr>
          <w:p w:rsidR="00F02D12" w:rsidRPr="00100AF5" w:rsidRDefault="00724B10" w:rsidP="005024A2">
            <w:pPr>
              <w:rPr>
                <w:rFonts w:cs="Times New Roman"/>
              </w:rPr>
            </w:pPr>
            <w:r>
              <w:rPr>
                <w:rFonts w:cs="Times New Roman"/>
              </w:rPr>
              <w:t>FA/</w:t>
            </w:r>
            <w:r w:rsidR="00F02D12" w:rsidRPr="00100AF5">
              <w:rPr>
                <w:rFonts w:cs="Times New Roman"/>
              </w:rPr>
              <w:t>MG</w:t>
            </w:r>
          </w:p>
        </w:tc>
        <w:tc>
          <w:tcPr>
            <w:tcW w:w="548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5024A2">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Strengthen coordination with other projects and donor community</w:t>
            </w:r>
          </w:p>
        </w:tc>
      </w:tr>
      <w:tr w:rsidR="00F02D12" w:rsidRPr="00100AF5" w:rsidTr="007B7B5B">
        <w:trPr>
          <w:trHeight w:val="440"/>
        </w:trPr>
        <w:tc>
          <w:tcPr>
            <w:tcW w:w="973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7B7B5B">
            <w:pPr>
              <w:snapToGrid w:val="0"/>
              <w:spacing w:after="120"/>
              <w:rPr>
                <w:rFonts w:cs="Times New Roman"/>
              </w:rPr>
            </w:pPr>
            <w:r w:rsidRPr="00100AF5">
              <w:rPr>
                <w:rFonts w:cs="Times New Roman"/>
                <w:b/>
              </w:rPr>
              <w:t>Operational application:</w:t>
            </w:r>
            <w:r w:rsidRPr="00100AF5">
              <w:rPr>
                <w:rFonts w:cs="Times New Roman"/>
              </w:rPr>
              <w:t xml:space="preserve"> Develop and encourage joint activities when appropriate and effective. Avoid potential overlapping. Specifically, take leadership/proactive role in dealing with the donor community, agreeing with donors on formats and methodology to be applied</w:t>
            </w:r>
            <w:r w:rsidR="00724B10">
              <w:rPr>
                <w:rFonts w:cs="Times New Roman"/>
              </w:rPr>
              <w:t>.</w:t>
            </w:r>
            <w:r w:rsidRPr="00100AF5">
              <w:rPr>
                <w:rFonts w:cs="Times New Roman"/>
              </w:rPr>
              <w:t xml:space="preserve"> Encourage transfer and sharing of best practices.</w:t>
            </w:r>
          </w:p>
        </w:tc>
      </w:tr>
    </w:tbl>
    <w:p w:rsidR="00F02D12" w:rsidRPr="00100AF5" w:rsidRDefault="00F02D12" w:rsidP="00F02D12">
      <w:pPr>
        <w:pStyle w:val="Default"/>
        <w:rPr>
          <w:rFonts w:ascii="Times New Roman" w:hAnsi="Times New Roman" w:cs="Times New Roman"/>
          <w:lang w:val="en-GB"/>
        </w:rPr>
      </w:pPr>
    </w:p>
    <w:tbl>
      <w:tblPr>
        <w:tblW w:w="0" w:type="auto"/>
        <w:tblInd w:w="-57" w:type="dxa"/>
        <w:tblLayout w:type="fixed"/>
        <w:tblLook w:val="0000" w:firstRow="0" w:lastRow="0" w:firstColumn="0" w:lastColumn="0" w:noHBand="0" w:noVBand="0"/>
      </w:tblPr>
      <w:tblGrid>
        <w:gridCol w:w="513"/>
        <w:gridCol w:w="1420"/>
        <w:gridCol w:w="1320"/>
        <w:gridCol w:w="995"/>
        <w:gridCol w:w="5482"/>
      </w:tblGrid>
      <w:tr w:rsidR="00F02D12" w:rsidRPr="00100AF5" w:rsidTr="005024A2">
        <w:trPr>
          <w:trHeight w:val="290"/>
        </w:trPr>
        <w:tc>
          <w:tcPr>
            <w:tcW w:w="513" w:type="dxa"/>
            <w:tcBorders>
              <w:top w:val="single" w:sz="4" w:space="0" w:color="000000"/>
              <w:left w:val="single" w:sz="4" w:space="0" w:color="000000"/>
              <w:bottom w:val="single" w:sz="4" w:space="0" w:color="000000"/>
            </w:tcBorders>
            <w:shd w:val="clear" w:color="auto" w:fill="F3F3F3"/>
            <w:vAlign w:val="center"/>
          </w:tcPr>
          <w:p w:rsidR="00F02D12" w:rsidRPr="00100AF5" w:rsidRDefault="007B7B5B"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4b</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 xml:space="preserve">Priority: </w:t>
            </w:r>
          </w:p>
          <w:p w:rsidR="00F02D12" w:rsidRPr="00100AF5" w:rsidRDefault="00F02D12" w:rsidP="005024A2">
            <w:pPr>
              <w:rPr>
                <w:rFonts w:cs="Times New Roman"/>
              </w:rPr>
            </w:pPr>
            <w:r w:rsidRPr="00100AF5">
              <w:rPr>
                <w:rFonts w:cs="Times New Roman"/>
              </w:rPr>
              <w:t>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Timing:</w:t>
            </w:r>
          </w:p>
          <w:p w:rsidR="00F02D12" w:rsidRPr="00100AF5" w:rsidRDefault="00F02D12" w:rsidP="005024A2">
            <w:pPr>
              <w:rPr>
                <w:rFonts w:cs="Times New Roman"/>
              </w:rPr>
            </w:pPr>
            <w:r w:rsidRPr="00100AF5">
              <w:rPr>
                <w:rFonts w:cs="Times New Roman"/>
              </w:rPr>
              <w:t xml:space="preserve"> MT</w:t>
            </w:r>
          </w:p>
        </w:tc>
        <w:tc>
          <w:tcPr>
            <w:tcW w:w="995" w:type="dxa"/>
            <w:tcBorders>
              <w:top w:val="single" w:sz="4" w:space="0" w:color="000000"/>
              <w:left w:val="single" w:sz="4" w:space="0" w:color="000000"/>
              <w:bottom w:val="single" w:sz="4" w:space="0" w:color="000000"/>
            </w:tcBorders>
            <w:shd w:val="clear" w:color="auto" w:fill="F3F3F3"/>
            <w:vAlign w:val="center"/>
          </w:tcPr>
          <w:p w:rsidR="0033212D" w:rsidRPr="00100AF5" w:rsidRDefault="00F02D12" w:rsidP="0033212D">
            <w:pPr>
              <w:spacing w:before="0"/>
              <w:rPr>
                <w:rFonts w:cs="Times New Roman"/>
              </w:rPr>
            </w:pPr>
            <w:r w:rsidRPr="00100AF5">
              <w:rPr>
                <w:rFonts w:cs="Times New Roman"/>
              </w:rPr>
              <w:t>MG/</w:t>
            </w:r>
          </w:p>
          <w:p w:rsidR="00F02D12" w:rsidRPr="00100AF5" w:rsidRDefault="0033212D" w:rsidP="0033212D">
            <w:pPr>
              <w:spacing w:before="0"/>
              <w:rPr>
                <w:rFonts w:cs="Times New Roman"/>
              </w:rPr>
            </w:pPr>
            <w:r w:rsidRPr="00100AF5">
              <w:rPr>
                <w:rFonts w:cs="Times New Roman"/>
              </w:rPr>
              <w:t>MDAs</w:t>
            </w:r>
          </w:p>
        </w:tc>
        <w:tc>
          <w:tcPr>
            <w:tcW w:w="548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724B10">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Strengthen capabilities to effectively plan</w:t>
            </w:r>
          </w:p>
        </w:tc>
      </w:tr>
      <w:tr w:rsidR="00F02D12" w:rsidRPr="00100AF5" w:rsidTr="005024A2">
        <w:trPr>
          <w:trHeight w:val="676"/>
        </w:trPr>
        <w:tc>
          <w:tcPr>
            <w:tcW w:w="973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724B10">
            <w:pPr>
              <w:snapToGrid w:val="0"/>
              <w:spacing w:after="120"/>
              <w:rPr>
                <w:rFonts w:cs="Times New Roman"/>
              </w:rPr>
            </w:pPr>
            <w:r w:rsidRPr="00100AF5">
              <w:rPr>
                <w:rFonts w:cs="Times New Roman"/>
                <w:b/>
              </w:rPr>
              <w:t>Operational application:</w:t>
            </w:r>
            <w:r w:rsidRPr="00100AF5">
              <w:rPr>
                <w:rFonts w:cs="Times New Roman"/>
              </w:rPr>
              <w:t xml:space="preserve"> Continue regular training and capacity building of </w:t>
            </w:r>
            <w:r w:rsidR="0033212D" w:rsidRPr="00100AF5">
              <w:rPr>
                <w:rFonts w:cs="Times New Roman"/>
              </w:rPr>
              <w:t xml:space="preserve">MDAs </w:t>
            </w:r>
            <w:r w:rsidRPr="00100AF5">
              <w:rPr>
                <w:rFonts w:cs="Times New Roman"/>
              </w:rPr>
              <w:t xml:space="preserve">on management, strategic planning, </w:t>
            </w:r>
            <w:r w:rsidR="00046B35" w:rsidRPr="00100AF5">
              <w:rPr>
                <w:rFonts w:cs="Times New Roman"/>
              </w:rPr>
              <w:t>and needs</w:t>
            </w:r>
            <w:r w:rsidRPr="00100AF5">
              <w:rPr>
                <w:rFonts w:cs="Times New Roman"/>
              </w:rPr>
              <w:t xml:space="preserve"> analysis. Strengthen projects’ selection criteria, focusing more on comparative advantages and local resources, as well as on sustainability elements.</w:t>
            </w:r>
          </w:p>
        </w:tc>
      </w:tr>
    </w:tbl>
    <w:p w:rsidR="00F02D12" w:rsidRPr="00100AF5" w:rsidRDefault="00F02D12" w:rsidP="00F02D12">
      <w:pPr>
        <w:pStyle w:val="Default"/>
        <w:rPr>
          <w:rFonts w:ascii="Times New Roman" w:hAnsi="Times New Roman" w:cs="Times New Roman"/>
          <w:lang w:val="en-GB"/>
        </w:rPr>
      </w:pPr>
    </w:p>
    <w:tbl>
      <w:tblPr>
        <w:tblW w:w="0" w:type="auto"/>
        <w:tblInd w:w="-57" w:type="dxa"/>
        <w:tblLayout w:type="fixed"/>
        <w:tblLook w:val="0000" w:firstRow="0" w:lastRow="0" w:firstColumn="0" w:lastColumn="0" w:noHBand="0" w:noVBand="0"/>
      </w:tblPr>
      <w:tblGrid>
        <w:gridCol w:w="513"/>
        <w:gridCol w:w="1420"/>
        <w:gridCol w:w="1320"/>
        <w:gridCol w:w="995"/>
        <w:gridCol w:w="5482"/>
      </w:tblGrid>
      <w:tr w:rsidR="00F02D12" w:rsidRPr="00100AF5" w:rsidTr="005024A2">
        <w:trPr>
          <w:trHeight w:val="290"/>
        </w:trPr>
        <w:tc>
          <w:tcPr>
            <w:tcW w:w="513"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pStyle w:val="Default"/>
              <w:snapToGrid w:val="0"/>
              <w:jc w:val="center"/>
              <w:rPr>
                <w:rFonts w:ascii="Times New Roman" w:hAnsi="Times New Roman" w:cs="Times New Roman"/>
                <w:b/>
                <w:bCs/>
                <w:sz w:val="22"/>
                <w:szCs w:val="22"/>
                <w:lang w:val="en-GB"/>
              </w:rPr>
            </w:pPr>
            <w:r w:rsidRPr="00100AF5">
              <w:rPr>
                <w:rFonts w:ascii="Times New Roman" w:hAnsi="Times New Roman" w:cs="Times New Roman"/>
                <w:b/>
                <w:bCs/>
                <w:sz w:val="22"/>
                <w:szCs w:val="22"/>
                <w:lang w:val="en-GB"/>
              </w:rPr>
              <w:t>3d</w:t>
            </w:r>
          </w:p>
        </w:tc>
        <w:tc>
          <w:tcPr>
            <w:tcW w:w="14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 xml:space="preserve">Priority: </w:t>
            </w:r>
          </w:p>
          <w:p w:rsidR="00F02D12" w:rsidRPr="00100AF5" w:rsidRDefault="00F02D12" w:rsidP="005024A2">
            <w:pPr>
              <w:rPr>
                <w:rFonts w:cs="Times New Roman"/>
              </w:rPr>
            </w:pPr>
            <w:r w:rsidRPr="00100AF5">
              <w:rPr>
                <w:rFonts w:cs="Times New Roman"/>
              </w:rPr>
              <w:t>XXX</w:t>
            </w:r>
          </w:p>
        </w:tc>
        <w:tc>
          <w:tcPr>
            <w:tcW w:w="1320" w:type="dxa"/>
            <w:tcBorders>
              <w:top w:val="single" w:sz="4" w:space="0" w:color="000000"/>
              <w:left w:val="single" w:sz="4" w:space="0" w:color="000000"/>
              <w:bottom w:val="single" w:sz="4" w:space="0" w:color="000000"/>
            </w:tcBorders>
            <w:shd w:val="clear" w:color="auto" w:fill="F3F3F3"/>
          </w:tcPr>
          <w:p w:rsidR="00F02D12" w:rsidRPr="00100AF5" w:rsidRDefault="00F02D12" w:rsidP="005024A2">
            <w:pPr>
              <w:rPr>
                <w:rFonts w:cs="Times New Roman"/>
              </w:rPr>
            </w:pPr>
            <w:r w:rsidRPr="00100AF5">
              <w:rPr>
                <w:rFonts w:cs="Times New Roman"/>
              </w:rPr>
              <w:t>Timing:</w:t>
            </w:r>
          </w:p>
          <w:p w:rsidR="00F02D12" w:rsidRPr="00100AF5" w:rsidRDefault="00F02D12" w:rsidP="005024A2">
            <w:pPr>
              <w:rPr>
                <w:rFonts w:cs="Times New Roman"/>
              </w:rPr>
            </w:pPr>
            <w:r w:rsidRPr="00100AF5">
              <w:rPr>
                <w:rFonts w:cs="Times New Roman"/>
              </w:rPr>
              <w:t xml:space="preserve"> MT</w:t>
            </w:r>
          </w:p>
        </w:tc>
        <w:tc>
          <w:tcPr>
            <w:tcW w:w="995" w:type="dxa"/>
            <w:tcBorders>
              <w:top w:val="single" w:sz="4" w:space="0" w:color="000000"/>
              <w:left w:val="single" w:sz="4" w:space="0" w:color="000000"/>
              <w:bottom w:val="single" w:sz="4" w:space="0" w:color="000000"/>
            </w:tcBorders>
            <w:shd w:val="clear" w:color="auto" w:fill="F3F3F3"/>
            <w:vAlign w:val="center"/>
          </w:tcPr>
          <w:p w:rsidR="00F02D12" w:rsidRPr="00100AF5" w:rsidRDefault="00F02D12" w:rsidP="005024A2">
            <w:pPr>
              <w:rPr>
                <w:rFonts w:cs="Times New Roman"/>
              </w:rPr>
            </w:pPr>
            <w:r w:rsidRPr="00100AF5">
              <w:rPr>
                <w:rFonts w:cs="Times New Roman"/>
              </w:rPr>
              <w:t>MG/</w:t>
            </w:r>
            <w:r w:rsidR="0033212D" w:rsidRPr="00100AF5">
              <w:rPr>
                <w:rFonts w:cs="Times New Roman"/>
              </w:rPr>
              <w:t>MDAs</w:t>
            </w:r>
          </w:p>
        </w:tc>
        <w:tc>
          <w:tcPr>
            <w:tcW w:w="548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02D12" w:rsidRPr="00100AF5" w:rsidRDefault="00F02D12" w:rsidP="007B7B5B">
            <w:pPr>
              <w:pStyle w:val="Default"/>
              <w:snapToGrid w:val="0"/>
              <w:rPr>
                <w:rFonts w:ascii="Times New Roman" w:hAnsi="Times New Roman" w:cs="Times New Roman"/>
                <w:b/>
                <w:sz w:val="22"/>
                <w:szCs w:val="22"/>
                <w:lang w:val="en-GB"/>
              </w:rPr>
            </w:pPr>
            <w:r w:rsidRPr="00100AF5">
              <w:rPr>
                <w:rFonts w:ascii="Times New Roman" w:hAnsi="Times New Roman" w:cs="Times New Roman"/>
                <w:b/>
                <w:sz w:val="22"/>
                <w:szCs w:val="22"/>
                <w:lang w:val="en-GB"/>
              </w:rPr>
              <w:t xml:space="preserve">Mainstream </w:t>
            </w:r>
            <w:r w:rsidR="007B7B5B" w:rsidRPr="00100AF5">
              <w:rPr>
                <w:rFonts w:ascii="Times New Roman" w:hAnsi="Times New Roman" w:cs="Times New Roman"/>
                <w:b/>
                <w:sz w:val="22"/>
                <w:szCs w:val="22"/>
                <w:lang w:val="en-GB"/>
              </w:rPr>
              <w:t xml:space="preserve">gender </w:t>
            </w:r>
            <w:r w:rsidRPr="00100AF5">
              <w:rPr>
                <w:rFonts w:ascii="Times New Roman" w:hAnsi="Times New Roman" w:cs="Times New Roman"/>
                <w:b/>
                <w:sz w:val="22"/>
                <w:szCs w:val="22"/>
                <w:lang w:val="en-GB"/>
              </w:rPr>
              <w:t xml:space="preserve">considerations into </w:t>
            </w:r>
            <w:r w:rsidR="007B7B5B" w:rsidRPr="00100AF5">
              <w:rPr>
                <w:rFonts w:ascii="Times New Roman" w:hAnsi="Times New Roman" w:cs="Times New Roman"/>
                <w:b/>
                <w:sz w:val="22"/>
                <w:szCs w:val="22"/>
                <w:lang w:val="en-GB"/>
              </w:rPr>
              <w:t>SD plans</w:t>
            </w:r>
          </w:p>
        </w:tc>
      </w:tr>
      <w:tr w:rsidR="00F02D12" w:rsidRPr="00100AF5" w:rsidTr="007B7B5B">
        <w:trPr>
          <w:trHeight w:val="863"/>
        </w:trPr>
        <w:tc>
          <w:tcPr>
            <w:tcW w:w="9730" w:type="dxa"/>
            <w:gridSpan w:val="5"/>
            <w:tcBorders>
              <w:left w:val="single" w:sz="4" w:space="0" w:color="000000"/>
              <w:bottom w:val="single" w:sz="4" w:space="0" w:color="000000"/>
              <w:right w:val="single" w:sz="4" w:space="0" w:color="000000"/>
            </w:tcBorders>
            <w:shd w:val="clear" w:color="auto" w:fill="F3F3F3"/>
          </w:tcPr>
          <w:p w:rsidR="00F02D12" w:rsidRPr="00100AF5" w:rsidRDefault="00F02D12" w:rsidP="007B7B5B">
            <w:pPr>
              <w:snapToGrid w:val="0"/>
              <w:rPr>
                <w:rFonts w:cs="Times New Roman"/>
              </w:rPr>
            </w:pPr>
            <w:r w:rsidRPr="00100AF5">
              <w:rPr>
                <w:rFonts w:cs="Times New Roman"/>
                <w:b/>
              </w:rPr>
              <w:t>Operational application:</w:t>
            </w:r>
            <w:r w:rsidRPr="00100AF5">
              <w:rPr>
                <w:rFonts w:cs="Times New Roman"/>
              </w:rPr>
              <w:t xml:space="preserve"> </w:t>
            </w:r>
            <w:r w:rsidR="007B7B5B" w:rsidRPr="00100AF5">
              <w:rPr>
                <w:rFonts w:cs="Times New Roman"/>
              </w:rPr>
              <w:t xml:space="preserve">some activities in service delivery might focus on gender aspects, i.e. service to families, women with children, </w:t>
            </w:r>
            <w:r w:rsidR="0033212D" w:rsidRPr="00100AF5">
              <w:rPr>
                <w:rFonts w:cs="Times New Roman"/>
              </w:rPr>
              <w:t xml:space="preserve">unemployed women, </w:t>
            </w:r>
            <w:r w:rsidR="007B7B5B" w:rsidRPr="00100AF5">
              <w:rPr>
                <w:rFonts w:cs="Times New Roman"/>
              </w:rPr>
              <w:t>etc.</w:t>
            </w:r>
          </w:p>
        </w:tc>
      </w:tr>
    </w:tbl>
    <w:p w:rsidR="005B40CC" w:rsidRPr="00100AF5" w:rsidRDefault="005B40CC" w:rsidP="00CD7605">
      <w:pPr>
        <w:pStyle w:val="Heading1"/>
      </w:pPr>
      <w:bookmarkStart w:id="183" w:name="_Toc273263540"/>
      <w:bookmarkStart w:id="184" w:name="_Toc273263676"/>
      <w:bookmarkStart w:id="185" w:name="_Toc276461298"/>
      <w:r w:rsidRPr="00100AF5">
        <w:t>Annexes</w:t>
      </w:r>
      <w:bookmarkEnd w:id="183"/>
      <w:bookmarkEnd w:id="184"/>
      <w:bookmarkEnd w:id="185"/>
    </w:p>
    <w:p w:rsidR="00D506E2" w:rsidRPr="00B40AD7" w:rsidRDefault="00D506E2" w:rsidP="004B5B52">
      <w:proofErr w:type="spellStart"/>
      <w:r w:rsidRPr="00B40AD7">
        <w:t>ToR</w:t>
      </w:r>
      <w:proofErr w:type="spellEnd"/>
      <w:r w:rsidRPr="00B40AD7">
        <w:t xml:space="preserve"> for the evaluation </w:t>
      </w:r>
    </w:p>
    <w:p w:rsidR="00D506E2" w:rsidRPr="00B40AD7" w:rsidRDefault="00D506E2" w:rsidP="004B5B52">
      <w:r w:rsidRPr="00B40AD7">
        <w:t xml:space="preserve">List of individuals or groups interviewed or consulted and sites visited </w:t>
      </w:r>
    </w:p>
    <w:p w:rsidR="00D506E2" w:rsidRPr="00B40AD7" w:rsidRDefault="00D506E2" w:rsidP="004B5B52">
      <w:r w:rsidRPr="00B40AD7">
        <w:t xml:space="preserve">List of supporting documents reviewed </w:t>
      </w:r>
    </w:p>
    <w:p w:rsidR="00D506E2" w:rsidRPr="00B40AD7" w:rsidRDefault="00D506E2" w:rsidP="004B5B52">
      <w:r w:rsidRPr="00B40AD7">
        <w:t xml:space="preserve">Project results framework </w:t>
      </w:r>
    </w:p>
    <w:p w:rsidR="00D506E2" w:rsidRPr="00B40AD7" w:rsidRDefault="00D506E2" w:rsidP="004B5B52">
      <w:r w:rsidRPr="00B40AD7">
        <w:t>Shor</w:t>
      </w:r>
      <w:r w:rsidR="004B5B52">
        <w:t>t biographies of the evaluator</w:t>
      </w:r>
    </w:p>
    <w:p w:rsidR="00D506E2" w:rsidRPr="00B40AD7" w:rsidRDefault="00D506E2" w:rsidP="004B5B52">
      <w:r w:rsidRPr="004B5B52">
        <w:rPr>
          <w:highlight w:val="yellow"/>
        </w:rPr>
        <w:t xml:space="preserve">Code of conduct </w:t>
      </w:r>
      <w:r w:rsidR="004B5B52" w:rsidRPr="004B5B52">
        <w:rPr>
          <w:highlight w:val="yellow"/>
        </w:rPr>
        <w:t>signed by evaluator</w:t>
      </w:r>
    </w:p>
    <w:p w:rsidR="00C364E0" w:rsidRPr="00100AF5" w:rsidRDefault="00C364E0"/>
    <w:sectPr w:rsidR="00C364E0" w:rsidRPr="00100AF5" w:rsidSect="007B3B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CE" w:rsidRDefault="000D61CE" w:rsidP="008E4654">
      <w:r>
        <w:separator/>
      </w:r>
    </w:p>
  </w:endnote>
  <w:endnote w:type="continuationSeparator" w:id="0">
    <w:p w:rsidR="000D61CE" w:rsidRDefault="000D61CE" w:rsidP="008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SPPGNW+Garamond-Light">
    <w:altName w:val="Garamon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abon-Roman">
    <w:altName w:val="Times New Roman"/>
    <w:panose1 w:val="00000000000000000000"/>
    <w:charset w:val="00"/>
    <w:family w:val="auto"/>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TrajanPro-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TE1FFD47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CE" w:rsidRDefault="000D61CE" w:rsidP="008E4654">
      <w:r>
        <w:separator/>
      </w:r>
    </w:p>
  </w:footnote>
  <w:footnote w:type="continuationSeparator" w:id="0">
    <w:p w:rsidR="000D61CE" w:rsidRDefault="000D61CE" w:rsidP="008E4654">
      <w:r>
        <w:continuationSeparator/>
      </w:r>
    </w:p>
  </w:footnote>
  <w:footnote w:id="1">
    <w:p w:rsidR="005A4068" w:rsidRPr="00625A78" w:rsidRDefault="005A4068" w:rsidP="00096C64">
      <w:pPr>
        <w:pStyle w:val="FootnoteText"/>
        <w:rPr>
          <w:rFonts w:ascii="Arial" w:hAnsi="Arial" w:cs="Arial"/>
          <w:sz w:val="18"/>
          <w:szCs w:val="18"/>
        </w:rPr>
      </w:pPr>
      <w:r w:rsidRPr="00625A78">
        <w:rPr>
          <w:rStyle w:val="FootnoteReference"/>
          <w:rFonts w:ascii="Arial" w:eastAsiaTheme="majorEastAsia" w:hAnsi="Arial" w:cs="Arial"/>
          <w:sz w:val="18"/>
          <w:szCs w:val="18"/>
        </w:rPr>
        <w:footnoteRef/>
      </w:r>
      <w:r w:rsidRPr="00625A78">
        <w:rPr>
          <w:rFonts w:ascii="Arial" w:hAnsi="Arial" w:cs="Arial"/>
          <w:sz w:val="18"/>
          <w:szCs w:val="18"/>
        </w:rPr>
        <w:t xml:space="preserve"> </w:t>
      </w:r>
      <w:hyperlink r:id="rId1" w:history="1">
        <w:r w:rsidRPr="00625A78">
          <w:rPr>
            <w:rStyle w:val="Hyperlink"/>
            <w:rFonts w:ascii="Arial" w:hAnsi="Arial" w:cs="Arial"/>
            <w:sz w:val="18"/>
            <w:szCs w:val="18"/>
          </w:rPr>
          <w:t>http://www.imf.org/external/pubs/ft/weo/2010/01/index.htm</w:t>
        </w:r>
      </w:hyperlink>
    </w:p>
    <w:p w:rsidR="005A4068" w:rsidRPr="00625A78" w:rsidRDefault="005A4068" w:rsidP="00096C64">
      <w:pPr>
        <w:pStyle w:val="FootnoteText"/>
        <w:rPr>
          <w:rFonts w:ascii="Arial" w:hAnsi="Arial" w:cs="Arial"/>
          <w:sz w:val="18"/>
          <w:szCs w:val="18"/>
        </w:rPr>
      </w:pPr>
    </w:p>
  </w:footnote>
  <w:footnote w:id="2">
    <w:p w:rsidR="005A4068" w:rsidRPr="00BC2594" w:rsidRDefault="005A4068" w:rsidP="00096C64">
      <w:pPr>
        <w:autoSpaceDE w:val="0"/>
        <w:autoSpaceDN w:val="0"/>
        <w:adjustRightInd w:val="0"/>
        <w:rPr>
          <w:rFonts w:cs="Times New Roman"/>
          <w:i/>
          <w:sz w:val="20"/>
          <w:szCs w:val="20"/>
          <w:lang w:val="en-US"/>
        </w:rPr>
      </w:pPr>
      <w:r w:rsidRPr="00BC2594">
        <w:rPr>
          <w:rStyle w:val="FootnoteReference"/>
          <w:rFonts w:eastAsiaTheme="majorEastAsia" w:cs="Times New Roman"/>
          <w:sz w:val="20"/>
          <w:szCs w:val="20"/>
        </w:rPr>
        <w:footnoteRef/>
      </w:r>
      <w:r w:rsidRPr="00BC2594">
        <w:rPr>
          <w:rFonts w:cs="Times New Roman"/>
          <w:sz w:val="20"/>
          <w:szCs w:val="20"/>
        </w:rPr>
        <w:t xml:space="preserve"> </w:t>
      </w:r>
      <w:hyperlink r:id="rId2" w:history="1">
        <w:r w:rsidRPr="00BC2594">
          <w:rPr>
            <w:rStyle w:val="Hyperlink"/>
            <w:rFonts w:cs="Times New Roman"/>
            <w:sz w:val="20"/>
            <w:szCs w:val="20"/>
          </w:rPr>
          <w:t>http://www.imf.org/external/pubs/ft/scr/2009/cr09159.pdf</w:t>
        </w:r>
      </w:hyperlink>
      <w:r w:rsidRPr="00BC2594">
        <w:rPr>
          <w:rFonts w:cs="Times New Roman"/>
          <w:sz w:val="20"/>
          <w:szCs w:val="20"/>
        </w:rPr>
        <w:t xml:space="preserve"> </w:t>
      </w:r>
      <w:r w:rsidRPr="00BC2594">
        <w:rPr>
          <w:rFonts w:cs="Times New Roman"/>
          <w:i/>
          <w:sz w:val="20"/>
          <w:szCs w:val="20"/>
          <w:lang w:val="en-US"/>
        </w:rPr>
        <w:t>Underpinned by sound macroeconomic policies and strong trade links, Jordan’s economy witnessed remarkable economic performance over the prolonged period of time. Intensified implementation of wide-ranging structural reforms for over a decade has also enhanced the</w:t>
      </w:r>
    </w:p>
    <w:p w:rsidR="005A4068" w:rsidRPr="00BC2594" w:rsidRDefault="005A4068" w:rsidP="00096C64">
      <w:pPr>
        <w:autoSpaceDE w:val="0"/>
        <w:autoSpaceDN w:val="0"/>
        <w:adjustRightInd w:val="0"/>
        <w:rPr>
          <w:rFonts w:cs="Times New Roman"/>
          <w:sz w:val="20"/>
          <w:szCs w:val="20"/>
          <w:lang w:val="en-US"/>
        </w:rPr>
      </w:pPr>
      <w:r w:rsidRPr="00BC2594">
        <w:rPr>
          <w:rFonts w:cs="Times New Roman"/>
          <w:i/>
          <w:sz w:val="20"/>
          <w:szCs w:val="20"/>
          <w:lang w:val="en-US"/>
        </w:rPr>
        <w:t>investment climate and helped position Jordan as an attractive private capital destination. Sizeable inflows and vigorous domestic investment have steered the economy to unprecedented GDP growth averaging 6½ percent from 2001 to 2007. At the same time, inflation has been generally subdued, public debt is on a declining trend, and reserves are steadily accumulating. The economy’s robust performance and its resilience in weathering various external shocks and geopolitical tensions in recent years, has placed it in a strong position to face the ongoing global economic recession,</w:t>
      </w:r>
      <w:r w:rsidRPr="00BC2594">
        <w:rPr>
          <w:rFonts w:cs="Times New Roman"/>
          <w:sz w:val="20"/>
          <w:szCs w:val="20"/>
          <w:lang w:val="en-US"/>
        </w:rPr>
        <w:t xml:space="preserve"> Statement by </w:t>
      </w:r>
      <w:proofErr w:type="spellStart"/>
      <w:r w:rsidRPr="00BC2594">
        <w:rPr>
          <w:rFonts w:cs="Times New Roman"/>
          <w:sz w:val="20"/>
          <w:szCs w:val="20"/>
          <w:lang w:val="en-US"/>
        </w:rPr>
        <w:t>Shakour</w:t>
      </w:r>
      <w:proofErr w:type="spellEnd"/>
      <w:r w:rsidRPr="00BC2594">
        <w:rPr>
          <w:rFonts w:cs="Times New Roman"/>
          <w:sz w:val="20"/>
          <w:szCs w:val="20"/>
          <w:lang w:val="en-US"/>
        </w:rPr>
        <w:t xml:space="preserve"> </w:t>
      </w:r>
      <w:proofErr w:type="spellStart"/>
      <w:r w:rsidRPr="00BC2594">
        <w:rPr>
          <w:rFonts w:cs="Times New Roman"/>
          <w:sz w:val="20"/>
          <w:szCs w:val="20"/>
          <w:lang w:val="en-US"/>
        </w:rPr>
        <w:t>Sha’alan</w:t>
      </w:r>
      <w:proofErr w:type="spellEnd"/>
      <w:r w:rsidRPr="00BC2594">
        <w:rPr>
          <w:rFonts w:cs="Times New Roman"/>
          <w:sz w:val="20"/>
          <w:szCs w:val="20"/>
          <w:lang w:val="en-US"/>
        </w:rPr>
        <w:t>, Executive Director for Jordan May 4, 2009, IMF Country Report No. 09/159.</w:t>
      </w:r>
    </w:p>
    <w:p w:rsidR="005A4068" w:rsidRPr="00BC2594" w:rsidRDefault="005A4068" w:rsidP="00096C64">
      <w:pPr>
        <w:autoSpaceDE w:val="0"/>
        <w:autoSpaceDN w:val="0"/>
        <w:adjustRightInd w:val="0"/>
        <w:rPr>
          <w:rFonts w:cs="Times New Roman"/>
          <w:sz w:val="20"/>
          <w:szCs w:val="20"/>
          <w:lang w:val="en-US"/>
        </w:rPr>
      </w:pPr>
    </w:p>
  </w:footnote>
  <w:footnote w:id="3">
    <w:p w:rsidR="005A4068" w:rsidRPr="009F153C" w:rsidRDefault="005A4068" w:rsidP="00096C64">
      <w:pPr>
        <w:autoSpaceDE w:val="0"/>
        <w:autoSpaceDN w:val="0"/>
        <w:adjustRightInd w:val="0"/>
        <w:rPr>
          <w:lang w:val="en-US"/>
        </w:rPr>
      </w:pPr>
      <w:r w:rsidRPr="00BC2594">
        <w:rPr>
          <w:rFonts w:cs="Times New Roman"/>
          <w:sz w:val="20"/>
          <w:szCs w:val="20"/>
          <w:lang w:val="en-US"/>
        </w:rPr>
        <w:footnoteRef/>
      </w:r>
      <w:r w:rsidRPr="00BC2594">
        <w:rPr>
          <w:rFonts w:cs="Times New Roman"/>
          <w:sz w:val="20"/>
          <w:szCs w:val="20"/>
          <w:lang w:val="en-US"/>
        </w:rPr>
        <w:t xml:space="preserve"> See T. H. </w:t>
      </w:r>
      <w:proofErr w:type="spellStart"/>
      <w:r w:rsidRPr="00BC2594">
        <w:rPr>
          <w:rFonts w:cs="Times New Roman"/>
          <w:sz w:val="20"/>
          <w:szCs w:val="20"/>
          <w:lang w:val="en-US"/>
        </w:rPr>
        <w:t>Kanaan</w:t>
      </w:r>
      <w:proofErr w:type="spellEnd"/>
      <w:r w:rsidRPr="00BC2594">
        <w:rPr>
          <w:rFonts w:cs="Times New Roman"/>
          <w:sz w:val="20"/>
          <w:szCs w:val="20"/>
          <w:lang w:val="en-US"/>
        </w:rPr>
        <w:t xml:space="preserve"> and M. D. </w:t>
      </w:r>
      <w:proofErr w:type="spellStart"/>
      <w:r w:rsidRPr="00BC2594">
        <w:rPr>
          <w:rFonts w:cs="Times New Roman"/>
          <w:sz w:val="20"/>
          <w:szCs w:val="20"/>
          <w:lang w:val="en-US"/>
        </w:rPr>
        <w:t>Hanania</w:t>
      </w:r>
      <w:proofErr w:type="spellEnd"/>
      <w:r w:rsidRPr="00BC2594">
        <w:rPr>
          <w:rFonts w:cs="Times New Roman"/>
          <w:sz w:val="20"/>
          <w:szCs w:val="20"/>
          <w:lang w:val="en-US"/>
        </w:rPr>
        <w:t xml:space="preserve">, </w:t>
      </w:r>
      <w:r w:rsidRPr="00BC2594">
        <w:rPr>
          <w:rFonts w:cs="Times New Roman"/>
          <w:i/>
          <w:sz w:val="20"/>
          <w:szCs w:val="20"/>
          <w:lang w:val="en-US"/>
        </w:rPr>
        <w:t>The Disconnect between Education, Job Growth, and Employment in Jordan</w:t>
      </w:r>
      <w:r w:rsidRPr="00BC2594">
        <w:rPr>
          <w:rFonts w:cs="Times New Roman"/>
          <w:sz w:val="20"/>
          <w:szCs w:val="20"/>
          <w:lang w:val="en-US"/>
        </w:rPr>
        <w:t>, 2009.</w:t>
      </w:r>
    </w:p>
  </w:footnote>
  <w:footnote w:id="4">
    <w:p w:rsidR="005A4068" w:rsidRDefault="005A4068" w:rsidP="000B18C7">
      <w:pPr>
        <w:autoSpaceDE w:val="0"/>
        <w:autoSpaceDN w:val="0"/>
        <w:adjustRightInd w:val="0"/>
        <w:spacing w:before="0"/>
        <w:jc w:val="left"/>
      </w:pPr>
      <w:r w:rsidRPr="000B18C7">
        <w:rPr>
          <w:rStyle w:val="FootnoteReference"/>
          <w:rFonts w:cs="Times New Roman"/>
          <w:sz w:val="16"/>
          <w:szCs w:val="16"/>
        </w:rPr>
        <w:footnoteRef/>
      </w:r>
      <w:r w:rsidRPr="000B18C7">
        <w:rPr>
          <w:rFonts w:cs="Times New Roman"/>
          <w:sz w:val="16"/>
          <w:szCs w:val="16"/>
        </w:rPr>
        <w:t xml:space="preserve"> </w:t>
      </w:r>
      <w:r w:rsidRPr="000B18C7">
        <w:rPr>
          <w:rFonts w:eastAsiaTheme="minorHAnsi" w:cs="Times New Roman"/>
          <w:bCs/>
          <w:color w:val="006565"/>
          <w:sz w:val="16"/>
          <w:szCs w:val="16"/>
          <w:lang w:val="en-US"/>
        </w:rPr>
        <w:t>Consultative meeting on priorities in innovating</w:t>
      </w:r>
      <w:r>
        <w:rPr>
          <w:rFonts w:eastAsiaTheme="minorHAnsi" w:cs="Times New Roman"/>
          <w:bCs/>
          <w:color w:val="006565"/>
          <w:sz w:val="16"/>
          <w:szCs w:val="16"/>
          <w:lang w:val="en-US"/>
        </w:rPr>
        <w:t xml:space="preserve"> </w:t>
      </w:r>
      <w:r w:rsidRPr="000B18C7">
        <w:rPr>
          <w:rFonts w:eastAsiaTheme="minorHAnsi" w:cs="Times New Roman"/>
          <w:bCs/>
          <w:color w:val="006565"/>
          <w:sz w:val="16"/>
          <w:szCs w:val="16"/>
          <w:lang w:val="en-US"/>
        </w:rPr>
        <w:t>government and public administration in the</w:t>
      </w:r>
      <w:r>
        <w:rPr>
          <w:rFonts w:eastAsiaTheme="minorHAnsi" w:cs="Times New Roman"/>
          <w:bCs/>
          <w:color w:val="006565"/>
          <w:sz w:val="16"/>
          <w:szCs w:val="16"/>
          <w:lang w:val="en-US"/>
        </w:rPr>
        <w:t xml:space="preserve"> </w:t>
      </w:r>
      <w:r w:rsidRPr="000B18C7">
        <w:rPr>
          <w:rFonts w:eastAsiaTheme="minorHAnsi" w:cs="Times New Roman"/>
          <w:bCs/>
          <w:color w:val="006565"/>
          <w:sz w:val="16"/>
          <w:szCs w:val="16"/>
          <w:lang w:val="en-US"/>
        </w:rPr>
        <w:t>Mediterranean region</w:t>
      </w:r>
      <w:r>
        <w:rPr>
          <w:rFonts w:eastAsiaTheme="minorHAnsi" w:cs="Times New Roman"/>
          <w:bCs/>
          <w:color w:val="006565"/>
          <w:sz w:val="16"/>
          <w:szCs w:val="16"/>
          <w:lang w:val="en-US"/>
        </w:rPr>
        <w:t xml:space="preserve">, </w:t>
      </w:r>
      <w:r w:rsidRPr="000B18C7">
        <w:rPr>
          <w:rFonts w:eastAsiaTheme="minorHAnsi" w:cs="Times New Roman"/>
          <w:bCs/>
          <w:color w:val="006565"/>
          <w:sz w:val="16"/>
          <w:szCs w:val="16"/>
          <w:lang w:val="en-US"/>
        </w:rPr>
        <w:t>Presentation</w:t>
      </w:r>
      <w:r>
        <w:rPr>
          <w:rFonts w:eastAsiaTheme="minorHAnsi" w:cs="Times New Roman"/>
          <w:bCs/>
          <w:color w:val="006565"/>
          <w:sz w:val="16"/>
          <w:szCs w:val="16"/>
          <w:lang w:val="en-US"/>
        </w:rPr>
        <w:t xml:space="preserve"> b</w:t>
      </w:r>
      <w:r w:rsidRPr="000B18C7">
        <w:rPr>
          <w:rFonts w:eastAsiaTheme="minorHAnsi" w:cs="Times New Roman"/>
          <w:bCs/>
          <w:color w:val="006565"/>
          <w:sz w:val="16"/>
          <w:szCs w:val="16"/>
          <w:lang w:val="en-US"/>
        </w:rPr>
        <w:t>y</w:t>
      </w:r>
      <w:r>
        <w:rPr>
          <w:rFonts w:eastAsiaTheme="minorHAnsi" w:cs="Times New Roman"/>
          <w:bCs/>
          <w:color w:val="006565"/>
          <w:sz w:val="16"/>
          <w:szCs w:val="16"/>
          <w:lang w:val="en-US"/>
        </w:rPr>
        <w:t xml:space="preserve"> </w:t>
      </w:r>
      <w:r w:rsidRPr="000B18C7">
        <w:rPr>
          <w:rFonts w:eastAsiaTheme="minorHAnsi" w:cs="Times New Roman"/>
          <w:bCs/>
          <w:color w:val="FF3300"/>
          <w:sz w:val="16"/>
          <w:szCs w:val="16"/>
          <w:lang w:val="en-US"/>
        </w:rPr>
        <w:t xml:space="preserve">The </w:t>
      </w:r>
      <w:r>
        <w:rPr>
          <w:rFonts w:eastAsiaTheme="minorHAnsi" w:cs="Times New Roman"/>
          <w:bCs/>
          <w:color w:val="FF3300"/>
          <w:sz w:val="16"/>
          <w:szCs w:val="16"/>
          <w:lang w:val="en-US"/>
        </w:rPr>
        <w:t xml:space="preserve"> N</w:t>
      </w:r>
      <w:r w:rsidRPr="000B18C7">
        <w:rPr>
          <w:rFonts w:eastAsiaTheme="minorHAnsi" w:cs="Times New Roman"/>
          <w:bCs/>
          <w:color w:val="FF3300"/>
          <w:sz w:val="16"/>
          <w:szCs w:val="16"/>
          <w:lang w:val="en-US"/>
        </w:rPr>
        <w:t>ational Institute for</w:t>
      </w:r>
      <w:r>
        <w:rPr>
          <w:rFonts w:eastAsiaTheme="minorHAnsi" w:cs="Times New Roman"/>
          <w:bCs/>
          <w:color w:val="FF3300"/>
          <w:sz w:val="16"/>
          <w:szCs w:val="16"/>
          <w:lang w:val="en-US"/>
        </w:rPr>
        <w:t xml:space="preserve"> </w:t>
      </w:r>
      <w:r w:rsidRPr="000B18C7">
        <w:rPr>
          <w:rFonts w:eastAsiaTheme="minorHAnsi" w:cs="Times New Roman"/>
          <w:bCs/>
          <w:color w:val="FF3300"/>
          <w:sz w:val="16"/>
          <w:szCs w:val="16"/>
          <w:lang w:val="en-US"/>
        </w:rPr>
        <w:t>Training</w:t>
      </w:r>
      <w:r>
        <w:rPr>
          <w:rFonts w:eastAsiaTheme="minorHAnsi" w:cs="Times New Roman"/>
          <w:bCs/>
          <w:color w:val="FF3300"/>
          <w:sz w:val="16"/>
          <w:szCs w:val="16"/>
          <w:lang w:val="en-US"/>
        </w:rPr>
        <w:t xml:space="preserve"> in </w:t>
      </w:r>
      <w:r w:rsidRPr="000B18C7">
        <w:rPr>
          <w:rFonts w:eastAsiaTheme="minorHAnsi" w:cs="Times New Roman"/>
          <w:bCs/>
          <w:color w:val="FF3300"/>
          <w:sz w:val="16"/>
          <w:szCs w:val="16"/>
          <w:lang w:val="en-US"/>
        </w:rPr>
        <w:t>Jordan</w:t>
      </w:r>
      <w:r>
        <w:rPr>
          <w:rFonts w:eastAsiaTheme="minorHAnsi" w:cs="Times New Roman"/>
          <w:bCs/>
          <w:color w:val="FF3300"/>
          <w:sz w:val="16"/>
          <w:szCs w:val="16"/>
          <w:lang w:val="en-US"/>
        </w:rPr>
        <w:t xml:space="preserve">, </w:t>
      </w:r>
      <w:r w:rsidRPr="000B18C7">
        <w:rPr>
          <w:rFonts w:eastAsiaTheme="minorHAnsi" w:cs="Times New Roman"/>
          <w:bCs/>
          <w:color w:val="C1C1C1"/>
          <w:sz w:val="16"/>
          <w:szCs w:val="16"/>
          <w:lang w:val="en-US"/>
        </w:rPr>
        <w:t>Naples, Italy</w:t>
      </w:r>
      <w:r>
        <w:rPr>
          <w:rFonts w:eastAsiaTheme="minorHAnsi" w:cs="Times New Roman"/>
          <w:bCs/>
          <w:color w:val="C1C1C1"/>
          <w:sz w:val="16"/>
          <w:szCs w:val="16"/>
          <w:lang w:val="en-US"/>
        </w:rPr>
        <w:t>, December 2007.</w:t>
      </w:r>
    </w:p>
  </w:footnote>
  <w:footnote w:id="5">
    <w:p w:rsidR="005A4068" w:rsidRPr="00DA734F" w:rsidRDefault="005A4068">
      <w:pPr>
        <w:pStyle w:val="FootnoteText"/>
        <w:rPr>
          <w:lang w:val="en-US"/>
        </w:rPr>
      </w:pPr>
      <w:r>
        <w:rPr>
          <w:rStyle w:val="FootnoteReference"/>
        </w:rPr>
        <w:footnoteRef/>
      </w:r>
      <w:r>
        <w:t xml:space="preserve"> </w:t>
      </w:r>
      <w:r w:rsidRPr="00DA734F">
        <w:rPr>
          <w:lang w:val="en-US"/>
        </w:rPr>
        <w:t>http://www.kace.jo/government_performance.shtm</w:t>
      </w:r>
    </w:p>
  </w:footnote>
  <w:footnote w:id="6">
    <w:p w:rsidR="005A4068" w:rsidRPr="00442731" w:rsidRDefault="005A4068">
      <w:pPr>
        <w:pStyle w:val="FootnoteText"/>
        <w:rPr>
          <w:lang w:val="en-US"/>
        </w:rPr>
      </w:pPr>
      <w:r>
        <w:rPr>
          <w:rStyle w:val="FootnoteReference"/>
        </w:rPr>
        <w:footnoteRef/>
      </w:r>
      <w:r>
        <w:t xml:space="preserve"> Jordan National Agenda, 2005.</w:t>
      </w:r>
    </w:p>
  </w:footnote>
  <w:footnote w:id="7">
    <w:p w:rsidR="005A4068" w:rsidRPr="007E4B56" w:rsidRDefault="005A4068">
      <w:pPr>
        <w:pStyle w:val="FootnoteText"/>
      </w:pPr>
      <w:r>
        <w:rPr>
          <w:rStyle w:val="FootnoteReference"/>
        </w:rPr>
        <w:footnoteRef/>
      </w:r>
      <w:r>
        <w:t xml:space="preserve"> EC, Jordan progress Report 2006.</w:t>
      </w:r>
    </w:p>
  </w:footnote>
  <w:footnote w:id="8">
    <w:p w:rsidR="005A4068" w:rsidRPr="00BC2594" w:rsidRDefault="005A4068">
      <w:pPr>
        <w:pStyle w:val="FootnoteText"/>
      </w:pPr>
      <w:r>
        <w:rPr>
          <w:rStyle w:val="FootnoteReference"/>
        </w:rPr>
        <w:footnoteRef/>
      </w:r>
      <w:r>
        <w:t xml:space="preserve"> EC, Jordan Progress Report 2008.</w:t>
      </w:r>
    </w:p>
  </w:footnote>
  <w:footnote w:id="9">
    <w:p w:rsidR="005A4068" w:rsidRPr="002A2C01" w:rsidRDefault="005A4068" w:rsidP="002A2C01">
      <w:pPr>
        <w:rPr>
          <w:rFonts w:cs="Times New Roman"/>
          <w:sz w:val="20"/>
          <w:szCs w:val="20"/>
          <w:u w:val="single"/>
        </w:rPr>
      </w:pPr>
      <w:r>
        <w:rPr>
          <w:rStyle w:val="FootnoteReference"/>
        </w:rPr>
        <w:footnoteRef/>
      </w:r>
      <w:r w:rsidRPr="002A2C01">
        <w:rPr>
          <w:rFonts w:cs="Times New Roman"/>
          <w:sz w:val="18"/>
          <w:szCs w:val="18"/>
        </w:rPr>
        <w:t xml:space="preserve"> </w:t>
      </w:r>
      <w:r w:rsidRPr="002A2C01">
        <w:rPr>
          <w:rFonts w:cs="Times New Roman"/>
          <w:sz w:val="20"/>
          <w:szCs w:val="20"/>
        </w:rPr>
        <w:t>Committees Overseeing the Seven Strategic Initiatives:</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Public Sector Development Committee: </w:t>
      </w:r>
      <w:r w:rsidRPr="002A2C01">
        <w:rPr>
          <w:rFonts w:cs="Times New Roman"/>
          <w:bCs/>
          <w:sz w:val="20"/>
          <w:szCs w:val="20"/>
        </w:rPr>
        <w:t>it</w:t>
      </w:r>
      <w:r w:rsidRPr="002A2C01">
        <w:rPr>
          <w:rFonts w:cs="Times New Roman"/>
          <w:b/>
          <w:bCs/>
          <w:sz w:val="20"/>
          <w:szCs w:val="20"/>
        </w:rPr>
        <w:t xml:space="preserve"> </w:t>
      </w:r>
      <w:r w:rsidRPr="002A2C01">
        <w:rPr>
          <w:rFonts w:cs="Times New Roman"/>
          <w:sz w:val="20"/>
          <w:szCs w:val="20"/>
        </w:rPr>
        <w:t>is responsible for coordinating policies and programs to strengthen public sector performance. The Committee seeks to achieve this goal through the adoption of performance management frameworks and capacity and capability-building initiatives that aim to improve the quality of public services provided by the Government.</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Sovereignty, Political and Civic Participation Committee: </w:t>
      </w:r>
      <w:r w:rsidRPr="002A2C01">
        <w:rPr>
          <w:rFonts w:cs="Times New Roman"/>
          <w:bCs/>
          <w:sz w:val="20"/>
          <w:szCs w:val="20"/>
        </w:rPr>
        <w:t xml:space="preserve">it </w:t>
      </w:r>
      <w:r w:rsidRPr="002A2C01">
        <w:rPr>
          <w:rFonts w:cs="Times New Roman"/>
          <w:sz w:val="20"/>
          <w:szCs w:val="20"/>
        </w:rPr>
        <w:t>focuses on issues affecting sovereignty and national interests, as well as procedures and policies related to domestic and foreign affairs. The Committee specializes in constitutional affairs, human rights, freedom of the press, and the development of policies and programs to encourage greater civic participation on the part of all citizens. In fulfilling its role, the Committee coordinates with stakeholders at the highest levels in order to communicate Jordan’s political agenda both domestically and abroad.</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Economic Development Committee: </w:t>
      </w:r>
      <w:r w:rsidRPr="002A2C01">
        <w:rPr>
          <w:rFonts w:cs="Times New Roman"/>
          <w:sz w:val="20"/>
          <w:szCs w:val="20"/>
        </w:rPr>
        <w:t xml:space="preserve">it reviews and coordinates economic policies across </w:t>
      </w:r>
      <w:proofErr w:type="spellStart"/>
      <w:r w:rsidRPr="002A2C01">
        <w:rPr>
          <w:rFonts w:cs="Times New Roman"/>
          <w:sz w:val="20"/>
          <w:szCs w:val="20"/>
        </w:rPr>
        <w:t>sectoral</w:t>
      </w:r>
      <w:proofErr w:type="spellEnd"/>
      <w:r w:rsidRPr="002A2C01">
        <w:rPr>
          <w:rFonts w:cs="Times New Roman"/>
          <w:sz w:val="20"/>
          <w:szCs w:val="20"/>
        </w:rPr>
        <w:t xml:space="preserve"> development ministries and ensures that these policies are aligned with their respective sector goals and the Government’s overall economic and budgetary priorities. In addition, the Committee provides and serves the needs and objectives for expanding the middle class, as well as monitoring the competitiveness of the business environment in the Kingdom.</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Human Development Committee:</w:t>
      </w:r>
      <w:r w:rsidRPr="002A2C01">
        <w:rPr>
          <w:rFonts w:cs="Times New Roman"/>
          <w:sz w:val="20"/>
          <w:szCs w:val="20"/>
        </w:rPr>
        <w:t xml:space="preserve"> it is responsible for reviewing and coordinating government policies and programs in education and job training, in order to ensure that all Jordanians have the opportunity to obtain the skills necessary to succeed in an increasingly global marketplace. The Committee also works closely with the private sector to understand the needs of the labour market both in terms of the number of workers and the type of skills that are required.</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Infrastructure and Mega Projects Committee: </w:t>
      </w:r>
      <w:r w:rsidRPr="002A2C01">
        <w:rPr>
          <w:rFonts w:cs="Times New Roman"/>
          <w:sz w:val="20"/>
          <w:szCs w:val="20"/>
        </w:rPr>
        <w:t>it coordinates the negotiation and implementation of infrastructure development projects. This includes responsibility for the development and regulation of public private partnerships (PPPs) throughout the Kingdom.</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Services Committee: </w:t>
      </w:r>
      <w:r w:rsidRPr="002A2C01">
        <w:rPr>
          <w:rFonts w:cs="Times New Roman"/>
          <w:sz w:val="20"/>
          <w:szCs w:val="20"/>
        </w:rPr>
        <w:t>it is concerned with government policies and programs to enhance the quality, efficiency and accessibility of social services that promote citizens’ welfare. These programs include the provision of housing, healthcare, and recreational facilities, in addition to services provided to the underprivileged.</w:t>
      </w:r>
    </w:p>
    <w:p w:rsidR="005A4068" w:rsidRPr="002A2C01" w:rsidRDefault="005A4068" w:rsidP="002A2C01">
      <w:pPr>
        <w:rPr>
          <w:rFonts w:cs="Times New Roman"/>
          <w:sz w:val="20"/>
          <w:szCs w:val="20"/>
          <w:u w:val="single"/>
        </w:rPr>
      </w:pPr>
      <w:r w:rsidRPr="002A2C01">
        <w:rPr>
          <w:rFonts w:cs="Times New Roman"/>
          <w:sz w:val="20"/>
          <w:szCs w:val="20"/>
          <w:u w:val="single"/>
        </w:rPr>
        <w:t>Specialized Committees</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Coordination and Procedures Committee: </w:t>
      </w:r>
      <w:r w:rsidRPr="002A2C01">
        <w:rPr>
          <w:rFonts w:cs="Times New Roman"/>
          <w:bCs/>
          <w:sz w:val="20"/>
          <w:szCs w:val="20"/>
        </w:rPr>
        <w:t xml:space="preserve">chaired by the Prime Minister, it </w:t>
      </w:r>
      <w:r w:rsidRPr="002A2C01">
        <w:rPr>
          <w:rFonts w:cs="Times New Roman"/>
          <w:sz w:val="20"/>
          <w:szCs w:val="20"/>
        </w:rPr>
        <w:t>reviews the recommendations of the other committees and ensures their consistency with other government policies and programs. The Committee is also responsible for resolving issues and problems at the committee level and allocating budget resources for priority projects and programs.</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Economic Policies Committee: </w:t>
      </w:r>
      <w:r w:rsidRPr="002A2C01">
        <w:rPr>
          <w:rFonts w:cs="Times New Roman"/>
          <w:sz w:val="20"/>
          <w:szCs w:val="20"/>
        </w:rPr>
        <w:t>it reviews macro-economic policy settings and policies linked to economic development and economic reform. The Committee is responsible for balancing available financial resources against the demand for government expenditure and for maintaining financial and monetary stability.</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Legal Committee</w:t>
      </w:r>
      <w:r w:rsidRPr="002A2C01">
        <w:rPr>
          <w:rFonts w:cs="Times New Roman"/>
          <w:bCs/>
          <w:sz w:val="20"/>
          <w:szCs w:val="20"/>
        </w:rPr>
        <w:t>: it</w:t>
      </w:r>
      <w:r w:rsidRPr="002A2C01">
        <w:rPr>
          <w:rFonts w:cs="Times New Roman"/>
          <w:sz w:val="20"/>
          <w:szCs w:val="20"/>
        </w:rPr>
        <w:t xml:space="preserve"> identifies legislative changes that are required to execute the policies and initiatives put forth by the Council of Ministers. It does so by supervising efforts to develop laws and bylaws and by seeking to promote transparency and accountability across Government.</w:t>
      </w:r>
    </w:p>
    <w:p w:rsidR="005A4068" w:rsidRPr="002A2C01" w:rsidRDefault="005A4068" w:rsidP="002A2C01">
      <w:pPr>
        <w:autoSpaceDE w:val="0"/>
        <w:autoSpaceDN w:val="0"/>
        <w:adjustRightInd w:val="0"/>
        <w:spacing w:after="120"/>
        <w:rPr>
          <w:rFonts w:cs="Times New Roman"/>
          <w:sz w:val="20"/>
          <w:szCs w:val="20"/>
        </w:rPr>
      </w:pPr>
      <w:r w:rsidRPr="002A2C01">
        <w:rPr>
          <w:rFonts w:cs="Times New Roman"/>
          <w:b/>
          <w:bCs/>
          <w:sz w:val="20"/>
          <w:szCs w:val="20"/>
        </w:rPr>
        <w:t xml:space="preserve">Private Sector Partnerships Committee: </w:t>
      </w:r>
      <w:r w:rsidRPr="002A2C01">
        <w:rPr>
          <w:rFonts w:cs="Times New Roman"/>
          <w:bCs/>
          <w:sz w:val="20"/>
          <w:szCs w:val="20"/>
        </w:rPr>
        <w:t>it aims at</w:t>
      </w:r>
      <w:r w:rsidRPr="002A2C01">
        <w:rPr>
          <w:rFonts w:cs="Times New Roman"/>
          <w:sz w:val="20"/>
          <w:szCs w:val="20"/>
        </w:rPr>
        <w:t xml:space="preserve"> enabling private sector participation in the decision-making process, which will in turn result in the formulation of well-informed policies that support both the public and private sectors. The Committee is chaired by the Prime Minister and includes members from ministries and private sector representatives. </w:t>
      </w:r>
    </w:p>
    <w:p w:rsidR="005A4068" w:rsidRPr="00EB7BAF" w:rsidRDefault="005A4068" w:rsidP="002A2C01">
      <w:pPr>
        <w:pStyle w:val="FootnoteText"/>
        <w:rPr>
          <w:lang w:val="en-US"/>
        </w:rPr>
      </w:pPr>
      <w:r>
        <w:t xml:space="preserve">Source: </w:t>
      </w:r>
      <w:proofErr w:type="spellStart"/>
      <w:r>
        <w:rPr>
          <w:lang w:val="en-US"/>
        </w:rPr>
        <w:t>GoJ</w:t>
      </w:r>
      <w:proofErr w:type="spellEnd"/>
      <w:r>
        <w:rPr>
          <w:lang w:val="en-US"/>
        </w:rPr>
        <w:t xml:space="preserve"> Implementation Plan 2010.</w:t>
      </w:r>
    </w:p>
  </w:footnote>
  <w:footnote w:id="10">
    <w:p w:rsidR="005A4068" w:rsidRPr="00863DB2" w:rsidRDefault="005A4068">
      <w:pPr>
        <w:pStyle w:val="FootnoteText"/>
      </w:pPr>
      <w:r>
        <w:rPr>
          <w:rStyle w:val="FootnoteReference"/>
        </w:rPr>
        <w:footnoteRef/>
      </w:r>
      <w:r>
        <w:t xml:space="preserve"> UNDP Human Development Report, 2004.</w:t>
      </w:r>
    </w:p>
  </w:footnote>
  <w:footnote w:id="11">
    <w:p w:rsidR="005A4068" w:rsidRPr="00EA3139" w:rsidRDefault="005A4068" w:rsidP="004E1062">
      <w:pPr>
        <w:pStyle w:val="FootnoteText"/>
        <w:rPr>
          <w:lang w:val="en-US"/>
        </w:rPr>
      </w:pPr>
      <w:r w:rsidRPr="00EA3139">
        <w:rPr>
          <w:color w:val="000000"/>
          <w:vertAlign w:val="superscript"/>
        </w:rPr>
        <w:footnoteRef/>
      </w:r>
      <w:r w:rsidRPr="00EA3139">
        <w:rPr>
          <w:color w:val="000000"/>
        </w:rPr>
        <w:t xml:space="preserve"> In many occasions, His Majesty King Abdullah has stressed the relevance of “…</w:t>
      </w:r>
      <w:r w:rsidRPr="00677A3F">
        <w:rPr>
          <w:i/>
          <w:color w:val="000000"/>
        </w:rPr>
        <w:t>reactivating local government administration is the best means to expand the basis of public participation and to foster political, social and economic development</w:t>
      </w:r>
      <w:r w:rsidRPr="00EA3139">
        <w:rPr>
          <w:color w:val="000000"/>
        </w:rPr>
        <w:t xml:space="preserve">” (speech of 5th October 2008, on the occasion of the opening of the 15th Parliament’s second ordinary session) and reiterated on 8th June </w:t>
      </w:r>
      <w:smartTag w:uri="urn:schemas-microsoft-com:office:smarttags" w:element="metricconverter">
        <w:smartTagPr>
          <w:attr w:name="ProductID" w:val="2009, in"/>
        </w:smartTagPr>
        <w:r w:rsidRPr="00EA3139">
          <w:rPr>
            <w:color w:val="000000"/>
          </w:rPr>
          <w:t>2009, in</w:t>
        </w:r>
      </w:smartTag>
      <w:r w:rsidRPr="00EA3139">
        <w:rPr>
          <w:color w:val="000000"/>
        </w:rPr>
        <w:t xml:space="preserve"> an address to the nation on the occasion of the 10th anniversary of the King’s accession to the Throne, that improving citizens’ standards of living, addressing problems of poverty and unemployment, and providing the best health and educational services to citizens remain priorities: "</w:t>
      </w:r>
      <w:r w:rsidRPr="00677A3F">
        <w:rPr>
          <w:i/>
          <w:color w:val="000000"/>
        </w:rPr>
        <w:t>We have based our vision for Jordan’s future on investing in Jordanians in terms of their education and training; on providing job opportunities for all youth; on institutionalising participation in decision making; on applying decentralised management and fostering the principles of transparency, accountability and responsibility and achieving justice and equality for all</w:t>
      </w:r>
      <w:r w:rsidRPr="00EA3139">
        <w:rPr>
          <w:color w:val="000000"/>
        </w:rPr>
        <w:t>".</w:t>
      </w:r>
    </w:p>
  </w:footnote>
  <w:footnote w:id="12">
    <w:p w:rsidR="005A4068" w:rsidRPr="00863DB2" w:rsidRDefault="005A4068" w:rsidP="00380F56">
      <w:pPr>
        <w:pStyle w:val="FootnoteText"/>
        <w:rPr>
          <w:lang w:val="en-US"/>
        </w:rPr>
      </w:pPr>
      <w:r>
        <w:rPr>
          <w:rStyle w:val="FootnoteReference"/>
        </w:rPr>
        <w:footnoteRef/>
      </w:r>
      <w:r>
        <w:t xml:space="preserve"> </w:t>
      </w:r>
      <w:r>
        <w:rPr>
          <w:lang w:val="en-US"/>
        </w:rPr>
        <w:t xml:space="preserve">Regulation No. 64 of 2006, </w:t>
      </w:r>
      <w:proofErr w:type="spellStart"/>
      <w:r>
        <w:rPr>
          <w:lang w:val="en-US"/>
        </w:rPr>
        <w:t>GoJ</w:t>
      </w:r>
      <w:proofErr w:type="spellEnd"/>
      <w:r>
        <w:rPr>
          <w:lang w:val="en-US"/>
        </w:rPr>
        <w:t>.</w:t>
      </w:r>
    </w:p>
  </w:footnote>
  <w:footnote w:id="13">
    <w:p w:rsidR="005A4068" w:rsidRPr="000E0626" w:rsidRDefault="005A4068" w:rsidP="000C19E8">
      <w:pPr>
        <w:pStyle w:val="FootnoteText"/>
      </w:pPr>
      <w:r w:rsidRPr="000E0626">
        <w:rPr>
          <w:rStyle w:val="FootnoteReference"/>
        </w:rPr>
        <w:footnoteRef/>
      </w:r>
      <w:r w:rsidRPr="000E0626">
        <w:t xml:space="preserve"> </w:t>
      </w:r>
      <w:r w:rsidRPr="000E0626">
        <w:rPr>
          <w:i/>
        </w:rPr>
        <w:t xml:space="preserve">As for administrative reform, we call for profound reformist change in all aspects of administration and government institutions, one that is based on efficiency and accountability and re-habilitating human resources which are the basic component of the administrative process </w:t>
      </w:r>
      <w:r w:rsidRPr="000E0626">
        <w:t>.(HM Speech from the Throne, 2004).</w:t>
      </w:r>
    </w:p>
  </w:footnote>
  <w:footnote w:id="14">
    <w:p w:rsidR="005A4068" w:rsidRPr="009D0B4E" w:rsidRDefault="005A4068">
      <w:pPr>
        <w:pStyle w:val="FootnoteText"/>
        <w:rPr>
          <w:lang w:val="en-US"/>
        </w:rPr>
      </w:pPr>
      <w:r>
        <w:rPr>
          <w:rStyle w:val="FootnoteReference"/>
        </w:rPr>
        <w:footnoteRef/>
      </w:r>
      <w:r>
        <w:t xml:space="preserve"> </w:t>
      </w:r>
      <w:r w:rsidRPr="000E0626">
        <w:t>UNDP Project Document, 2005</w:t>
      </w:r>
    </w:p>
  </w:footnote>
  <w:footnote w:id="15">
    <w:p w:rsidR="005A4068" w:rsidRPr="000E0626" w:rsidRDefault="005A4068" w:rsidP="009D0B4E">
      <w:pPr>
        <w:pStyle w:val="FootnoteText"/>
      </w:pPr>
      <w:r w:rsidRPr="000E0626">
        <w:rPr>
          <w:rStyle w:val="FootnoteReference"/>
        </w:rPr>
        <w:footnoteRef/>
      </w:r>
      <w:r w:rsidRPr="000E0626">
        <w:t xml:space="preserve"> IBIDEM.</w:t>
      </w:r>
    </w:p>
  </w:footnote>
  <w:footnote w:id="16">
    <w:p w:rsidR="005A4068" w:rsidRPr="009A46FE" w:rsidRDefault="005A4068">
      <w:pPr>
        <w:pStyle w:val="FootnoteText"/>
        <w:rPr>
          <w:lang w:val="en-US"/>
        </w:rPr>
      </w:pPr>
      <w:r>
        <w:rPr>
          <w:rStyle w:val="FootnoteReference"/>
        </w:rPr>
        <w:footnoteRef/>
      </w:r>
      <w:r>
        <w:t>UNDP Project Document, 2005.</w:t>
      </w:r>
    </w:p>
  </w:footnote>
  <w:footnote w:id="17">
    <w:p w:rsidR="005A4068" w:rsidRPr="00A546F7" w:rsidRDefault="005A4068">
      <w:pPr>
        <w:pStyle w:val="FootnoteText"/>
        <w:rPr>
          <w:lang w:val="en-US"/>
        </w:rPr>
      </w:pPr>
      <w:r>
        <w:rPr>
          <w:rStyle w:val="FootnoteReference"/>
        </w:rPr>
        <w:footnoteRef/>
      </w:r>
      <w:r>
        <w:t xml:space="preserve"> </w:t>
      </w:r>
      <w:r>
        <w:rPr>
          <w:lang w:val="en-US"/>
        </w:rPr>
        <w:t>To be carried out quarterly.</w:t>
      </w:r>
    </w:p>
  </w:footnote>
  <w:footnote w:id="18">
    <w:p w:rsidR="005A4068" w:rsidRPr="00954B87" w:rsidRDefault="005A4068">
      <w:pPr>
        <w:pStyle w:val="FootnoteText"/>
      </w:pPr>
      <w:r>
        <w:rPr>
          <w:rStyle w:val="FootnoteReference"/>
        </w:rPr>
        <w:footnoteRef/>
      </w:r>
      <w:r>
        <w:t xml:space="preserve"> The provision of PCs and printers was one of the Project outputs.</w:t>
      </w:r>
    </w:p>
  </w:footnote>
  <w:footnote w:id="19">
    <w:p w:rsidR="005A4068" w:rsidRPr="000E0626" w:rsidRDefault="005A4068" w:rsidP="00623A52">
      <w:pPr>
        <w:pStyle w:val="FootnoteText"/>
      </w:pPr>
      <w:r w:rsidRPr="000E0626">
        <w:rPr>
          <w:rStyle w:val="FootnoteReference"/>
        </w:rPr>
        <w:footnoteRef/>
      </w:r>
      <w:r w:rsidRPr="000E0626">
        <w:t xml:space="preserve"> IBIDEM.</w:t>
      </w:r>
    </w:p>
  </w:footnote>
  <w:footnote w:id="20">
    <w:p w:rsidR="005A4068" w:rsidRPr="000E0626" w:rsidRDefault="005A4068" w:rsidP="00C67DBD">
      <w:pPr>
        <w:pStyle w:val="FootnoteText"/>
      </w:pPr>
      <w:r w:rsidRPr="000E0626">
        <w:rPr>
          <w:rStyle w:val="FootnoteReference"/>
        </w:rPr>
        <w:footnoteRef/>
      </w:r>
      <w:r w:rsidRPr="000E0626">
        <w:t xml:space="preserve"> IBIDEM.</w:t>
      </w:r>
    </w:p>
  </w:footnote>
  <w:footnote w:id="21">
    <w:p w:rsidR="005A4068" w:rsidRPr="00882502" w:rsidRDefault="005A4068">
      <w:pPr>
        <w:pStyle w:val="FootnoteText"/>
        <w:rPr>
          <w:lang w:val="en-US"/>
        </w:rPr>
      </w:pPr>
      <w:r w:rsidRPr="003E5ED1">
        <w:rPr>
          <w:rStyle w:val="FootnoteReference"/>
        </w:rPr>
        <w:footnoteRef/>
      </w:r>
      <w:r w:rsidRPr="003E5ED1">
        <w:t xml:space="preserve"> </w:t>
      </w:r>
      <w:r w:rsidRPr="003E5ED1">
        <w:rPr>
          <w:lang w:val="en-US"/>
        </w:rPr>
        <w:t>IBIDEM.</w:t>
      </w:r>
    </w:p>
  </w:footnote>
  <w:footnote w:id="22">
    <w:p w:rsidR="005A4068" w:rsidRPr="00D70672" w:rsidRDefault="005A4068" w:rsidP="00A00A99">
      <w:pPr>
        <w:autoSpaceDE w:val="0"/>
        <w:autoSpaceDN w:val="0"/>
        <w:adjustRightInd w:val="0"/>
        <w:spacing w:before="0"/>
        <w:rPr>
          <w:rFonts w:ascii="Arial" w:hAnsi="Arial" w:cs="Arial"/>
          <w:sz w:val="18"/>
          <w:szCs w:val="18"/>
          <w:lang w:val="en-US"/>
        </w:rPr>
      </w:pPr>
      <w:r w:rsidRPr="006E47C4">
        <w:rPr>
          <w:rStyle w:val="FootnoteReference"/>
          <w:rFonts w:ascii="Arial" w:hAnsi="Arial" w:cs="Arial"/>
          <w:sz w:val="18"/>
          <w:szCs w:val="18"/>
        </w:rPr>
        <w:footnoteRef/>
      </w:r>
      <w:r w:rsidRPr="00D70672">
        <w:rPr>
          <w:rFonts w:cs="Times New Roman"/>
          <w:sz w:val="20"/>
          <w:szCs w:val="20"/>
          <w:lang w:val="en-US"/>
        </w:rPr>
        <w:t xml:space="preserve">See National Agenda 2006-2015. </w:t>
      </w:r>
      <w:r w:rsidRPr="00D70672">
        <w:rPr>
          <w:rFonts w:cs="Times New Roman"/>
          <w:sz w:val="20"/>
          <w:szCs w:val="20"/>
        </w:rPr>
        <w:t>The</w:t>
      </w:r>
      <w:r w:rsidRPr="00D70672">
        <w:rPr>
          <w:rFonts w:cs="Times New Roman"/>
          <w:sz w:val="20"/>
          <w:szCs w:val="20"/>
          <w:lang w:val="en-US"/>
        </w:rPr>
        <w:t xml:space="preserve"> Jordan we strive for  </w:t>
      </w:r>
      <w:hyperlink r:id="rId3" w:history="1">
        <w:r w:rsidRPr="00D70672">
          <w:rPr>
            <w:rStyle w:val="Hyperlink"/>
            <w:rFonts w:cs="Times New Roman"/>
            <w:sz w:val="20"/>
            <w:szCs w:val="20"/>
            <w:lang w:val="en-US"/>
          </w:rPr>
          <w:t>http://www.nationalagenda.jo/Portals/0/EnglishBooklet.pdf</w:t>
        </w:r>
      </w:hyperlink>
      <w:r w:rsidRPr="00D70672">
        <w:rPr>
          <w:rFonts w:cs="Times New Roman"/>
          <w:sz w:val="20"/>
          <w:szCs w:val="20"/>
          <w:lang w:val="en-US"/>
        </w:rPr>
        <w:t xml:space="preserve"> ). </w:t>
      </w:r>
    </w:p>
  </w:footnote>
  <w:footnote w:id="23">
    <w:p w:rsidR="005A4068" w:rsidRPr="00034D43" w:rsidRDefault="005A4068" w:rsidP="009228FD">
      <w:r w:rsidRPr="00D70672">
        <w:rPr>
          <w:rStyle w:val="FootnoteReference"/>
        </w:rPr>
        <w:footnoteRef/>
      </w:r>
      <w:r w:rsidRPr="00D70672">
        <w:t xml:space="preserve"> </w:t>
      </w:r>
      <w:r w:rsidRPr="00D70672">
        <w:rPr>
          <w:sz w:val="20"/>
          <w:szCs w:val="20"/>
        </w:rPr>
        <w:t>The two documents were subsequently combined into a three</w:t>
      </w:r>
      <w:r w:rsidRPr="009228FD">
        <w:rPr>
          <w:sz w:val="20"/>
          <w:szCs w:val="20"/>
        </w:rPr>
        <w:t>-year National Executive Programme (NEP) for 2007-2009 with specific goals, policies, programmes, projects, and indicators.</w:t>
      </w:r>
    </w:p>
    <w:p w:rsidR="005A4068" w:rsidRPr="009228FD" w:rsidRDefault="005A4068">
      <w:pPr>
        <w:pStyle w:val="FootnoteText"/>
      </w:pPr>
    </w:p>
  </w:footnote>
  <w:footnote w:id="24">
    <w:p w:rsidR="005A4068" w:rsidRPr="00520F31" w:rsidRDefault="005A4068">
      <w:pPr>
        <w:pStyle w:val="FootnoteText"/>
        <w:rPr>
          <w:lang w:val="en-US"/>
        </w:rPr>
      </w:pPr>
      <w:r>
        <w:rPr>
          <w:rStyle w:val="FootnoteReference"/>
        </w:rPr>
        <w:footnoteRef/>
      </w:r>
      <w:r>
        <w:t xml:space="preserve"> </w:t>
      </w:r>
      <w:r>
        <w:rPr>
          <w:lang w:val="en-US"/>
        </w:rPr>
        <w:t xml:space="preserve">UNDP Jordan Human Development Report, 2004. </w:t>
      </w:r>
    </w:p>
  </w:footnote>
  <w:footnote w:id="25">
    <w:p w:rsidR="005A4068" w:rsidRPr="000E0626" w:rsidRDefault="005A4068" w:rsidP="00EF724E">
      <w:pPr>
        <w:pStyle w:val="FootnoteText"/>
      </w:pPr>
      <w:r w:rsidRPr="00043612">
        <w:rPr>
          <w:rStyle w:val="FootnoteReference"/>
        </w:rPr>
        <w:footnoteRef/>
      </w:r>
      <w:r w:rsidRPr="00043612">
        <w:t xml:space="preserve"> IBIDEM.</w:t>
      </w:r>
    </w:p>
  </w:footnote>
  <w:footnote w:id="26">
    <w:p w:rsidR="005A4068" w:rsidRPr="000B18C7" w:rsidRDefault="005A4068">
      <w:pPr>
        <w:pStyle w:val="FootnoteText"/>
        <w:rPr>
          <w:lang w:val="en-US"/>
        </w:rPr>
      </w:pPr>
      <w:r>
        <w:rPr>
          <w:rStyle w:val="FootnoteReference"/>
        </w:rPr>
        <w:footnoteRef/>
      </w:r>
      <w:r>
        <w:t xml:space="preserve"> </w:t>
      </w:r>
      <w:r>
        <w:rPr>
          <w:lang w:val="en-US"/>
        </w:rPr>
        <w:t xml:space="preserve">Source of information: </w:t>
      </w:r>
      <w:proofErr w:type="spellStart"/>
      <w:r>
        <w:rPr>
          <w:lang w:val="en-US"/>
        </w:rPr>
        <w:t>MoPSD</w:t>
      </w:r>
      <w:proofErr w:type="spellEnd"/>
      <w:r>
        <w:rPr>
          <w:lang w:val="en-US"/>
        </w:rPr>
        <w:t>. During the interview no mention of the manuals was made</w:t>
      </w:r>
    </w:p>
  </w:footnote>
  <w:footnote w:id="27">
    <w:p w:rsidR="005A4068" w:rsidRPr="008700F2" w:rsidRDefault="005A4068">
      <w:pPr>
        <w:pStyle w:val="FootnoteText"/>
        <w:rPr>
          <w:lang w:val="en-US"/>
        </w:rPr>
      </w:pPr>
      <w:r>
        <w:rPr>
          <w:rStyle w:val="FootnoteReference"/>
        </w:rPr>
        <w:footnoteRef/>
      </w:r>
      <w:r>
        <w:t xml:space="preserve"> </w:t>
      </w:r>
      <w:r>
        <w:rPr>
          <w:lang w:val="en-US"/>
        </w:rPr>
        <w:t xml:space="preserve">Source: UNDP. The expenditure plan is to be found in </w:t>
      </w:r>
      <w:r w:rsidRPr="002463B5">
        <w:rPr>
          <w:highlight w:val="yellow"/>
          <w:lang w:val="en-US"/>
        </w:rPr>
        <w:t>Annex….</w:t>
      </w:r>
    </w:p>
  </w:footnote>
  <w:footnote w:id="28">
    <w:p w:rsidR="005A4068" w:rsidRPr="00185A60" w:rsidRDefault="005A4068" w:rsidP="00F938E2">
      <w:pPr>
        <w:autoSpaceDE w:val="0"/>
        <w:autoSpaceDN w:val="0"/>
        <w:adjustRightInd w:val="0"/>
        <w:rPr>
          <w:rFonts w:cs="Times New Roman"/>
          <w:sz w:val="16"/>
          <w:szCs w:val="16"/>
        </w:rPr>
      </w:pPr>
      <w:r>
        <w:rPr>
          <w:rStyle w:val="FootnoteReference"/>
        </w:rPr>
        <w:footnoteRef/>
      </w:r>
      <w:r>
        <w:t xml:space="preserve"> </w:t>
      </w:r>
      <w:r w:rsidRPr="000B18C7">
        <w:rPr>
          <w:sz w:val="18"/>
          <w:szCs w:val="18"/>
          <w:lang w:val="en-US"/>
        </w:rPr>
        <w:t xml:space="preserve">See </w:t>
      </w:r>
      <w:r w:rsidRPr="000B18C7">
        <w:rPr>
          <w:rFonts w:cs="Times New Roman"/>
          <w:i/>
          <w:sz w:val="18"/>
          <w:szCs w:val="18"/>
          <w:lang w:val="en-US"/>
        </w:rPr>
        <w:t xml:space="preserve">European Commission - Reforming Technical Cooperation and Project Implementation Units for External Aid provided by the European Commission - A  Backbone Strategy – </w:t>
      </w:r>
      <w:proofErr w:type="spellStart"/>
      <w:r w:rsidRPr="000B18C7">
        <w:rPr>
          <w:rFonts w:cs="Times New Roman"/>
          <w:i/>
          <w:sz w:val="18"/>
          <w:szCs w:val="18"/>
          <w:lang w:val="en-US"/>
        </w:rPr>
        <w:t>Bruxelles</w:t>
      </w:r>
      <w:proofErr w:type="spellEnd"/>
      <w:r w:rsidRPr="000B18C7">
        <w:rPr>
          <w:rFonts w:cs="Times New Roman"/>
          <w:i/>
          <w:sz w:val="18"/>
          <w:szCs w:val="18"/>
          <w:lang w:val="en-US"/>
        </w:rPr>
        <w:t>, July 2008</w:t>
      </w:r>
      <w:r>
        <w:rPr>
          <w:rFonts w:cs="Times New Roman"/>
          <w:i/>
          <w:sz w:val="18"/>
          <w:szCs w:val="18"/>
          <w:lang w:val="en-US"/>
        </w:rPr>
        <w:t>.</w:t>
      </w:r>
    </w:p>
    <w:p w:rsidR="005A4068" w:rsidRPr="00F938E2" w:rsidRDefault="005A406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47C44C5"/>
    <w:multiLevelType w:val="hybridMultilevel"/>
    <w:tmpl w:val="FB741D32"/>
    <w:lvl w:ilvl="0" w:tplc="658AD31C">
      <w:start w:val="1"/>
      <w:numFmt w:val="lowerLetter"/>
      <w:lvlText w:val="%1."/>
      <w:lvlJc w:val="left"/>
      <w:pPr>
        <w:ind w:left="720" w:hanging="360"/>
      </w:pPr>
      <w:rPr>
        <w:rFonts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0E00"/>
    <w:multiLevelType w:val="hybridMultilevel"/>
    <w:tmpl w:val="A09893A6"/>
    <w:lvl w:ilvl="0" w:tplc="3B7C55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E2263"/>
    <w:multiLevelType w:val="hybridMultilevel"/>
    <w:tmpl w:val="AB1CF712"/>
    <w:name w:val="4.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11CF6658"/>
    <w:multiLevelType w:val="hybridMultilevel"/>
    <w:tmpl w:val="1F882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74B8A"/>
    <w:multiLevelType w:val="hybridMultilevel"/>
    <w:tmpl w:val="859ADB94"/>
    <w:lvl w:ilvl="0" w:tplc="19F657F8">
      <w:start w:val="1"/>
      <w:numFmt w:val="lowerLetter"/>
      <w:lvlText w:val="%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937BF"/>
    <w:multiLevelType w:val="hybridMultilevel"/>
    <w:tmpl w:val="A992B60C"/>
    <w:lvl w:ilvl="0" w:tplc="692A082C">
      <w:start w:val="1"/>
      <w:numFmt w:val="bullet"/>
      <w:lvlText w:val="–"/>
      <w:lvlJc w:val="left"/>
      <w:pPr>
        <w:tabs>
          <w:tab w:val="num" w:pos="720"/>
        </w:tabs>
        <w:ind w:left="720" w:hanging="360"/>
      </w:pPr>
      <w:rPr>
        <w:rFonts w:ascii="Simplified Arabic" w:hAnsi="Simplified Arabic" w:hint="default"/>
      </w:rPr>
    </w:lvl>
    <w:lvl w:ilvl="1" w:tplc="F37470B0">
      <w:start w:val="1"/>
      <w:numFmt w:val="bullet"/>
      <w:lvlText w:val="–"/>
      <w:lvlJc w:val="left"/>
      <w:pPr>
        <w:tabs>
          <w:tab w:val="num" w:pos="1440"/>
        </w:tabs>
        <w:ind w:left="1440" w:hanging="360"/>
      </w:pPr>
      <w:rPr>
        <w:rFonts w:ascii="Simplified Arabic" w:hAnsi="Simplified Arabic" w:hint="default"/>
      </w:rPr>
    </w:lvl>
    <w:lvl w:ilvl="2" w:tplc="8AE86F86" w:tentative="1">
      <w:start w:val="1"/>
      <w:numFmt w:val="bullet"/>
      <w:lvlText w:val="–"/>
      <w:lvlJc w:val="left"/>
      <w:pPr>
        <w:tabs>
          <w:tab w:val="num" w:pos="2160"/>
        </w:tabs>
        <w:ind w:left="2160" w:hanging="360"/>
      </w:pPr>
      <w:rPr>
        <w:rFonts w:ascii="Simplified Arabic" w:hAnsi="Simplified Arabic" w:hint="default"/>
      </w:rPr>
    </w:lvl>
    <w:lvl w:ilvl="3" w:tplc="F1B08764" w:tentative="1">
      <w:start w:val="1"/>
      <w:numFmt w:val="bullet"/>
      <w:lvlText w:val="–"/>
      <w:lvlJc w:val="left"/>
      <w:pPr>
        <w:tabs>
          <w:tab w:val="num" w:pos="2880"/>
        </w:tabs>
        <w:ind w:left="2880" w:hanging="360"/>
      </w:pPr>
      <w:rPr>
        <w:rFonts w:ascii="Simplified Arabic" w:hAnsi="Simplified Arabic" w:hint="default"/>
      </w:rPr>
    </w:lvl>
    <w:lvl w:ilvl="4" w:tplc="83ACE022" w:tentative="1">
      <w:start w:val="1"/>
      <w:numFmt w:val="bullet"/>
      <w:lvlText w:val="–"/>
      <w:lvlJc w:val="left"/>
      <w:pPr>
        <w:tabs>
          <w:tab w:val="num" w:pos="3600"/>
        </w:tabs>
        <w:ind w:left="3600" w:hanging="360"/>
      </w:pPr>
      <w:rPr>
        <w:rFonts w:ascii="Simplified Arabic" w:hAnsi="Simplified Arabic" w:hint="default"/>
      </w:rPr>
    </w:lvl>
    <w:lvl w:ilvl="5" w:tplc="F8A0CFCA" w:tentative="1">
      <w:start w:val="1"/>
      <w:numFmt w:val="bullet"/>
      <w:lvlText w:val="–"/>
      <w:lvlJc w:val="left"/>
      <w:pPr>
        <w:tabs>
          <w:tab w:val="num" w:pos="4320"/>
        </w:tabs>
        <w:ind w:left="4320" w:hanging="360"/>
      </w:pPr>
      <w:rPr>
        <w:rFonts w:ascii="Simplified Arabic" w:hAnsi="Simplified Arabic" w:hint="default"/>
      </w:rPr>
    </w:lvl>
    <w:lvl w:ilvl="6" w:tplc="0B9E1FAA" w:tentative="1">
      <w:start w:val="1"/>
      <w:numFmt w:val="bullet"/>
      <w:lvlText w:val="–"/>
      <w:lvlJc w:val="left"/>
      <w:pPr>
        <w:tabs>
          <w:tab w:val="num" w:pos="5040"/>
        </w:tabs>
        <w:ind w:left="5040" w:hanging="360"/>
      </w:pPr>
      <w:rPr>
        <w:rFonts w:ascii="Simplified Arabic" w:hAnsi="Simplified Arabic" w:hint="default"/>
      </w:rPr>
    </w:lvl>
    <w:lvl w:ilvl="7" w:tplc="37A6678E" w:tentative="1">
      <w:start w:val="1"/>
      <w:numFmt w:val="bullet"/>
      <w:lvlText w:val="–"/>
      <w:lvlJc w:val="left"/>
      <w:pPr>
        <w:tabs>
          <w:tab w:val="num" w:pos="5760"/>
        </w:tabs>
        <w:ind w:left="5760" w:hanging="360"/>
      </w:pPr>
      <w:rPr>
        <w:rFonts w:ascii="Simplified Arabic" w:hAnsi="Simplified Arabic" w:hint="default"/>
      </w:rPr>
    </w:lvl>
    <w:lvl w:ilvl="8" w:tplc="4B5A15B2" w:tentative="1">
      <w:start w:val="1"/>
      <w:numFmt w:val="bullet"/>
      <w:lvlText w:val="–"/>
      <w:lvlJc w:val="left"/>
      <w:pPr>
        <w:tabs>
          <w:tab w:val="num" w:pos="6480"/>
        </w:tabs>
        <w:ind w:left="6480" w:hanging="360"/>
      </w:pPr>
      <w:rPr>
        <w:rFonts w:ascii="Simplified Arabic" w:hAnsi="Simplified Arabic" w:hint="default"/>
      </w:rPr>
    </w:lvl>
  </w:abstractNum>
  <w:abstractNum w:abstractNumId="6">
    <w:nsid w:val="164A4703"/>
    <w:multiLevelType w:val="hybridMultilevel"/>
    <w:tmpl w:val="21CC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60F18"/>
    <w:multiLevelType w:val="singleLevel"/>
    <w:tmpl w:val="7E726526"/>
    <w:lvl w:ilvl="0">
      <w:numFmt w:val="none"/>
      <w:lvlText w:val="-"/>
      <w:legacy w:legacy="1" w:legacySpace="120" w:legacyIndent="360"/>
      <w:lvlJc w:val="left"/>
      <w:pPr>
        <w:ind w:left="720" w:hanging="360"/>
      </w:pPr>
    </w:lvl>
  </w:abstractNum>
  <w:abstractNum w:abstractNumId="8">
    <w:nsid w:val="21D65632"/>
    <w:multiLevelType w:val="singleLevel"/>
    <w:tmpl w:val="7E726526"/>
    <w:lvl w:ilvl="0">
      <w:numFmt w:val="none"/>
      <w:lvlText w:val="-"/>
      <w:legacy w:legacy="1" w:legacySpace="120" w:legacyIndent="360"/>
      <w:lvlJc w:val="left"/>
      <w:pPr>
        <w:ind w:left="720" w:hanging="360"/>
      </w:pPr>
    </w:lvl>
  </w:abstractNum>
  <w:abstractNum w:abstractNumId="9">
    <w:nsid w:val="234844BC"/>
    <w:multiLevelType w:val="multilevel"/>
    <w:tmpl w:val="42D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7127A"/>
    <w:multiLevelType w:val="hybridMultilevel"/>
    <w:tmpl w:val="3374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A189C"/>
    <w:multiLevelType w:val="hybridMultilevel"/>
    <w:tmpl w:val="B0C872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6561C"/>
    <w:multiLevelType w:val="singleLevel"/>
    <w:tmpl w:val="82A2EE70"/>
    <w:lvl w:ilvl="0">
      <w:start w:val="1"/>
      <w:numFmt w:val="decimal"/>
      <w:lvlText w:val="%1)"/>
      <w:legacy w:legacy="1" w:legacySpace="120" w:legacyIndent="372"/>
      <w:lvlJc w:val="left"/>
      <w:pPr>
        <w:ind w:left="732" w:hanging="372"/>
      </w:pPr>
    </w:lvl>
  </w:abstractNum>
  <w:abstractNum w:abstractNumId="13">
    <w:nsid w:val="2B52346F"/>
    <w:multiLevelType w:val="singleLevel"/>
    <w:tmpl w:val="811CB4C2"/>
    <w:lvl w:ilvl="0">
      <w:start w:val="1"/>
      <w:numFmt w:val="lowerRoman"/>
      <w:lvlText w:val="%1."/>
      <w:legacy w:legacy="1" w:legacySpace="120" w:legacyIndent="360"/>
      <w:lvlJc w:val="left"/>
      <w:pPr>
        <w:ind w:left="1440" w:hanging="360"/>
      </w:pPr>
    </w:lvl>
  </w:abstractNum>
  <w:abstractNum w:abstractNumId="14">
    <w:nsid w:val="317A4897"/>
    <w:multiLevelType w:val="hybridMultilevel"/>
    <w:tmpl w:val="14209088"/>
    <w:lvl w:ilvl="0" w:tplc="C3A2B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55BCF"/>
    <w:multiLevelType w:val="hybridMultilevel"/>
    <w:tmpl w:val="CA500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545B3"/>
    <w:multiLevelType w:val="hybridMultilevel"/>
    <w:tmpl w:val="43B84EFE"/>
    <w:lvl w:ilvl="0" w:tplc="159C7F9E">
      <w:start w:val="3"/>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25F1D"/>
    <w:multiLevelType w:val="singleLevel"/>
    <w:tmpl w:val="7E726526"/>
    <w:lvl w:ilvl="0">
      <w:numFmt w:val="none"/>
      <w:lvlText w:val="-"/>
      <w:legacy w:legacy="1" w:legacySpace="120" w:legacyIndent="360"/>
      <w:lvlJc w:val="left"/>
      <w:pPr>
        <w:ind w:left="720" w:hanging="360"/>
      </w:pPr>
    </w:lvl>
  </w:abstractNum>
  <w:abstractNum w:abstractNumId="18">
    <w:nsid w:val="38210BB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96E6742"/>
    <w:multiLevelType w:val="singleLevel"/>
    <w:tmpl w:val="811CB4C2"/>
    <w:lvl w:ilvl="0">
      <w:start w:val="1"/>
      <w:numFmt w:val="lowerRoman"/>
      <w:lvlText w:val="%1."/>
      <w:legacy w:legacy="1" w:legacySpace="120" w:legacyIndent="360"/>
      <w:lvlJc w:val="left"/>
      <w:pPr>
        <w:ind w:left="1440" w:hanging="360"/>
      </w:pPr>
    </w:lvl>
  </w:abstractNum>
  <w:abstractNum w:abstractNumId="20">
    <w:nsid w:val="3EED3D04"/>
    <w:multiLevelType w:val="hybridMultilevel"/>
    <w:tmpl w:val="3374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27FE9"/>
    <w:multiLevelType w:val="multilevel"/>
    <w:tmpl w:val="BC0E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A6D7C"/>
    <w:multiLevelType w:val="singleLevel"/>
    <w:tmpl w:val="7E726526"/>
    <w:lvl w:ilvl="0">
      <w:numFmt w:val="none"/>
      <w:lvlText w:val="-"/>
      <w:legacy w:legacy="1" w:legacySpace="120" w:legacyIndent="360"/>
      <w:lvlJc w:val="left"/>
      <w:pPr>
        <w:ind w:left="720" w:hanging="360"/>
      </w:pPr>
    </w:lvl>
  </w:abstractNum>
  <w:abstractNum w:abstractNumId="23">
    <w:nsid w:val="516F47EB"/>
    <w:multiLevelType w:val="singleLevel"/>
    <w:tmpl w:val="82A2EE70"/>
    <w:lvl w:ilvl="0">
      <w:start w:val="1"/>
      <w:numFmt w:val="decimal"/>
      <w:lvlText w:val="%1)"/>
      <w:legacy w:legacy="1" w:legacySpace="120" w:legacyIndent="372"/>
      <w:lvlJc w:val="left"/>
      <w:pPr>
        <w:ind w:left="732" w:hanging="372"/>
      </w:pPr>
    </w:lvl>
  </w:abstractNum>
  <w:abstractNum w:abstractNumId="24">
    <w:nsid w:val="539257FA"/>
    <w:multiLevelType w:val="hybridMultilevel"/>
    <w:tmpl w:val="C48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9208B"/>
    <w:multiLevelType w:val="hybridMultilevel"/>
    <w:tmpl w:val="958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D58A8"/>
    <w:multiLevelType w:val="hybridMultilevel"/>
    <w:tmpl w:val="E6ACFBAE"/>
    <w:lvl w:ilvl="0" w:tplc="3B7C55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504CE"/>
    <w:multiLevelType w:val="multilevel"/>
    <w:tmpl w:val="7ADE2C36"/>
    <w:lvl w:ilvl="0">
      <w:start w:val="1"/>
      <w:numFmt w:val="decimal"/>
      <w:lvlText w:val="%1)"/>
      <w:legacy w:legacy="1" w:legacySpace="120" w:legacyIndent="372"/>
      <w:lvlJc w:val="left"/>
      <w:pPr>
        <w:tabs>
          <w:tab w:val="num" w:pos="720"/>
        </w:tabs>
        <w:ind w:left="720" w:hanging="360"/>
      </w:pPr>
      <w:rPr>
        <w:rFonts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347792"/>
    <w:multiLevelType w:val="hybridMultilevel"/>
    <w:tmpl w:val="5ED81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33CD8"/>
    <w:multiLevelType w:val="hybridMultilevel"/>
    <w:tmpl w:val="B712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A1C47"/>
    <w:multiLevelType w:val="hybridMultilevel"/>
    <w:tmpl w:val="0C8CB9DA"/>
    <w:lvl w:ilvl="0" w:tplc="90AEDBA0">
      <w:start w:val="1"/>
      <w:numFmt w:val="bullet"/>
      <w:lvlText w:val="-"/>
      <w:lvlJc w:val="left"/>
      <w:pPr>
        <w:ind w:left="522" w:hanging="360"/>
      </w:pPr>
      <w:rPr>
        <w:rFonts w:ascii="Eras Medium ITC" w:hAnsi="Eras Medium ITC" w:hint="default"/>
      </w:rPr>
    </w:lvl>
    <w:lvl w:ilvl="1" w:tplc="04090003" w:tentative="1">
      <w:start w:val="1"/>
      <w:numFmt w:val="bullet"/>
      <w:lvlText w:val="o"/>
      <w:lvlJc w:val="left"/>
      <w:pPr>
        <w:ind w:left="1242" w:hanging="360"/>
      </w:pPr>
      <w:rPr>
        <w:rFonts w:ascii="Courier New" w:hAnsi="Courier New" w:cs="Eras Medium ITC"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Eras Medium ITC"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Eras Medium ITC" w:hint="default"/>
      </w:rPr>
    </w:lvl>
    <w:lvl w:ilvl="8" w:tplc="04090005" w:tentative="1">
      <w:start w:val="1"/>
      <w:numFmt w:val="bullet"/>
      <w:lvlText w:val=""/>
      <w:lvlJc w:val="left"/>
      <w:pPr>
        <w:ind w:left="6282" w:hanging="360"/>
      </w:pPr>
      <w:rPr>
        <w:rFonts w:ascii="Wingdings" w:hAnsi="Wingdings" w:hint="default"/>
      </w:rPr>
    </w:lvl>
  </w:abstractNum>
  <w:abstractNum w:abstractNumId="31">
    <w:nsid w:val="719062A7"/>
    <w:multiLevelType w:val="hybridMultilevel"/>
    <w:tmpl w:val="C49E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A3EE9"/>
    <w:multiLevelType w:val="singleLevel"/>
    <w:tmpl w:val="82A2EE70"/>
    <w:lvl w:ilvl="0">
      <w:start w:val="1"/>
      <w:numFmt w:val="decimal"/>
      <w:lvlText w:val="%1)"/>
      <w:legacy w:legacy="1" w:legacySpace="120" w:legacyIndent="372"/>
      <w:lvlJc w:val="left"/>
      <w:pPr>
        <w:ind w:left="732" w:hanging="372"/>
      </w:pPr>
    </w:lvl>
  </w:abstractNum>
  <w:abstractNum w:abstractNumId="33">
    <w:nsid w:val="72D65931"/>
    <w:multiLevelType w:val="singleLevel"/>
    <w:tmpl w:val="7E726526"/>
    <w:lvl w:ilvl="0">
      <w:numFmt w:val="none"/>
      <w:lvlText w:val="-"/>
      <w:legacy w:legacy="1" w:legacySpace="120" w:legacyIndent="360"/>
      <w:lvlJc w:val="left"/>
      <w:pPr>
        <w:ind w:left="720" w:hanging="360"/>
      </w:pPr>
    </w:lvl>
  </w:abstractNum>
  <w:abstractNum w:abstractNumId="34">
    <w:nsid w:val="781E6A43"/>
    <w:multiLevelType w:val="hybridMultilevel"/>
    <w:tmpl w:val="BAE2F198"/>
    <w:lvl w:ilvl="0" w:tplc="90AEDBA0">
      <w:start w:val="1"/>
      <w:numFmt w:val="bullet"/>
      <w:lvlText w:val="-"/>
      <w:lvlJc w:val="left"/>
      <w:pPr>
        <w:ind w:left="720" w:hanging="360"/>
      </w:pPr>
      <w:rPr>
        <w:rFonts w:ascii="Eras Medium ITC" w:hAnsi="Eras Medium ITC" w:hint="default"/>
      </w:rPr>
    </w:lvl>
    <w:lvl w:ilvl="1" w:tplc="04090003">
      <w:start w:val="1"/>
      <w:numFmt w:val="bullet"/>
      <w:lvlText w:val="o"/>
      <w:lvlJc w:val="left"/>
      <w:pPr>
        <w:ind w:left="1440" w:hanging="360"/>
      </w:pPr>
      <w:rPr>
        <w:rFonts w:ascii="Courier New" w:hAnsi="Courier New" w:cs="Eras Medium IT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Eras Medium IT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Eras Medium ITC"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00571"/>
    <w:multiLevelType w:val="hybridMultilevel"/>
    <w:tmpl w:val="8BF4A35E"/>
    <w:lvl w:ilvl="0" w:tplc="629C7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EA1CFD"/>
    <w:multiLevelType w:val="hybridMultilevel"/>
    <w:tmpl w:val="8FB47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AD3B53"/>
    <w:multiLevelType w:val="hybridMultilevel"/>
    <w:tmpl w:val="2404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902C35"/>
    <w:multiLevelType w:val="singleLevel"/>
    <w:tmpl w:val="82A2EE70"/>
    <w:lvl w:ilvl="0">
      <w:start w:val="1"/>
      <w:numFmt w:val="decimal"/>
      <w:lvlText w:val="%1)"/>
      <w:legacy w:legacy="1" w:legacySpace="120" w:legacyIndent="372"/>
      <w:lvlJc w:val="left"/>
      <w:pPr>
        <w:ind w:left="732" w:hanging="372"/>
      </w:pPr>
    </w:lvl>
  </w:abstractNum>
  <w:num w:numId="1">
    <w:abstractNumId w:val="34"/>
  </w:num>
  <w:num w:numId="2">
    <w:abstractNumId w:val="30"/>
  </w:num>
  <w:num w:numId="3">
    <w:abstractNumId w:val="1"/>
  </w:num>
  <w:num w:numId="4">
    <w:abstractNumId w:val="26"/>
  </w:num>
  <w:num w:numId="5">
    <w:abstractNumId w:val="18"/>
  </w:num>
  <w:num w:numId="6">
    <w:abstractNumId w:val="12"/>
  </w:num>
  <w:num w:numId="7">
    <w:abstractNumId w:val="7"/>
  </w:num>
  <w:num w:numId="8">
    <w:abstractNumId w:val="33"/>
  </w:num>
  <w:num w:numId="9">
    <w:abstractNumId w:val="22"/>
  </w:num>
  <w:num w:numId="10">
    <w:abstractNumId w:val="8"/>
  </w:num>
  <w:num w:numId="11">
    <w:abstractNumId w:val="17"/>
  </w:num>
  <w:num w:numId="12">
    <w:abstractNumId w:val="25"/>
  </w:num>
  <w:num w:numId="13">
    <w:abstractNumId w:val="38"/>
  </w:num>
  <w:num w:numId="14">
    <w:abstractNumId w:val="19"/>
  </w:num>
  <w:num w:numId="15">
    <w:abstractNumId w:val="31"/>
  </w:num>
  <w:num w:numId="16">
    <w:abstractNumId w:val="13"/>
  </w:num>
  <w:num w:numId="17">
    <w:abstractNumId w:val="23"/>
  </w:num>
  <w:num w:numId="18">
    <w:abstractNumId w:val="0"/>
  </w:num>
  <w:num w:numId="19">
    <w:abstractNumId w:val="10"/>
  </w:num>
  <w:num w:numId="20">
    <w:abstractNumId w:val="35"/>
  </w:num>
  <w:num w:numId="21">
    <w:abstractNumId w:val="11"/>
  </w:num>
  <w:num w:numId="22">
    <w:abstractNumId w:val="4"/>
  </w:num>
  <w:num w:numId="23">
    <w:abstractNumId w:val="14"/>
  </w:num>
  <w:num w:numId="24">
    <w:abstractNumId w:val="28"/>
  </w:num>
  <w:num w:numId="25">
    <w:abstractNumId w:val="3"/>
  </w:num>
  <w:num w:numId="26">
    <w:abstractNumId w:val="6"/>
  </w:num>
  <w:num w:numId="27">
    <w:abstractNumId w:val="15"/>
  </w:num>
  <w:num w:numId="28">
    <w:abstractNumId w:val="5"/>
  </w:num>
  <w:num w:numId="29">
    <w:abstractNumId w:val="21"/>
  </w:num>
  <w:num w:numId="30">
    <w:abstractNumId w:val="32"/>
  </w:num>
  <w:num w:numId="31">
    <w:abstractNumId w:val="27"/>
  </w:num>
  <w:num w:numId="32">
    <w:abstractNumId w:val="20"/>
  </w:num>
  <w:num w:numId="33">
    <w:abstractNumId w:val="9"/>
  </w:num>
  <w:num w:numId="34">
    <w:abstractNumId w:val="36"/>
  </w:num>
  <w:num w:numId="35">
    <w:abstractNumId w:val="29"/>
  </w:num>
  <w:num w:numId="36">
    <w:abstractNumId w:val="37"/>
  </w:num>
  <w:num w:numId="37">
    <w:abstractNumId w:val="24"/>
  </w:num>
  <w:num w:numId="3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CC"/>
    <w:rsid w:val="00001D0F"/>
    <w:rsid w:val="000047D4"/>
    <w:rsid w:val="00010D34"/>
    <w:rsid w:val="00013D0B"/>
    <w:rsid w:val="00030ED6"/>
    <w:rsid w:val="000332D8"/>
    <w:rsid w:val="000350B5"/>
    <w:rsid w:val="000368D4"/>
    <w:rsid w:val="00043612"/>
    <w:rsid w:val="00046B35"/>
    <w:rsid w:val="00051DF6"/>
    <w:rsid w:val="00051F5B"/>
    <w:rsid w:val="0005484D"/>
    <w:rsid w:val="00060BA5"/>
    <w:rsid w:val="000660DA"/>
    <w:rsid w:val="00076812"/>
    <w:rsid w:val="000771FB"/>
    <w:rsid w:val="0008691F"/>
    <w:rsid w:val="00093C36"/>
    <w:rsid w:val="00094BE3"/>
    <w:rsid w:val="00096C64"/>
    <w:rsid w:val="000A5947"/>
    <w:rsid w:val="000B1431"/>
    <w:rsid w:val="000B18C7"/>
    <w:rsid w:val="000C19E8"/>
    <w:rsid w:val="000D61CE"/>
    <w:rsid w:val="000E0626"/>
    <w:rsid w:val="000F4023"/>
    <w:rsid w:val="00100AF5"/>
    <w:rsid w:val="00102D85"/>
    <w:rsid w:val="00103E1C"/>
    <w:rsid w:val="00104110"/>
    <w:rsid w:val="00106C0D"/>
    <w:rsid w:val="001110A3"/>
    <w:rsid w:val="00136EE9"/>
    <w:rsid w:val="001405E6"/>
    <w:rsid w:val="001427AB"/>
    <w:rsid w:val="00154E39"/>
    <w:rsid w:val="00157FFE"/>
    <w:rsid w:val="0016294C"/>
    <w:rsid w:val="00171B04"/>
    <w:rsid w:val="00174DF7"/>
    <w:rsid w:val="001766EF"/>
    <w:rsid w:val="00180183"/>
    <w:rsid w:val="00184ABA"/>
    <w:rsid w:val="001948CF"/>
    <w:rsid w:val="001B630D"/>
    <w:rsid w:val="001D08E0"/>
    <w:rsid w:val="001D1AFE"/>
    <w:rsid w:val="001F1E2F"/>
    <w:rsid w:val="002030FE"/>
    <w:rsid w:val="002041CC"/>
    <w:rsid w:val="00216241"/>
    <w:rsid w:val="00216820"/>
    <w:rsid w:val="002179C2"/>
    <w:rsid w:val="00221FC3"/>
    <w:rsid w:val="002267CF"/>
    <w:rsid w:val="00233421"/>
    <w:rsid w:val="00234402"/>
    <w:rsid w:val="00244B45"/>
    <w:rsid w:val="002463B5"/>
    <w:rsid w:val="0025498F"/>
    <w:rsid w:val="00256994"/>
    <w:rsid w:val="0026450A"/>
    <w:rsid w:val="002726A7"/>
    <w:rsid w:val="002730EC"/>
    <w:rsid w:val="00276FDC"/>
    <w:rsid w:val="00282D27"/>
    <w:rsid w:val="00290B2F"/>
    <w:rsid w:val="002967EA"/>
    <w:rsid w:val="002A2C01"/>
    <w:rsid w:val="002A61C8"/>
    <w:rsid w:val="0030156D"/>
    <w:rsid w:val="003119D2"/>
    <w:rsid w:val="00311E50"/>
    <w:rsid w:val="003130AA"/>
    <w:rsid w:val="00313C8E"/>
    <w:rsid w:val="00323DD3"/>
    <w:rsid w:val="0033212D"/>
    <w:rsid w:val="00337E8A"/>
    <w:rsid w:val="00343CBC"/>
    <w:rsid w:val="003667AD"/>
    <w:rsid w:val="00372C40"/>
    <w:rsid w:val="00376045"/>
    <w:rsid w:val="00380F56"/>
    <w:rsid w:val="00387467"/>
    <w:rsid w:val="00391A9F"/>
    <w:rsid w:val="003A320D"/>
    <w:rsid w:val="003A5F8B"/>
    <w:rsid w:val="003C1366"/>
    <w:rsid w:val="003C2C4D"/>
    <w:rsid w:val="003E5ED1"/>
    <w:rsid w:val="003E7D69"/>
    <w:rsid w:val="003F363E"/>
    <w:rsid w:val="004047B4"/>
    <w:rsid w:val="00407C1C"/>
    <w:rsid w:val="00407F52"/>
    <w:rsid w:val="00425BEB"/>
    <w:rsid w:val="00430043"/>
    <w:rsid w:val="00441D5D"/>
    <w:rsid w:val="00442731"/>
    <w:rsid w:val="00443A39"/>
    <w:rsid w:val="00445839"/>
    <w:rsid w:val="00470BD4"/>
    <w:rsid w:val="004732E6"/>
    <w:rsid w:val="0047509B"/>
    <w:rsid w:val="00480687"/>
    <w:rsid w:val="004806E2"/>
    <w:rsid w:val="004811E7"/>
    <w:rsid w:val="004821D1"/>
    <w:rsid w:val="00484EB9"/>
    <w:rsid w:val="004926F3"/>
    <w:rsid w:val="004944E6"/>
    <w:rsid w:val="00496421"/>
    <w:rsid w:val="00496B3D"/>
    <w:rsid w:val="004A2127"/>
    <w:rsid w:val="004B5B52"/>
    <w:rsid w:val="004B66DC"/>
    <w:rsid w:val="004C6AFF"/>
    <w:rsid w:val="004D10B2"/>
    <w:rsid w:val="004D60A7"/>
    <w:rsid w:val="004E1062"/>
    <w:rsid w:val="004E6BE2"/>
    <w:rsid w:val="004F4D81"/>
    <w:rsid w:val="004F77B9"/>
    <w:rsid w:val="005024A2"/>
    <w:rsid w:val="005074D9"/>
    <w:rsid w:val="0051089E"/>
    <w:rsid w:val="00520F31"/>
    <w:rsid w:val="00541980"/>
    <w:rsid w:val="00543117"/>
    <w:rsid w:val="00545724"/>
    <w:rsid w:val="00571098"/>
    <w:rsid w:val="0057317C"/>
    <w:rsid w:val="00581911"/>
    <w:rsid w:val="0058512D"/>
    <w:rsid w:val="005854A8"/>
    <w:rsid w:val="00597D28"/>
    <w:rsid w:val="005A0F65"/>
    <w:rsid w:val="005A4068"/>
    <w:rsid w:val="005A4B4A"/>
    <w:rsid w:val="005B40CC"/>
    <w:rsid w:val="005B6857"/>
    <w:rsid w:val="005C7D79"/>
    <w:rsid w:val="005E770C"/>
    <w:rsid w:val="005F602F"/>
    <w:rsid w:val="005F66EA"/>
    <w:rsid w:val="005F6F06"/>
    <w:rsid w:val="005F75D7"/>
    <w:rsid w:val="00600778"/>
    <w:rsid w:val="00604B5F"/>
    <w:rsid w:val="006064FA"/>
    <w:rsid w:val="00623A52"/>
    <w:rsid w:val="0063122C"/>
    <w:rsid w:val="00634D4E"/>
    <w:rsid w:val="006372E0"/>
    <w:rsid w:val="006429E4"/>
    <w:rsid w:val="00642E60"/>
    <w:rsid w:val="00646876"/>
    <w:rsid w:val="0065489E"/>
    <w:rsid w:val="00657540"/>
    <w:rsid w:val="00664232"/>
    <w:rsid w:val="00665D37"/>
    <w:rsid w:val="0067541B"/>
    <w:rsid w:val="00677A3F"/>
    <w:rsid w:val="0068189A"/>
    <w:rsid w:val="00694CCD"/>
    <w:rsid w:val="006A0571"/>
    <w:rsid w:val="006B4144"/>
    <w:rsid w:val="006B7699"/>
    <w:rsid w:val="006C2776"/>
    <w:rsid w:val="006C6583"/>
    <w:rsid w:val="006C68E7"/>
    <w:rsid w:val="006D78DC"/>
    <w:rsid w:val="006F5130"/>
    <w:rsid w:val="0071260B"/>
    <w:rsid w:val="00724B10"/>
    <w:rsid w:val="00727DB2"/>
    <w:rsid w:val="00727F07"/>
    <w:rsid w:val="007342D5"/>
    <w:rsid w:val="00772DD4"/>
    <w:rsid w:val="00773010"/>
    <w:rsid w:val="00780CA5"/>
    <w:rsid w:val="00793B41"/>
    <w:rsid w:val="007A5243"/>
    <w:rsid w:val="007A6481"/>
    <w:rsid w:val="007B0C83"/>
    <w:rsid w:val="007B2B21"/>
    <w:rsid w:val="007B3B4E"/>
    <w:rsid w:val="007B78C8"/>
    <w:rsid w:val="007B7B5B"/>
    <w:rsid w:val="007C4033"/>
    <w:rsid w:val="007C72FA"/>
    <w:rsid w:val="007C7C07"/>
    <w:rsid w:val="007E3A5B"/>
    <w:rsid w:val="007E4B56"/>
    <w:rsid w:val="007E740B"/>
    <w:rsid w:val="007F18E9"/>
    <w:rsid w:val="007F31A4"/>
    <w:rsid w:val="007F7DD5"/>
    <w:rsid w:val="00825F9F"/>
    <w:rsid w:val="0084213C"/>
    <w:rsid w:val="00843683"/>
    <w:rsid w:val="0084684A"/>
    <w:rsid w:val="00847B4C"/>
    <w:rsid w:val="00850F46"/>
    <w:rsid w:val="00857353"/>
    <w:rsid w:val="008619E2"/>
    <w:rsid w:val="00863DB2"/>
    <w:rsid w:val="008700F2"/>
    <w:rsid w:val="00871FAA"/>
    <w:rsid w:val="00882502"/>
    <w:rsid w:val="00891D63"/>
    <w:rsid w:val="00891FA8"/>
    <w:rsid w:val="00894F31"/>
    <w:rsid w:val="00895DF0"/>
    <w:rsid w:val="008966C1"/>
    <w:rsid w:val="008A5619"/>
    <w:rsid w:val="008B4CE3"/>
    <w:rsid w:val="008C01E1"/>
    <w:rsid w:val="008C5C89"/>
    <w:rsid w:val="008D5436"/>
    <w:rsid w:val="008D5549"/>
    <w:rsid w:val="008D76BC"/>
    <w:rsid w:val="008E4654"/>
    <w:rsid w:val="008F20BD"/>
    <w:rsid w:val="008F69CB"/>
    <w:rsid w:val="00903D92"/>
    <w:rsid w:val="00913BC4"/>
    <w:rsid w:val="00917AA7"/>
    <w:rsid w:val="00921206"/>
    <w:rsid w:val="009213B6"/>
    <w:rsid w:val="0092262B"/>
    <w:rsid w:val="009228FD"/>
    <w:rsid w:val="00924646"/>
    <w:rsid w:val="00924C99"/>
    <w:rsid w:val="00927949"/>
    <w:rsid w:val="009378F6"/>
    <w:rsid w:val="00940016"/>
    <w:rsid w:val="009425EE"/>
    <w:rsid w:val="00947D8D"/>
    <w:rsid w:val="0095468E"/>
    <w:rsid w:val="00954B87"/>
    <w:rsid w:val="00961F55"/>
    <w:rsid w:val="00962D86"/>
    <w:rsid w:val="00967EEF"/>
    <w:rsid w:val="00972239"/>
    <w:rsid w:val="0098214A"/>
    <w:rsid w:val="009A1DA1"/>
    <w:rsid w:val="009A46FE"/>
    <w:rsid w:val="009A7057"/>
    <w:rsid w:val="009C097B"/>
    <w:rsid w:val="009C10D1"/>
    <w:rsid w:val="009C1F4D"/>
    <w:rsid w:val="009C4E8D"/>
    <w:rsid w:val="009C57AB"/>
    <w:rsid w:val="009C7830"/>
    <w:rsid w:val="009D0B4E"/>
    <w:rsid w:val="009F6951"/>
    <w:rsid w:val="009F7647"/>
    <w:rsid w:val="009F7D4E"/>
    <w:rsid w:val="00A00A99"/>
    <w:rsid w:val="00A1049B"/>
    <w:rsid w:val="00A14F95"/>
    <w:rsid w:val="00A17181"/>
    <w:rsid w:val="00A20F7C"/>
    <w:rsid w:val="00A23297"/>
    <w:rsid w:val="00A2433A"/>
    <w:rsid w:val="00A324EF"/>
    <w:rsid w:val="00A40F85"/>
    <w:rsid w:val="00A450C4"/>
    <w:rsid w:val="00A54384"/>
    <w:rsid w:val="00A546F7"/>
    <w:rsid w:val="00A6386D"/>
    <w:rsid w:val="00A6639A"/>
    <w:rsid w:val="00A72069"/>
    <w:rsid w:val="00A84462"/>
    <w:rsid w:val="00A961B2"/>
    <w:rsid w:val="00AA1763"/>
    <w:rsid w:val="00AA5E78"/>
    <w:rsid w:val="00AD2CBB"/>
    <w:rsid w:val="00AD47F6"/>
    <w:rsid w:val="00AD6690"/>
    <w:rsid w:val="00AE2480"/>
    <w:rsid w:val="00AE721D"/>
    <w:rsid w:val="00AE7F02"/>
    <w:rsid w:val="00B00D62"/>
    <w:rsid w:val="00B045AF"/>
    <w:rsid w:val="00B12BAB"/>
    <w:rsid w:val="00B131D2"/>
    <w:rsid w:val="00B13D10"/>
    <w:rsid w:val="00B25F26"/>
    <w:rsid w:val="00B36573"/>
    <w:rsid w:val="00B46141"/>
    <w:rsid w:val="00B5708C"/>
    <w:rsid w:val="00B57217"/>
    <w:rsid w:val="00B60331"/>
    <w:rsid w:val="00B612BC"/>
    <w:rsid w:val="00B63758"/>
    <w:rsid w:val="00B656C1"/>
    <w:rsid w:val="00B6744F"/>
    <w:rsid w:val="00B6797D"/>
    <w:rsid w:val="00B76CA7"/>
    <w:rsid w:val="00B861AE"/>
    <w:rsid w:val="00B9120C"/>
    <w:rsid w:val="00B91D93"/>
    <w:rsid w:val="00BA5E1C"/>
    <w:rsid w:val="00BA6539"/>
    <w:rsid w:val="00BB0A15"/>
    <w:rsid w:val="00BB468A"/>
    <w:rsid w:val="00BC2594"/>
    <w:rsid w:val="00BC2CE8"/>
    <w:rsid w:val="00BE01C1"/>
    <w:rsid w:val="00C03D4C"/>
    <w:rsid w:val="00C0482B"/>
    <w:rsid w:val="00C13944"/>
    <w:rsid w:val="00C15D58"/>
    <w:rsid w:val="00C16F19"/>
    <w:rsid w:val="00C22AAE"/>
    <w:rsid w:val="00C2518E"/>
    <w:rsid w:val="00C25EB5"/>
    <w:rsid w:val="00C27580"/>
    <w:rsid w:val="00C304C6"/>
    <w:rsid w:val="00C364E0"/>
    <w:rsid w:val="00C44271"/>
    <w:rsid w:val="00C44B6C"/>
    <w:rsid w:val="00C67DBD"/>
    <w:rsid w:val="00C814A3"/>
    <w:rsid w:val="00C84658"/>
    <w:rsid w:val="00CA22C2"/>
    <w:rsid w:val="00CA69AD"/>
    <w:rsid w:val="00CB3FA9"/>
    <w:rsid w:val="00CB4E49"/>
    <w:rsid w:val="00CB5606"/>
    <w:rsid w:val="00CC087C"/>
    <w:rsid w:val="00CD63A8"/>
    <w:rsid w:val="00CD7605"/>
    <w:rsid w:val="00D06740"/>
    <w:rsid w:val="00D06F0E"/>
    <w:rsid w:val="00D07FF8"/>
    <w:rsid w:val="00D10080"/>
    <w:rsid w:val="00D10E92"/>
    <w:rsid w:val="00D25854"/>
    <w:rsid w:val="00D31149"/>
    <w:rsid w:val="00D355AD"/>
    <w:rsid w:val="00D35A84"/>
    <w:rsid w:val="00D368D6"/>
    <w:rsid w:val="00D37FEF"/>
    <w:rsid w:val="00D4095A"/>
    <w:rsid w:val="00D45623"/>
    <w:rsid w:val="00D46602"/>
    <w:rsid w:val="00D506E2"/>
    <w:rsid w:val="00D51D9F"/>
    <w:rsid w:val="00D52FC1"/>
    <w:rsid w:val="00D55FD1"/>
    <w:rsid w:val="00D563C9"/>
    <w:rsid w:val="00D60C95"/>
    <w:rsid w:val="00D70672"/>
    <w:rsid w:val="00D74C58"/>
    <w:rsid w:val="00D77C02"/>
    <w:rsid w:val="00D8376E"/>
    <w:rsid w:val="00D86FBA"/>
    <w:rsid w:val="00D971EF"/>
    <w:rsid w:val="00DA3E75"/>
    <w:rsid w:val="00DA42E1"/>
    <w:rsid w:val="00DA59B5"/>
    <w:rsid w:val="00DA64B6"/>
    <w:rsid w:val="00DA734F"/>
    <w:rsid w:val="00DB2DE3"/>
    <w:rsid w:val="00DD1897"/>
    <w:rsid w:val="00DE4D90"/>
    <w:rsid w:val="00DF6573"/>
    <w:rsid w:val="00DF7C3D"/>
    <w:rsid w:val="00E021CB"/>
    <w:rsid w:val="00E024A7"/>
    <w:rsid w:val="00E047DA"/>
    <w:rsid w:val="00E15085"/>
    <w:rsid w:val="00E1692F"/>
    <w:rsid w:val="00E32399"/>
    <w:rsid w:val="00E32933"/>
    <w:rsid w:val="00E46757"/>
    <w:rsid w:val="00E53CC3"/>
    <w:rsid w:val="00E56D75"/>
    <w:rsid w:val="00E66CAD"/>
    <w:rsid w:val="00E71402"/>
    <w:rsid w:val="00E84946"/>
    <w:rsid w:val="00E9113B"/>
    <w:rsid w:val="00E940B6"/>
    <w:rsid w:val="00E94B5C"/>
    <w:rsid w:val="00EA0819"/>
    <w:rsid w:val="00EA1F22"/>
    <w:rsid w:val="00EA3139"/>
    <w:rsid w:val="00EA6CD5"/>
    <w:rsid w:val="00EB0AA0"/>
    <w:rsid w:val="00EB30A3"/>
    <w:rsid w:val="00EB7BAF"/>
    <w:rsid w:val="00EE269C"/>
    <w:rsid w:val="00EF50B2"/>
    <w:rsid w:val="00EF6F65"/>
    <w:rsid w:val="00EF724E"/>
    <w:rsid w:val="00F02D12"/>
    <w:rsid w:val="00F03E5C"/>
    <w:rsid w:val="00F136A5"/>
    <w:rsid w:val="00F20170"/>
    <w:rsid w:val="00F212FD"/>
    <w:rsid w:val="00F22A35"/>
    <w:rsid w:val="00F550D6"/>
    <w:rsid w:val="00F65FB1"/>
    <w:rsid w:val="00F672F6"/>
    <w:rsid w:val="00F73E30"/>
    <w:rsid w:val="00F87D8C"/>
    <w:rsid w:val="00F9280F"/>
    <w:rsid w:val="00F938E2"/>
    <w:rsid w:val="00F93D02"/>
    <w:rsid w:val="00FA73F0"/>
    <w:rsid w:val="00FB1D4D"/>
    <w:rsid w:val="00FB1F8D"/>
    <w:rsid w:val="00FB68C4"/>
    <w:rsid w:val="00FB7CA5"/>
    <w:rsid w:val="00FC37B5"/>
    <w:rsid w:val="00FC4A59"/>
    <w:rsid w:val="00FC7012"/>
    <w:rsid w:val="00FD1E03"/>
    <w:rsid w:val="00FD3543"/>
    <w:rsid w:val="00FD449C"/>
    <w:rsid w:val="00FD6DAC"/>
    <w:rsid w:val="00FE4E4F"/>
    <w:rsid w:val="00FE5F23"/>
    <w:rsid w:val="00FF7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5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2"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CD"/>
    <w:pPr>
      <w:spacing w:after="0" w:line="240" w:lineRule="auto"/>
    </w:pPr>
    <w:rPr>
      <w:rFonts w:ascii="Times New Roman" w:eastAsia="Times New Roman" w:hAnsi="Times New Roman" w:cs="Angsana New"/>
      <w:sz w:val="24"/>
      <w:szCs w:val="24"/>
      <w:lang w:val="en-GB"/>
    </w:rPr>
  </w:style>
  <w:style w:type="paragraph" w:styleId="Heading1">
    <w:name w:val="heading 1"/>
    <w:basedOn w:val="Normal"/>
    <w:next w:val="Normal"/>
    <w:link w:val="Heading1Char"/>
    <w:uiPriority w:val="9"/>
    <w:qFormat/>
    <w:rsid w:val="005B40CC"/>
    <w:pPr>
      <w:keepNext/>
      <w:keepLines/>
      <w:numPr>
        <w:numId w:val="5"/>
      </w:numPr>
      <w:spacing w:before="48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C25EB5"/>
    <w:pPr>
      <w:keepNext/>
      <w:keepLines/>
      <w:numPr>
        <w:ilvl w:val="1"/>
        <w:numId w:val="5"/>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00778"/>
    <w:pPr>
      <w:keepNext/>
      <w:keepLines/>
      <w:numPr>
        <w:ilvl w:val="2"/>
        <w:numId w:val="5"/>
      </w:numPr>
      <w:spacing w:before="20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104110"/>
    <w:pPr>
      <w:keepNext/>
      <w:keepLines/>
      <w:numPr>
        <w:ilvl w:val="3"/>
        <w:numId w:val="5"/>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CD7605"/>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605"/>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60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60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760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CC"/>
    <w:rPr>
      <w:rFonts w:ascii="Times New Roman" w:eastAsiaTheme="majorEastAsia" w:hAnsi="Times New Roman" w:cstheme="majorBidi"/>
      <w:b/>
      <w:bCs/>
      <w:sz w:val="26"/>
      <w:szCs w:val="28"/>
      <w:lang w:val="en-GB"/>
    </w:rPr>
  </w:style>
  <w:style w:type="paragraph" w:styleId="TOC1">
    <w:name w:val="toc 1"/>
    <w:basedOn w:val="Normal"/>
    <w:next w:val="Normal"/>
    <w:autoRedefine/>
    <w:uiPriority w:val="39"/>
    <w:unhideWhenUsed/>
    <w:qFormat/>
    <w:rsid w:val="005B40CC"/>
    <w:pPr>
      <w:spacing w:after="100"/>
    </w:pPr>
  </w:style>
  <w:style w:type="character" w:styleId="Hyperlink">
    <w:name w:val="Hyperlink"/>
    <w:basedOn w:val="DefaultParagraphFont"/>
    <w:uiPriority w:val="99"/>
    <w:unhideWhenUsed/>
    <w:rsid w:val="005B40CC"/>
    <w:rPr>
      <w:color w:val="0000FF" w:themeColor="hyperlink"/>
      <w:u w:val="single"/>
    </w:rPr>
  </w:style>
  <w:style w:type="paragraph" w:styleId="ListParagraph">
    <w:name w:val="List Paragraph"/>
    <w:basedOn w:val="Normal"/>
    <w:uiPriority w:val="34"/>
    <w:qFormat/>
    <w:rsid w:val="00C25EB5"/>
    <w:pPr>
      <w:ind w:left="720"/>
      <w:contextualSpacing/>
    </w:pPr>
  </w:style>
  <w:style w:type="paragraph" w:customStyle="1" w:styleId="p3">
    <w:name w:val="p3"/>
    <w:basedOn w:val="Normal"/>
    <w:rsid w:val="00C25EB5"/>
    <w:pPr>
      <w:widowControl w:val="0"/>
      <w:autoSpaceDE w:val="0"/>
      <w:autoSpaceDN w:val="0"/>
      <w:spacing w:line="277" w:lineRule="atLeast"/>
    </w:pPr>
    <w:rPr>
      <w:rFonts w:cs="Times New Roman"/>
      <w:sz w:val="20"/>
      <w:lang w:val="en-US"/>
    </w:rPr>
  </w:style>
  <w:style w:type="character" w:customStyle="1" w:styleId="Heading2Char">
    <w:name w:val="Heading 2 Char"/>
    <w:basedOn w:val="DefaultParagraphFont"/>
    <w:link w:val="Heading2"/>
    <w:uiPriority w:val="9"/>
    <w:rsid w:val="00C25EB5"/>
    <w:rPr>
      <w:rFonts w:ascii="Times New Roman" w:eastAsiaTheme="majorEastAsia" w:hAnsi="Times New Roman" w:cstheme="majorBidi"/>
      <w:b/>
      <w:bCs/>
      <w:sz w:val="24"/>
      <w:szCs w:val="26"/>
      <w:lang w:val="en-GB"/>
    </w:rPr>
  </w:style>
  <w:style w:type="paragraph" w:styleId="ListBullet">
    <w:name w:val="List Bullet"/>
    <w:basedOn w:val="Normal"/>
    <w:autoRedefine/>
    <w:rsid w:val="008E4654"/>
    <w:rPr>
      <w:rFonts w:cs="Times New Roman"/>
      <w:sz w:val="20"/>
      <w:szCs w:val="20"/>
      <w:lang w:eastAsia="en-GB"/>
    </w:rPr>
  </w:style>
  <w:style w:type="paragraph" w:styleId="FootnoteText">
    <w:name w:val="footnote text"/>
    <w:aliases w:val="Fußnotentext Char,Nbpage Moens"/>
    <w:basedOn w:val="Normal"/>
    <w:link w:val="FootnoteTextChar"/>
    <w:rsid w:val="008E4654"/>
    <w:rPr>
      <w:rFonts w:cs="Times New Roman"/>
      <w:sz w:val="20"/>
      <w:szCs w:val="20"/>
      <w:lang w:eastAsia="en-GB"/>
    </w:rPr>
  </w:style>
  <w:style w:type="character" w:customStyle="1" w:styleId="FootnoteTextChar">
    <w:name w:val="Footnote Text Char"/>
    <w:aliases w:val="Fußnotentext Char Char,Nbpage Moens Char"/>
    <w:basedOn w:val="DefaultParagraphFont"/>
    <w:link w:val="FootnoteText"/>
    <w:rsid w:val="008E465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8E4654"/>
    <w:rPr>
      <w:vertAlign w:val="superscript"/>
    </w:rPr>
  </w:style>
  <w:style w:type="character" w:customStyle="1" w:styleId="Heading3Char">
    <w:name w:val="Heading 3 Char"/>
    <w:basedOn w:val="DefaultParagraphFont"/>
    <w:link w:val="Heading3"/>
    <w:uiPriority w:val="9"/>
    <w:rsid w:val="00600778"/>
    <w:rPr>
      <w:rFonts w:ascii="Times New Roman" w:eastAsiaTheme="majorEastAsia" w:hAnsi="Times New Roman" w:cstheme="majorBidi"/>
      <w:bCs/>
      <w:sz w:val="24"/>
      <w:szCs w:val="24"/>
      <w:u w:val="single"/>
      <w:lang w:val="en-GB"/>
    </w:rPr>
  </w:style>
  <w:style w:type="character" w:customStyle="1" w:styleId="Heading4Char">
    <w:name w:val="Heading 4 Char"/>
    <w:basedOn w:val="DefaultParagraphFont"/>
    <w:link w:val="Heading4"/>
    <w:uiPriority w:val="9"/>
    <w:rsid w:val="00104110"/>
    <w:rPr>
      <w:rFonts w:ascii="Times New Roman" w:eastAsiaTheme="majorEastAsia" w:hAnsi="Times New Roman" w:cstheme="majorBidi"/>
      <w:bCs/>
      <w:iCs/>
      <w:sz w:val="24"/>
      <w:szCs w:val="24"/>
      <w:lang w:val="en-GB"/>
    </w:rPr>
  </w:style>
  <w:style w:type="character" w:customStyle="1" w:styleId="Heading5Char">
    <w:name w:val="Heading 5 Char"/>
    <w:basedOn w:val="DefaultParagraphFont"/>
    <w:link w:val="Heading5"/>
    <w:uiPriority w:val="9"/>
    <w:rsid w:val="00CD7605"/>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CD7605"/>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CD760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CD760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D7605"/>
    <w:rPr>
      <w:rFonts w:asciiTheme="majorHAnsi" w:eastAsiaTheme="majorEastAsia" w:hAnsiTheme="majorHAnsi" w:cstheme="majorBidi"/>
      <w:i/>
      <w:iCs/>
      <w:color w:val="404040" w:themeColor="text1" w:themeTint="BF"/>
      <w:sz w:val="20"/>
      <w:szCs w:val="20"/>
      <w:lang w:val="en-GB"/>
    </w:rPr>
  </w:style>
  <w:style w:type="paragraph" w:styleId="TOC2">
    <w:name w:val="toc 2"/>
    <w:basedOn w:val="Normal"/>
    <w:next w:val="Normal"/>
    <w:autoRedefine/>
    <w:uiPriority w:val="39"/>
    <w:unhideWhenUsed/>
    <w:qFormat/>
    <w:rsid w:val="007E3A5B"/>
    <w:pPr>
      <w:spacing w:after="100"/>
      <w:ind w:left="240"/>
    </w:pPr>
  </w:style>
  <w:style w:type="paragraph" w:customStyle="1" w:styleId="Default">
    <w:name w:val="Default"/>
    <w:rsid w:val="00F9280F"/>
    <w:pPr>
      <w:autoSpaceDE w:val="0"/>
      <w:autoSpaceDN w:val="0"/>
      <w:adjustRightInd w:val="0"/>
      <w:spacing w:after="0" w:line="240" w:lineRule="auto"/>
    </w:pPr>
    <w:rPr>
      <w:rFonts w:ascii="Gisha" w:hAnsi="Gisha" w:cs="Gisha"/>
      <w:color w:val="000000"/>
      <w:sz w:val="24"/>
      <w:szCs w:val="24"/>
    </w:rPr>
  </w:style>
  <w:style w:type="paragraph" w:customStyle="1" w:styleId="CM7">
    <w:name w:val="CM7"/>
    <w:basedOn w:val="Default"/>
    <w:next w:val="Default"/>
    <w:uiPriority w:val="99"/>
    <w:rsid w:val="0098214A"/>
    <w:pPr>
      <w:widowControl w:val="0"/>
      <w:spacing w:before="0" w:after="255"/>
      <w:jc w:val="left"/>
    </w:pPr>
    <w:rPr>
      <w:rFonts w:ascii="Times New Roman" w:eastAsiaTheme="minorEastAsia" w:hAnsi="Times New Roman" w:cs="Times New Roman"/>
      <w:color w:val="auto"/>
    </w:rPr>
  </w:style>
  <w:style w:type="paragraph" w:styleId="NormalWeb">
    <w:name w:val="Normal (Web)"/>
    <w:basedOn w:val="Normal"/>
    <w:uiPriority w:val="99"/>
    <w:semiHidden/>
    <w:unhideWhenUsed/>
    <w:rsid w:val="00216820"/>
    <w:pPr>
      <w:spacing w:before="100" w:beforeAutospacing="1" w:after="100" w:afterAutospacing="1" w:line="312" w:lineRule="auto"/>
    </w:pPr>
    <w:rPr>
      <w:rFonts w:cs="Times New Roman"/>
      <w:lang w:val="en-US"/>
    </w:rPr>
  </w:style>
  <w:style w:type="paragraph" w:styleId="TOC3">
    <w:name w:val="toc 3"/>
    <w:basedOn w:val="Normal"/>
    <w:next w:val="Normal"/>
    <w:autoRedefine/>
    <w:uiPriority w:val="39"/>
    <w:unhideWhenUsed/>
    <w:qFormat/>
    <w:rsid w:val="00221FC3"/>
    <w:pPr>
      <w:spacing w:after="100"/>
      <w:ind w:left="480"/>
    </w:pPr>
  </w:style>
  <w:style w:type="paragraph" w:styleId="BalloonText">
    <w:name w:val="Balloon Text"/>
    <w:basedOn w:val="Normal"/>
    <w:link w:val="BalloonTextChar"/>
    <w:uiPriority w:val="99"/>
    <w:semiHidden/>
    <w:unhideWhenUsed/>
    <w:rsid w:val="00BA5E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1C"/>
    <w:rPr>
      <w:rFonts w:ascii="Tahoma" w:eastAsia="Times New Roman" w:hAnsi="Tahoma" w:cs="Tahoma"/>
      <w:sz w:val="16"/>
      <w:szCs w:val="16"/>
      <w:lang w:val="en-GB"/>
    </w:rPr>
  </w:style>
  <w:style w:type="paragraph" w:styleId="BodyText">
    <w:name w:val="Body Text"/>
    <w:basedOn w:val="Normal"/>
    <w:link w:val="BodyTextChar"/>
    <w:uiPriority w:val="99"/>
    <w:unhideWhenUsed/>
    <w:rsid w:val="0092262B"/>
    <w:pPr>
      <w:spacing w:before="100" w:beforeAutospacing="1" w:after="100" w:afterAutospacing="1"/>
      <w:jc w:val="left"/>
    </w:pPr>
    <w:rPr>
      <w:rFonts w:cs="Times New Roman"/>
      <w:lang w:val="en-US"/>
    </w:rPr>
  </w:style>
  <w:style w:type="character" w:customStyle="1" w:styleId="BodyTextChar">
    <w:name w:val="Body Text Char"/>
    <w:basedOn w:val="DefaultParagraphFont"/>
    <w:link w:val="BodyText"/>
    <w:uiPriority w:val="99"/>
    <w:rsid w:val="0092262B"/>
    <w:rPr>
      <w:rFonts w:ascii="Times New Roman" w:eastAsia="Times New Roman" w:hAnsi="Times New Roman" w:cs="Times New Roman"/>
      <w:sz w:val="24"/>
      <w:szCs w:val="24"/>
    </w:rPr>
  </w:style>
  <w:style w:type="paragraph" w:customStyle="1" w:styleId="Pa1">
    <w:name w:val="Pa1"/>
    <w:basedOn w:val="Default"/>
    <w:next w:val="Default"/>
    <w:rsid w:val="00096C64"/>
    <w:pPr>
      <w:spacing w:before="0" w:line="241" w:lineRule="atLeast"/>
      <w:jc w:val="left"/>
    </w:pPr>
    <w:rPr>
      <w:rFonts w:ascii="SPPGNW+Garamond-Light" w:eastAsia="Times New Roman" w:hAnsi="SPPGNW+Garamond-Light" w:cs="Times New Roman"/>
      <w:color w:val="auto"/>
      <w:lang w:val="it-IT" w:eastAsia="it-IT"/>
    </w:rPr>
  </w:style>
  <w:style w:type="table" w:styleId="TableClassic2">
    <w:name w:val="Table Classic 2"/>
    <w:basedOn w:val="TableNormal"/>
    <w:rsid w:val="00096C64"/>
    <w:pPr>
      <w:spacing w:before="0" w:after="0" w:line="240" w:lineRule="auto"/>
      <w:jc w:val="lef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096C64"/>
    <w:pPr>
      <w:spacing w:before="0" w:after="0" w:line="240" w:lineRule="auto"/>
      <w:jc w:val="left"/>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8">
    <w:name w:val="Table List 8"/>
    <w:basedOn w:val="TableNormal"/>
    <w:rsid w:val="00096C64"/>
    <w:pPr>
      <w:spacing w:before="0" w:after="0" w:line="240" w:lineRule="auto"/>
      <w:jc w:val="lef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Heading">
    <w:name w:val="TOC Heading"/>
    <w:basedOn w:val="Heading1"/>
    <w:next w:val="Normal"/>
    <w:uiPriority w:val="39"/>
    <w:unhideWhenUsed/>
    <w:qFormat/>
    <w:rsid w:val="00E71402"/>
    <w:pPr>
      <w:numPr>
        <w:numId w:val="0"/>
      </w:numPr>
      <w:spacing w:line="276" w:lineRule="auto"/>
      <w:jc w:val="left"/>
      <w:outlineLvl w:val="9"/>
    </w:pPr>
    <w:rPr>
      <w:rFonts w:asciiTheme="majorHAnsi" w:hAnsiTheme="majorHAnsi"/>
      <w:color w:val="365F91" w:themeColor="accent1" w:themeShade="BF"/>
      <w:sz w:val="28"/>
      <w:lang w:val="en-US"/>
    </w:rPr>
  </w:style>
  <w:style w:type="paragraph" w:styleId="TOC4">
    <w:name w:val="toc 4"/>
    <w:basedOn w:val="Normal"/>
    <w:next w:val="Normal"/>
    <w:autoRedefine/>
    <w:uiPriority w:val="39"/>
    <w:unhideWhenUsed/>
    <w:rsid w:val="00E71402"/>
    <w:pPr>
      <w:spacing w:after="100"/>
      <w:ind w:left="720"/>
    </w:pPr>
  </w:style>
  <w:style w:type="paragraph" w:customStyle="1" w:styleId="Title1">
    <w:name w:val="Title1"/>
    <w:basedOn w:val="Normal"/>
    <w:rsid w:val="00F550D6"/>
    <w:pPr>
      <w:spacing w:before="100" w:beforeAutospacing="1" w:after="100" w:afterAutospacing="1"/>
      <w:jc w:val="left"/>
    </w:pPr>
    <w:rPr>
      <w:rFonts w:cs="Times New Roman"/>
      <w:color w:val="003371"/>
      <w:sz w:val="34"/>
      <w:szCs w:val="34"/>
      <w:lang w:val="en-US"/>
    </w:rPr>
  </w:style>
  <w:style w:type="paragraph" w:customStyle="1" w:styleId="links">
    <w:name w:val="links"/>
    <w:basedOn w:val="Normal"/>
    <w:rsid w:val="00F550D6"/>
    <w:pPr>
      <w:spacing w:before="100" w:beforeAutospacing="1" w:after="100" w:afterAutospacing="1"/>
      <w:jc w:val="left"/>
    </w:pPr>
    <w:rPr>
      <w:rFonts w:cs="Times New Roman"/>
      <w:color w:val="003371"/>
      <w:sz w:val="20"/>
      <w:szCs w:val="20"/>
      <w:lang w:val="en-US"/>
    </w:rPr>
  </w:style>
  <w:style w:type="character" w:customStyle="1" w:styleId="title2">
    <w:name w:val="title2"/>
    <w:basedOn w:val="DefaultParagraphFont"/>
    <w:rsid w:val="00F550D6"/>
    <w:rPr>
      <w:rFonts w:ascii="Times New Roman" w:hAnsi="Times New Roman" w:cs="Times New Roman" w:hint="default"/>
      <w:b w:val="0"/>
      <w:bCs w:val="0"/>
      <w:strike w:val="0"/>
      <w:dstrike w:val="0"/>
      <w:color w:val="003371"/>
      <w:sz w:val="34"/>
      <w:szCs w:val="34"/>
      <w:u w:val="none"/>
      <w:effect w:val="none"/>
    </w:rPr>
  </w:style>
  <w:style w:type="paragraph" w:customStyle="1" w:styleId="text">
    <w:name w:val="text"/>
    <w:basedOn w:val="Normal"/>
    <w:rsid w:val="00D06F0E"/>
    <w:pPr>
      <w:spacing w:before="100" w:beforeAutospacing="1" w:after="100" w:afterAutospacing="1" w:line="300" w:lineRule="atLeast"/>
    </w:pPr>
    <w:rPr>
      <w:rFonts w:ascii="Tahoma" w:hAnsi="Tahoma" w:cs="Tahoma"/>
      <w:color w:val="000000"/>
      <w:sz w:val="18"/>
      <w:szCs w:val="18"/>
      <w:lang w:val="en-US"/>
    </w:rPr>
  </w:style>
  <w:style w:type="paragraph" w:styleId="DocumentMap">
    <w:name w:val="Document Map"/>
    <w:basedOn w:val="Normal"/>
    <w:link w:val="DocumentMapChar"/>
    <w:uiPriority w:val="99"/>
    <w:semiHidden/>
    <w:unhideWhenUsed/>
    <w:rsid w:val="006D78D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78DC"/>
    <w:rPr>
      <w:rFonts w:ascii="Tahoma" w:eastAsia="Times New Roman" w:hAnsi="Tahoma" w:cs="Tahoma"/>
      <w:sz w:val="16"/>
      <w:szCs w:val="16"/>
      <w:lang w:val="en-GB"/>
    </w:rPr>
  </w:style>
  <w:style w:type="table" w:styleId="TableGrid">
    <w:name w:val="Table Grid"/>
    <w:basedOn w:val="TableNormal"/>
    <w:uiPriority w:val="59"/>
    <w:rsid w:val="00106C0D"/>
    <w:pPr>
      <w:spacing w:before="0" w:after="0" w:line="240" w:lineRule="auto"/>
      <w:jc w:val="left"/>
    </w:pPr>
    <w:rPr>
      <w:rFonts w:asciiTheme="majorHAnsi" w:eastAsiaTheme="majorEastAsia"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15D58"/>
    <w:rPr>
      <w:sz w:val="16"/>
      <w:szCs w:val="16"/>
    </w:rPr>
  </w:style>
  <w:style w:type="paragraph" w:styleId="CommentText">
    <w:name w:val="annotation text"/>
    <w:basedOn w:val="Normal"/>
    <w:link w:val="CommentTextChar"/>
    <w:uiPriority w:val="99"/>
    <w:semiHidden/>
    <w:unhideWhenUsed/>
    <w:rsid w:val="00C15D58"/>
    <w:rPr>
      <w:sz w:val="20"/>
      <w:szCs w:val="20"/>
    </w:rPr>
  </w:style>
  <w:style w:type="character" w:customStyle="1" w:styleId="CommentTextChar">
    <w:name w:val="Comment Text Char"/>
    <w:basedOn w:val="DefaultParagraphFont"/>
    <w:link w:val="CommentText"/>
    <w:uiPriority w:val="99"/>
    <w:semiHidden/>
    <w:rsid w:val="00C15D58"/>
    <w:rPr>
      <w:rFonts w:ascii="Times New Roman" w:eastAsia="Times New Roman" w:hAnsi="Times New Roman" w:cs="Angsana New"/>
      <w:sz w:val="20"/>
      <w:szCs w:val="20"/>
      <w:lang w:val="en-GB"/>
    </w:rPr>
  </w:style>
  <w:style w:type="paragraph" w:styleId="CommentSubject">
    <w:name w:val="annotation subject"/>
    <w:basedOn w:val="CommentText"/>
    <w:next w:val="CommentText"/>
    <w:link w:val="CommentSubjectChar"/>
    <w:uiPriority w:val="99"/>
    <w:semiHidden/>
    <w:unhideWhenUsed/>
    <w:rsid w:val="00C15D58"/>
    <w:rPr>
      <w:b/>
      <w:bCs/>
    </w:rPr>
  </w:style>
  <w:style w:type="character" w:customStyle="1" w:styleId="CommentSubjectChar">
    <w:name w:val="Comment Subject Char"/>
    <w:basedOn w:val="CommentTextChar"/>
    <w:link w:val="CommentSubject"/>
    <w:uiPriority w:val="99"/>
    <w:semiHidden/>
    <w:rsid w:val="00C15D58"/>
    <w:rPr>
      <w:rFonts w:ascii="Times New Roman" w:eastAsia="Times New Roman" w:hAnsi="Times New Roman" w:cs="Angsana New"/>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5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2"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CD"/>
    <w:pPr>
      <w:spacing w:after="0" w:line="240" w:lineRule="auto"/>
    </w:pPr>
    <w:rPr>
      <w:rFonts w:ascii="Times New Roman" w:eastAsia="Times New Roman" w:hAnsi="Times New Roman" w:cs="Angsana New"/>
      <w:sz w:val="24"/>
      <w:szCs w:val="24"/>
      <w:lang w:val="en-GB"/>
    </w:rPr>
  </w:style>
  <w:style w:type="paragraph" w:styleId="Heading1">
    <w:name w:val="heading 1"/>
    <w:basedOn w:val="Normal"/>
    <w:next w:val="Normal"/>
    <w:link w:val="Heading1Char"/>
    <w:uiPriority w:val="9"/>
    <w:qFormat/>
    <w:rsid w:val="005B40CC"/>
    <w:pPr>
      <w:keepNext/>
      <w:keepLines/>
      <w:numPr>
        <w:numId w:val="5"/>
      </w:numPr>
      <w:spacing w:before="48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C25EB5"/>
    <w:pPr>
      <w:keepNext/>
      <w:keepLines/>
      <w:numPr>
        <w:ilvl w:val="1"/>
        <w:numId w:val="5"/>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00778"/>
    <w:pPr>
      <w:keepNext/>
      <w:keepLines/>
      <w:numPr>
        <w:ilvl w:val="2"/>
        <w:numId w:val="5"/>
      </w:numPr>
      <w:spacing w:before="20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104110"/>
    <w:pPr>
      <w:keepNext/>
      <w:keepLines/>
      <w:numPr>
        <w:ilvl w:val="3"/>
        <w:numId w:val="5"/>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CD7605"/>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605"/>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60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60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760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CC"/>
    <w:rPr>
      <w:rFonts w:ascii="Times New Roman" w:eastAsiaTheme="majorEastAsia" w:hAnsi="Times New Roman" w:cstheme="majorBidi"/>
      <w:b/>
      <w:bCs/>
      <w:sz w:val="26"/>
      <w:szCs w:val="28"/>
      <w:lang w:val="en-GB"/>
    </w:rPr>
  </w:style>
  <w:style w:type="paragraph" w:styleId="TOC1">
    <w:name w:val="toc 1"/>
    <w:basedOn w:val="Normal"/>
    <w:next w:val="Normal"/>
    <w:autoRedefine/>
    <w:uiPriority w:val="39"/>
    <w:unhideWhenUsed/>
    <w:qFormat/>
    <w:rsid w:val="005B40CC"/>
    <w:pPr>
      <w:spacing w:after="100"/>
    </w:pPr>
  </w:style>
  <w:style w:type="character" w:styleId="Hyperlink">
    <w:name w:val="Hyperlink"/>
    <w:basedOn w:val="DefaultParagraphFont"/>
    <w:uiPriority w:val="99"/>
    <w:unhideWhenUsed/>
    <w:rsid w:val="005B40CC"/>
    <w:rPr>
      <w:color w:val="0000FF" w:themeColor="hyperlink"/>
      <w:u w:val="single"/>
    </w:rPr>
  </w:style>
  <w:style w:type="paragraph" w:styleId="ListParagraph">
    <w:name w:val="List Paragraph"/>
    <w:basedOn w:val="Normal"/>
    <w:uiPriority w:val="34"/>
    <w:qFormat/>
    <w:rsid w:val="00C25EB5"/>
    <w:pPr>
      <w:ind w:left="720"/>
      <w:contextualSpacing/>
    </w:pPr>
  </w:style>
  <w:style w:type="paragraph" w:customStyle="1" w:styleId="p3">
    <w:name w:val="p3"/>
    <w:basedOn w:val="Normal"/>
    <w:rsid w:val="00C25EB5"/>
    <w:pPr>
      <w:widowControl w:val="0"/>
      <w:autoSpaceDE w:val="0"/>
      <w:autoSpaceDN w:val="0"/>
      <w:spacing w:line="277" w:lineRule="atLeast"/>
    </w:pPr>
    <w:rPr>
      <w:rFonts w:cs="Times New Roman"/>
      <w:sz w:val="20"/>
      <w:lang w:val="en-US"/>
    </w:rPr>
  </w:style>
  <w:style w:type="character" w:customStyle="1" w:styleId="Heading2Char">
    <w:name w:val="Heading 2 Char"/>
    <w:basedOn w:val="DefaultParagraphFont"/>
    <w:link w:val="Heading2"/>
    <w:uiPriority w:val="9"/>
    <w:rsid w:val="00C25EB5"/>
    <w:rPr>
      <w:rFonts w:ascii="Times New Roman" w:eastAsiaTheme="majorEastAsia" w:hAnsi="Times New Roman" w:cstheme="majorBidi"/>
      <w:b/>
      <w:bCs/>
      <w:sz w:val="24"/>
      <w:szCs w:val="26"/>
      <w:lang w:val="en-GB"/>
    </w:rPr>
  </w:style>
  <w:style w:type="paragraph" w:styleId="ListBullet">
    <w:name w:val="List Bullet"/>
    <w:basedOn w:val="Normal"/>
    <w:autoRedefine/>
    <w:rsid w:val="008E4654"/>
    <w:rPr>
      <w:rFonts w:cs="Times New Roman"/>
      <w:sz w:val="20"/>
      <w:szCs w:val="20"/>
      <w:lang w:eastAsia="en-GB"/>
    </w:rPr>
  </w:style>
  <w:style w:type="paragraph" w:styleId="FootnoteText">
    <w:name w:val="footnote text"/>
    <w:aliases w:val="Fußnotentext Char,Nbpage Moens"/>
    <w:basedOn w:val="Normal"/>
    <w:link w:val="FootnoteTextChar"/>
    <w:rsid w:val="008E4654"/>
    <w:rPr>
      <w:rFonts w:cs="Times New Roman"/>
      <w:sz w:val="20"/>
      <w:szCs w:val="20"/>
      <w:lang w:eastAsia="en-GB"/>
    </w:rPr>
  </w:style>
  <w:style w:type="character" w:customStyle="1" w:styleId="FootnoteTextChar">
    <w:name w:val="Footnote Text Char"/>
    <w:aliases w:val="Fußnotentext Char Char,Nbpage Moens Char"/>
    <w:basedOn w:val="DefaultParagraphFont"/>
    <w:link w:val="FootnoteText"/>
    <w:rsid w:val="008E465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8E4654"/>
    <w:rPr>
      <w:vertAlign w:val="superscript"/>
    </w:rPr>
  </w:style>
  <w:style w:type="character" w:customStyle="1" w:styleId="Heading3Char">
    <w:name w:val="Heading 3 Char"/>
    <w:basedOn w:val="DefaultParagraphFont"/>
    <w:link w:val="Heading3"/>
    <w:uiPriority w:val="9"/>
    <w:rsid w:val="00600778"/>
    <w:rPr>
      <w:rFonts w:ascii="Times New Roman" w:eastAsiaTheme="majorEastAsia" w:hAnsi="Times New Roman" w:cstheme="majorBidi"/>
      <w:bCs/>
      <w:sz w:val="24"/>
      <w:szCs w:val="24"/>
      <w:u w:val="single"/>
      <w:lang w:val="en-GB"/>
    </w:rPr>
  </w:style>
  <w:style w:type="character" w:customStyle="1" w:styleId="Heading4Char">
    <w:name w:val="Heading 4 Char"/>
    <w:basedOn w:val="DefaultParagraphFont"/>
    <w:link w:val="Heading4"/>
    <w:uiPriority w:val="9"/>
    <w:rsid w:val="00104110"/>
    <w:rPr>
      <w:rFonts w:ascii="Times New Roman" w:eastAsiaTheme="majorEastAsia" w:hAnsi="Times New Roman" w:cstheme="majorBidi"/>
      <w:bCs/>
      <w:iCs/>
      <w:sz w:val="24"/>
      <w:szCs w:val="24"/>
      <w:lang w:val="en-GB"/>
    </w:rPr>
  </w:style>
  <w:style w:type="character" w:customStyle="1" w:styleId="Heading5Char">
    <w:name w:val="Heading 5 Char"/>
    <w:basedOn w:val="DefaultParagraphFont"/>
    <w:link w:val="Heading5"/>
    <w:uiPriority w:val="9"/>
    <w:rsid w:val="00CD7605"/>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CD7605"/>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CD760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CD760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D7605"/>
    <w:rPr>
      <w:rFonts w:asciiTheme="majorHAnsi" w:eastAsiaTheme="majorEastAsia" w:hAnsiTheme="majorHAnsi" w:cstheme="majorBidi"/>
      <w:i/>
      <w:iCs/>
      <w:color w:val="404040" w:themeColor="text1" w:themeTint="BF"/>
      <w:sz w:val="20"/>
      <w:szCs w:val="20"/>
      <w:lang w:val="en-GB"/>
    </w:rPr>
  </w:style>
  <w:style w:type="paragraph" w:styleId="TOC2">
    <w:name w:val="toc 2"/>
    <w:basedOn w:val="Normal"/>
    <w:next w:val="Normal"/>
    <w:autoRedefine/>
    <w:uiPriority w:val="39"/>
    <w:unhideWhenUsed/>
    <w:qFormat/>
    <w:rsid w:val="007E3A5B"/>
    <w:pPr>
      <w:spacing w:after="100"/>
      <w:ind w:left="240"/>
    </w:pPr>
  </w:style>
  <w:style w:type="paragraph" w:customStyle="1" w:styleId="Default">
    <w:name w:val="Default"/>
    <w:rsid w:val="00F9280F"/>
    <w:pPr>
      <w:autoSpaceDE w:val="0"/>
      <w:autoSpaceDN w:val="0"/>
      <w:adjustRightInd w:val="0"/>
      <w:spacing w:after="0" w:line="240" w:lineRule="auto"/>
    </w:pPr>
    <w:rPr>
      <w:rFonts w:ascii="Gisha" w:hAnsi="Gisha" w:cs="Gisha"/>
      <w:color w:val="000000"/>
      <w:sz w:val="24"/>
      <w:szCs w:val="24"/>
    </w:rPr>
  </w:style>
  <w:style w:type="paragraph" w:customStyle="1" w:styleId="CM7">
    <w:name w:val="CM7"/>
    <w:basedOn w:val="Default"/>
    <w:next w:val="Default"/>
    <w:uiPriority w:val="99"/>
    <w:rsid w:val="0098214A"/>
    <w:pPr>
      <w:widowControl w:val="0"/>
      <w:spacing w:before="0" w:after="255"/>
      <w:jc w:val="left"/>
    </w:pPr>
    <w:rPr>
      <w:rFonts w:ascii="Times New Roman" w:eastAsiaTheme="minorEastAsia" w:hAnsi="Times New Roman" w:cs="Times New Roman"/>
      <w:color w:val="auto"/>
    </w:rPr>
  </w:style>
  <w:style w:type="paragraph" w:styleId="NormalWeb">
    <w:name w:val="Normal (Web)"/>
    <w:basedOn w:val="Normal"/>
    <w:uiPriority w:val="99"/>
    <w:semiHidden/>
    <w:unhideWhenUsed/>
    <w:rsid w:val="00216820"/>
    <w:pPr>
      <w:spacing w:before="100" w:beforeAutospacing="1" w:after="100" w:afterAutospacing="1" w:line="312" w:lineRule="auto"/>
    </w:pPr>
    <w:rPr>
      <w:rFonts w:cs="Times New Roman"/>
      <w:lang w:val="en-US"/>
    </w:rPr>
  </w:style>
  <w:style w:type="paragraph" w:styleId="TOC3">
    <w:name w:val="toc 3"/>
    <w:basedOn w:val="Normal"/>
    <w:next w:val="Normal"/>
    <w:autoRedefine/>
    <w:uiPriority w:val="39"/>
    <w:unhideWhenUsed/>
    <w:qFormat/>
    <w:rsid w:val="00221FC3"/>
    <w:pPr>
      <w:spacing w:after="100"/>
      <w:ind w:left="480"/>
    </w:pPr>
  </w:style>
  <w:style w:type="paragraph" w:styleId="BalloonText">
    <w:name w:val="Balloon Text"/>
    <w:basedOn w:val="Normal"/>
    <w:link w:val="BalloonTextChar"/>
    <w:uiPriority w:val="99"/>
    <w:semiHidden/>
    <w:unhideWhenUsed/>
    <w:rsid w:val="00BA5E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1C"/>
    <w:rPr>
      <w:rFonts w:ascii="Tahoma" w:eastAsia="Times New Roman" w:hAnsi="Tahoma" w:cs="Tahoma"/>
      <w:sz w:val="16"/>
      <w:szCs w:val="16"/>
      <w:lang w:val="en-GB"/>
    </w:rPr>
  </w:style>
  <w:style w:type="paragraph" w:styleId="BodyText">
    <w:name w:val="Body Text"/>
    <w:basedOn w:val="Normal"/>
    <w:link w:val="BodyTextChar"/>
    <w:uiPriority w:val="99"/>
    <w:unhideWhenUsed/>
    <w:rsid w:val="0092262B"/>
    <w:pPr>
      <w:spacing w:before="100" w:beforeAutospacing="1" w:after="100" w:afterAutospacing="1"/>
      <w:jc w:val="left"/>
    </w:pPr>
    <w:rPr>
      <w:rFonts w:cs="Times New Roman"/>
      <w:lang w:val="en-US"/>
    </w:rPr>
  </w:style>
  <w:style w:type="character" w:customStyle="1" w:styleId="BodyTextChar">
    <w:name w:val="Body Text Char"/>
    <w:basedOn w:val="DefaultParagraphFont"/>
    <w:link w:val="BodyText"/>
    <w:uiPriority w:val="99"/>
    <w:rsid w:val="0092262B"/>
    <w:rPr>
      <w:rFonts w:ascii="Times New Roman" w:eastAsia="Times New Roman" w:hAnsi="Times New Roman" w:cs="Times New Roman"/>
      <w:sz w:val="24"/>
      <w:szCs w:val="24"/>
    </w:rPr>
  </w:style>
  <w:style w:type="paragraph" w:customStyle="1" w:styleId="Pa1">
    <w:name w:val="Pa1"/>
    <w:basedOn w:val="Default"/>
    <w:next w:val="Default"/>
    <w:rsid w:val="00096C64"/>
    <w:pPr>
      <w:spacing w:before="0" w:line="241" w:lineRule="atLeast"/>
      <w:jc w:val="left"/>
    </w:pPr>
    <w:rPr>
      <w:rFonts w:ascii="SPPGNW+Garamond-Light" w:eastAsia="Times New Roman" w:hAnsi="SPPGNW+Garamond-Light" w:cs="Times New Roman"/>
      <w:color w:val="auto"/>
      <w:lang w:val="it-IT" w:eastAsia="it-IT"/>
    </w:rPr>
  </w:style>
  <w:style w:type="table" w:styleId="TableClassic2">
    <w:name w:val="Table Classic 2"/>
    <w:basedOn w:val="TableNormal"/>
    <w:rsid w:val="00096C64"/>
    <w:pPr>
      <w:spacing w:before="0" w:after="0" w:line="240" w:lineRule="auto"/>
      <w:jc w:val="left"/>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096C64"/>
    <w:pPr>
      <w:spacing w:before="0" w:after="0" w:line="240" w:lineRule="auto"/>
      <w:jc w:val="left"/>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8">
    <w:name w:val="Table List 8"/>
    <w:basedOn w:val="TableNormal"/>
    <w:rsid w:val="00096C64"/>
    <w:pPr>
      <w:spacing w:before="0" w:after="0" w:line="240" w:lineRule="auto"/>
      <w:jc w:val="left"/>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Heading">
    <w:name w:val="TOC Heading"/>
    <w:basedOn w:val="Heading1"/>
    <w:next w:val="Normal"/>
    <w:uiPriority w:val="39"/>
    <w:unhideWhenUsed/>
    <w:qFormat/>
    <w:rsid w:val="00E71402"/>
    <w:pPr>
      <w:numPr>
        <w:numId w:val="0"/>
      </w:numPr>
      <w:spacing w:line="276" w:lineRule="auto"/>
      <w:jc w:val="left"/>
      <w:outlineLvl w:val="9"/>
    </w:pPr>
    <w:rPr>
      <w:rFonts w:asciiTheme="majorHAnsi" w:hAnsiTheme="majorHAnsi"/>
      <w:color w:val="365F91" w:themeColor="accent1" w:themeShade="BF"/>
      <w:sz w:val="28"/>
      <w:lang w:val="en-US"/>
    </w:rPr>
  </w:style>
  <w:style w:type="paragraph" w:styleId="TOC4">
    <w:name w:val="toc 4"/>
    <w:basedOn w:val="Normal"/>
    <w:next w:val="Normal"/>
    <w:autoRedefine/>
    <w:uiPriority w:val="39"/>
    <w:unhideWhenUsed/>
    <w:rsid w:val="00E71402"/>
    <w:pPr>
      <w:spacing w:after="100"/>
      <w:ind w:left="720"/>
    </w:pPr>
  </w:style>
  <w:style w:type="paragraph" w:customStyle="1" w:styleId="Title1">
    <w:name w:val="Title1"/>
    <w:basedOn w:val="Normal"/>
    <w:rsid w:val="00F550D6"/>
    <w:pPr>
      <w:spacing w:before="100" w:beforeAutospacing="1" w:after="100" w:afterAutospacing="1"/>
      <w:jc w:val="left"/>
    </w:pPr>
    <w:rPr>
      <w:rFonts w:cs="Times New Roman"/>
      <w:color w:val="003371"/>
      <w:sz w:val="34"/>
      <w:szCs w:val="34"/>
      <w:lang w:val="en-US"/>
    </w:rPr>
  </w:style>
  <w:style w:type="paragraph" w:customStyle="1" w:styleId="links">
    <w:name w:val="links"/>
    <w:basedOn w:val="Normal"/>
    <w:rsid w:val="00F550D6"/>
    <w:pPr>
      <w:spacing w:before="100" w:beforeAutospacing="1" w:after="100" w:afterAutospacing="1"/>
      <w:jc w:val="left"/>
    </w:pPr>
    <w:rPr>
      <w:rFonts w:cs="Times New Roman"/>
      <w:color w:val="003371"/>
      <w:sz w:val="20"/>
      <w:szCs w:val="20"/>
      <w:lang w:val="en-US"/>
    </w:rPr>
  </w:style>
  <w:style w:type="character" w:customStyle="1" w:styleId="title2">
    <w:name w:val="title2"/>
    <w:basedOn w:val="DefaultParagraphFont"/>
    <w:rsid w:val="00F550D6"/>
    <w:rPr>
      <w:rFonts w:ascii="Times New Roman" w:hAnsi="Times New Roman" w:cs="Times New Roman" w:hint="default"/>
      <w:b w:val="0"/>
      <w:bCs w:val="0"/>
      <w:strike w:val="0"/>
      <w:dstrike w:val="0"/>
      <w:color w:val="003371"/>
      <w:sz w:val="34"/>
      <w:szCs w:val="34"/>
      <w:u w:val="none"/>
      <w:effect w:val="none"/>
    </w:rPr>
  </w:style>
  <w:style w:type="paragraph" w:customStyle="1" w:styleId="text">
    <w:name w:val="text"/>
    <w:basedOn w:val="Normal"/>
    <w:rsid w:val="00D06F0E"/>
    <w:pPr>
      <w:spacing w:before="100" w:beforeAutospacing="1" w:after="100" w:afterAutospacing="1" w:line="300" w:lineRule="atLeast"/>
    </w:pPr>
    <w:rPr>
      <w:rFonts w:ascii="Tahoma" w:hAnsi="Tahoma" w:cs="Tahoma"/>
      <w:color w:val="000000"/>
      <w:sz w:val="18"/>
      <w:szCs w:val="18"/>
      <w:lang w:val="en-US"/>
    </w:rPr>
  </w:style>
  <w:style w:type="paragraph" w:styleId="DocumentMap">
    <w:name w:val="Document Map"/>
    <w:basedOn w:val="Normal"/>
    <w:link w:val="DocumentMapChar"/>
    <w:uiPriority w:val="99"/>
    <w:semiHidden/>
    <w:unhideWhenUsed/>
    <w:rsid w:val="006D78D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78DC"/>
    <w:rPr>
      <w:rFonts w:ascii="Tahoma" w:eastAsia="Times New Roman" w:hAnsi="Tahoma" w:cs="Tahoma"/>
      <w:sz w:val="16"/>
      <w:szCs w:val="16"/>
      <w:lang w:val="en-GB"/>
    </w:rPr>
  </w:style>
  <w:style w:type="table" w:styleId="TableGrid">
    <w:name w:val="Table Grid"/>
    <w:basedOn w:val="TableNormal"/>
    <w:uiPriority w:val="59"/>
    <w:rsid w:val="00106C0D"/>
    <w:pPr>
      <w:spacing w:before="0" w:after="0" w:line="240" w:lineRule="auto"/>
      <w:jc w:val="left"/>
    </w:pPr>
    <w:rPr>
      <w:rFonts w:asciiTheme="majorHAnsi" w:eastAsiaTheme="majorEastAsia"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15D58"/>
    <w:rPr>
      <w:sz w:val="16"/>
      <w:szCs w:val="16"/>
    </w:rPr>
  </w:style>
  <w:style w:type="paragraph" w:styleId="CommentText">
    <w:name w:val="annotation text"/>
    <w:basedOn w:val="Normal"/>
    <w:link w:val="CommentTextChar"/>
    <w:uiPriority w:val="99"/>
    <w:semiHidden/>
    <w:unhideWhenUsed/>
    <w:rsid w:val="00C15D58"/>
    <w:rPr>
      <w:sz w:val="20"/>
      <w:szCs w:val="20"/>
    </w:rPr>
  </w:style>
  <w:style w:type="character" w:customStyle="1" w:styleId="CommentTextChar">
    <w:name w:val="Comment Text Char"/>
    <w:basedOn w:val="DefaultParagraphFont"/>
    <w:link w:val="CommentText"/>
    <w:uiPriority w:val="99"/>
    <w:semiHidden/>
    <w:rsid w:val="00C15D58"/>
    <w:rPr>
      <w:rFonts w:ascii="Times New Roman" w:eastAsia="Times New Roman" w:hAnsi="Times New Roman" w:cs="Angsana New"/>
      <w:sz w:val="20"/>
      <w:szCs w:val="20"/>
      <w:lang w:val="en-GB"/>
    </w:rPr>
  </w:style>
  <w:style w:type="paragraph" w:styleId="CommentSubject">
    <w:name w:val="annotation subject"/>
    <w:basedOn w:val="CommentText"/>
    <w:next w:val="CommentText"/>
    <w:link w:val="CommentSubjectChar"/>
    <w:uiPriority w:val="99"/>
    <w:semiHidden/>
    <w:unhideWhenUsed/>
    <w:rsid w:val="00C15D58"/>
    <w:rPr>
      <w:b/>
      <w:bCs/>
    </w:rPr>
  </w:style>
  <w:style w:type="character" w:customStyle="1" w:styleId="CommentSubjectChar">
    <w:name w:val="Comment Subject Char"/>
    <w:basedOn w:val="CommentTextChar"/>
    <w:link w:val="CommentSubject"/>
    <w:uiPriority w:val="99"/>
    <w:semiHidden/>
    <w:rsid w:val="00C15D58"/>
    <w:rPr>
      <w:rFonts w:ascii="Times New Roman" w:eastAsia="Times New Roman" w:hAnsi="Times New Roman" w:cs="Angsana New"/>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62">
      <w:bodyDiv w:val="1"/>
      <w:marLeft w:val="0"/>
      <w:marRight w:val="0"/>
      <w:marTop w:val="0"/>
      <w:marBottom w:val="0"/>
      <w:divBdr>
        <w:top w:val="none" w:sz="0" w:space="0" w:color="auto"/>
        <w:left w:val="none" w:sz="0" w:space="0" w:color="auto"/>
        <w:bottom w:val="none" w:sz="0" w:space="0" w:color="auto"/>
        <w:right w:val="none" w:sz="0" w:space="0" w:color="auto"/>
      </w:divBdr>
    </w:div>
    <w:div w:id="260915866">
      <w:bodyDiv w:val="1"/>
      <w:marLeft w:val="0"/>
      <w:marRight w:val="0"/>
      <w:marTop w:val="0"/>
      <w:marBottom w:val="0"/>
      <w:divBdr>
        <w:top w:val="none" w:sz="0" w:space="0" w:color="auto"/>
        <w:left w:val="none" w:sz="0" w:space="0" w:color="auto"/>
        <w:bottom w:val="none" w:sz="0" w:space="0" w:color="auto"/>
        <w:right w:val="none" w:sz="0" w:space="0" w:color="auto"/>
      </w:divBdr>
      <w:divsChild>
        <w:div w:id="1240796158">
          <w:marLeft w:val="0"/>
          <w:marRight w:val="0"/>
          <w:marTop w:val="100"/>
          <w:marBottom w:val="100"/>
          <w:divBdr>
            <w:top w:val="none" w:sz="0" w:space="0" w:color="auto"/>
            <w:left w:val="none" w:sz="0" w:space="0" w:color="auto"/>
            <w:bottom w:val="none" w:sz="0" w:space="0" w:color="auto"/>
            <w:right w:val="none" w:sz="0" w:space="0" w:color="auto"/>
          </w:divBdr>
          <w:divsChild>
            <w:div w:id="197276167">
              <w:marLeft w:val="0"/>
              <w:marRight w:val="0"/>
              <w:marTop w:val="0"/>
              <w:marBottom w:val="0"/>
              <w:divBdr>
                <w:top w:val="none" w:sz="0" w:space="0" w:color="auto"/>
                <w:left w:val="none" w:sz="0" w:space="0" w:color="auto"/>
                <w:bottom w:val="none" w:sz="0" w:space="0" w:color="auto"/>
                <w:right w:val="none" w:sz="0" w:space="0" w:color="auto"/>
              </w:divBdr>
              <w:divsChild>
                <w:div w:id="330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5299">
      <w:bodyDiv w:val="1"/>
      <w:marLeft w:val="0"/>
      <w:marRight w:val="0"/>
      <w:marTop w:val="0"/>
      <w:marBottom w:val="0"/>
      <w:divBdr>
        <w:top w:val="none" w:sz="0" w:space="0" w:color="auto"/>
        <w:left w:val="none" w:sz="0" w:space="0" w:color="auto"/>
        <w:bottom w:val="none" w:sz="0" w:space="0" w:color="auto"/>
        <w:right w:val="none" w:sz="0" w:space="0" w:color="auto"/>
      </w:divBdr>
      <w:divsChild>
        <w:div w:id="1723363560">
          <w:marLeft w:val="1166"/>
          <w:marRight w:val="0"/>
          <w:marTop w:val="238"/>
          <w:marBottom w:val="0"/>
          <w:divBdr>
            <w:top w:val="none" w:sz="0" w:space="0" w:color="auto"/>
            <w:left w:val="none" w:sz="0" w:space="0" w:color="auto"/>
            <w:bottom w:val="none" w:sz="0" w:space="0" w:color="auto"/>
            <w:right w:val="none" w:sz="0" w:space="0" w:color="auto"/>
          </w:divBdr>
        </w:div>
        <w:div w:id="638153127">
          <w:marLeft w:val="1166"/>
          <w:marRight w:val="0"/>
          <w:marTop w:val="238"/>
          <w:marBottom w:val="0"/>
          <w:divBdr>
            <w:top w:val="none" w:sz="0" w:space="0" w:color="auto"/>
            <w:left w:val="none" w:sz="0" w:space="0" w:color="auto"/>
            <w:bottom w:val="none" w:sz="0" w:space="0" w:color="auto"/>
            <w:right w:val="none" w:sz="0" w:space="0" w:color="auto"/>
          </w:divBdr>
        </w:div>
        <w:div w:id="943924634">
          <w:marLeft w:val="1166"/>
          <w:marRight w:val="0"/>
          <w:marTop w:val="238"/>
          <w:marBottom w:val="0"/>
          <w:divBdr>
            <w:top w:val="none" w:sz="0" w:space="0" w:color="auto"/>
            <w:left w:val="none" w:sz="0" w:space="0" w:color="auto"/>
            <w:bottom w:val="none" w:sz="0" w:space="0" w:color="auto"/>
            <w:right w:val="none" w:sz="0" w:space="0" w:color="auto"/>
          </w:divBdr>
        </w:div>
      </w:divsChild>
    </w:div>
    <w:div w:id="917521401">
      <w:bodyDiv w:val="1"/>
      <w:marLeft w:val="0"/>
      <w:marRight w:val="0"/>
      <w:marTop w:val="0"/>
      <w:marBottom w:val="0"/>
      <w:divBdr>
        <w:top w:val="none" w:sz="0" w:space="0" w:color="auto"/>
        <w:left w:val="none" w:sz="0" w:space="0" w:color="auto"/>
        <w:bottom w:val="none" w:sz="0" w:space="0" w:color="auto"/>
        <w:right w:val="none" w:sz="0" w:space="0" w:color="auto"/>
      </w:divBdr>
    </w:div>
    <w:div w:id="1011491909">
      <w:bodyDiv w:val="1"/>
      <w:marLeft w:val="0"/>
      <w:marRight w:val="0"/>
      <w:marTop w:val="0"/>
      <w:marBottom w:val="0"/>
      <w:divBdr>
        <w:top w:val="none" w:sz="0" w:space="0" w:color="auto"/>
        <w:left w:val="none" w:sz="0" w:space="0" w:color="auto"/>
        <w:bottom w:val="none" w:sz="0" w:space="0" w:color="auto"/>
        <w:right w:val="none" w:sz="0" w:space="0" w:color="auto"/>
      </w:divBdr>
    </w:div>
    <w:div w:id="1824589796">
      <w:bodyDiv w:val="1"/>
      <w:marLeft w:val="0"/>
      <w:marRight w:val="0"/>
      <w:marTop w:val="0"/>
      <w:marBottom w:val="0"/>
      <w:divBdr>
        <w:top w:val="none" w:sz="0" w:space="0" w:color="auto"/>
        <w:left w:val="none" w:sz="0" w:space="0" w:color="auto"/>
        <w:bottom w:val="none" w:sz="0" w:space="0" w:color="auto"/>
        <w:right w:val="none" w:sz="0" w:space="0" w:color="auto"/>
      </w:divBdr>
      <w:divsChild>
        <w:div w:id="1966496617">
          <w:marLeft w:val="300"/>
          <w:marRight w:val="300"/>
          <w:marTop w:val="0"/>
          <w:marBottom w:val="0"/>
          <w:divBdr>
            <w:top w:val="none" w:sz="0" w:space="0" w:color="auto"/>
            <w:left w:val="none" w:sz="0" w:space="0" w:color="auto"/>
            <w:bottom w:val="none" w:sz="0" w:space="0" w:color="auto"/>
            <w:right w:val="none" w:sz="0" w:space="0" w:color="auto"/>
          </w:divBdr>
        </w:div>
      </w:divsChild>
    </w:div>
    <w:div w:id="1871185841">
      <w:bodyDiv w:val="1"/>
      <w:marLeft w:val="0"/>
      <w:marRight w:val="0"/>
      <w:marTop w:val="0"/>
      <w:marBottom w:val="0"/>
      <w:divBdr>
        <w:top w:val="none" w:sz="0" w:space="0" w:color="auto"/>
        <w:left w:val="none" w:sz="0" w:space="0" w:color="auto"/>
        <w:bottom w:val="none" w:sz="0" w:space="0" w:color="auto"/>
        <w:right w:val="none" w:sz="0" w:space="0" w:color="auto"/>
      </w:divBdr>
    </w:div>
    <w:div w:id="1980190437">
      <w:bodyDiv w:val="1"/>
      <w:marLeft w:val="0"/>
      <w:marRight w:val="0"/>
      <w:marTop w:val="0"/>
      <w:marBottom w:val="0"/>
      <w:divBdr>
        <w:top w:val="none" w:sz="0" w:space="0" w:color="auto"/>
        <w:left w:val="none" w:sz="0" w:space="0" w:color="auto"/>
        <w:bottom w:val="none" w:sz="0" w:space="0" w:color="auto"/>
        <w:right w:val="none" w:sz="0" w:space="0" w:color="auto"/>
      </w:divBdr>
    </w:div>
    <w:div w:id="1984004024">
      <w:bodyDiv w:val="1"/>
      <w:marLeft w:val="0"/>
      <w:marRight w:val="0"/>
      <w:marTop w:val="0"/>
      <w:marBottom w:val="0"/>
      <w:divBdr>
        <w:top w:val="none" w:sz="0" w:space="0" w:color="auto"/>
        <w:left w:val="none" w:sz="0" w:space="0" w:color="auto"/>
        <w:bottom w:val="none" w:sz="0" w:space="0" w:color="auto"/>
        <w:right w:val="none" w:sz="0" w:space="0" w:color="auto"/>
      </w:divBdr>
      <w:divsChild>
        <w:div w:id="1183743969">
          <w:marLeft w:val="0"/>
          <w:marRight w:val="0"/>
          <w:marTop w:val="0"/>
          <w:marBottom w:val="0"/>
          <w:divBdr>
            <w:top w:val="none" w:sz="0" w:space="0" w:color="auto"/>
            <w:left w:val="none" w:sz="0" w:space="0" w:color="auto"/>
            <w:bottom w:val="none" w:sz="0" w:space="0" w:color="auto"/>
            <w:right w:val="none" w:sz="0" w:space="0" w:color="auto"/>
          </w:divBdr>
          <w:divsChild>
            <w:div w:id="285350832">
              <w:marLeft w:val="0"/>
              <w:marRight w:val="0"/>
              <w:marTop w:val="0"/>
              <w:marBottom w:val="0"/>
              <w:divBdr>
                <w:top w:val="none" w:sz="0" w:space="0" w:color="auto"/>
                <w:left w:val="none" w:sz="0" w:space="0" w:color="auto"/>
                <w:bottom w:val="none" w:sz="0" w:space="0" w:color="auto"/>
                <w:right w:val="none" w:sz="0" w:space="0" w:color="auto"/>
              </w:divBdr>
              <w:divsChild>
                <w:div w:id="210848143">
                  <w:marLeft w:val="0"/>
                  <w:marRight w:val="0"/>
                  <w:marTop w:val="0"/>
                  <w:marBottom w:val="0"/>
                  <w:divBdr>
                    <w:top w:val="none" w:sz="0" w:space="0" w:color="auto"/>
                    <w:left w:val="none" w:sz="0" w:space="0" w:color="auto"/>
                    <w:bottom w:val="none" w:sz="0" w:space="0" w:color="auto"/>
                    <w:right w:val="none" w:sz="0" w:space="0" w:color="auto"/>
                  </w:divBdr>
                  <w:divsChild>
                    <w:div w:id="1125659555">
                      <w:marLeft w:val="225"/>
                      <w:marRight w:val="0"/>
                      <w:marTop w:val="0"/>
                      <w:marBottom w:val="0"/>
                      <w:divBdr>
                        <w:top w:val="none" w:sz="0" w:space="0" w:color="auto"/>
                        <w:left w:val="none" w:sz="0" w:space="0" w:color="auto"/>
                        <w:bottom w:val="none" w:sz="0" w:space="0" w:color="auto"/>
                        <w:right w:val="none" w:sz="0" w:space="0" w:color="auto"/>
                      </w:divBdr>
                      <w:divsChild>
                        <w:div w:id="1456557223">
                          <w:marLeft w:val="0"/>
                          <w:marRight w:val="0"/>
                          <w:marTop w:val="0"/>
                          <w:marBottom w:val="0"/>
                          <w:divBdr>
                            <w:top w:val="none" w:sz="0" w:space="0" w:color="auto"/>
                            <w:left w:val="none" w:sz="0" w:space="0" w:color="auto"/>
                            <w:bottom w:val="none" w:sz="0" w:space="0" w:color="auto"/>
                            <w:right w:val="none" w:sz="0" w:space="0" w:color="auto"/>
                          </w:divBdr>
                          <w:divsChild>
                            <w:div w:id="367338704">
                              <w:marLeft w:val="0"/>
                              <w:marRight w:val="0"/>
                              <w:marTop w:val="0"/>
                              <w:marBottom w:val="0"/>
                              <w:divBdr>
                                <w:top w:val="none" w:sz="0" w:space="0" w:color="auto"/>
                                <w:left w:val="none" w:sz="0" w:space="0" w:color="auto"/>
                                <w:bottom w:val="none" w:sz="0" w:space="0" w:color="auto"/>
                                <w:right w:val="none" w:sz="0" w:space="0" w:color="auto"/>
                              </w:divBdr>
                              <w:divsChild>
                                <w:div w:id="628512895">
                                  <w:marLeft w:val="0"/>
                                  <w:marRight w:val="0"/>
                                  <w:marTop w:val="0"/>
                                  <w:marBottom w:val="0"/>
                                  <w:divBdr>
                                    <w:top w:val="none" w:sz="0" w:space="0" w:color="auto"/>
                                    <w:left w:val="none" w:sz="0" w:space="0" w:color="auto"/>
                                    <w:bottom w:val="none" w:sz="0" w:space="0" w:color="auto"/>
                                    <w:right w:val="none" w:sz="0" w:space="0" w:color="auto"/>
                                  </w:divBdr>
                                  <w:divsChild>
                                    <w:div w:id="10537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nationalagenda.jo/Portals/0/EnglishBooklet.pdf" TargetMode="External"/><Relationship Id="rId2" Type="http://schemas.openxmlformats.org/officeDocument/2006/relationships/hyperlink" Target="http://www.imf.org/external/pubs/ft/scr/2009/cr09159.pdf" TargetMode="External"/><Relationship Id="rId1" Type="http://schemas.openxmlformats.org/officeDocument/2006/relationships/hyperlink" Target="http://www.imf.org/external/pubs/ft/weo/2010/01/index.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lang="it-IT"/>
            </a:pPr>
            <a:r>
              <a:rPr lang="it-IT"/>
              <a:t>GDP Distribution by sector (2008)</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cat>
            <c:strRef>
              <c:f>Foglio1!$N$29:$N$31</c:f>
              <c:strCache>
                <c:ptCount val="3"/>
                <c:pt idx="0">
                  <c:v>Agriculture  </c:v>
                </c:pt>
                <c:pt idx="1">
                  <c:v>Industry   </c:v>
                </c:pt>
                <c:pt idx="2">
                  <c:v>Services </c:v>
                </c:pt>
              </c:strCache>
            </c:strRef>
          </c:cat>
          <c:val>
            <c:numRef>
              <c:f>Foglio1!$O$29:$O$31</c:f>
              <c:numCache>
                <c:formatCode>General</c:formatCode>
                <c:ptCount val="3"/>
                <c:pt idx="0">
                  <c:v>2.9</c:v>
                </c:pt>
                <c:pt idx="1">
                  <c:v>34.1</c:v>
                </c:pt>
                <c:pt idx="2">
                  <c:v>63</c:v>
                </c:pt>
              </c:numCache>
            </c:numRef>
          </c:val>
        </c:ser>
        <c:dLbls>
          <c:showLegendKey val="0"/>
          <c:showVal val="0"/>
          <c:showCatName val="0"/>
          <c:showSerName val="0"/>
          <c:showPercent val="1"/>
          <c:showBubbleSize val="0"/>
          <c:showLeaderLines val="0"/>
        </c:dLbls>
      </c:pie3DChart>
      <c:spPr>
        <a:ln>
          <a:noFill/>
        </a:ln>
      </c:spPr>
    </c:plotArea>
    <c:legend>
      <c:legendPos val="r"/>
      <c:overlay val="0"/>
      <c:txPr>
        <a:bodyPr/>
        <a:lstStyle/>
        <a:p>
          <a:pPr>
            <a:defRPr lang="it-IT"/>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C921-C425-4B6D-A7FA-49E630C6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17326</Words>
  <Characters>98761</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dc:creator>
  <cp:lastModifiedBy>Katia Madanat</cp:lastModifiedBy>
  <cp:revision>2</cp:revision>
  <dcterms:created xsi:type="dcterms:W3CDTF">2012-06-17T11:12:00Z</dcterms:created>
  <dcterms:modified xsi:type="dcterms:W3CDTF">2012-06-17T11:12:00Z</dcterms:modified>
</cp:coreProperties>
</file>