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1CCF" w:rsidRPr="000A3C73" w:rsidRDefault="00741CCF" w:rsidP="00B41E00">
      <w:pPr>
        <w:jc w:val="center"/>
        <w:rPr>
          <w:rFonts w:ascii="Calibri" w:hAnsi="Calibri"/>
          <w:b/>
          <w:sz w:val="44"/>
          <w:szCs w:val="40"/>
        </w:rPr>
      </w:pPr>
      <w:r w:rsidRPr="000A3C73">
        <w:rPr>
          <w:rFonts w:ascii="Calibri" w:hAnsi="Calibri"/>
          <w:b/>
          <w:sz w:val="44"/>
          <w:szCs w:val="40"/>
        </w:rPr>
        <w:t xml:space="preserve">Integrated Ecosystem Management in the </w:t>
      </w:r>
    </w:p>
    <w:p w:rsidR="00B41E00" w:rsidRPr="00FC657B" w:rsidRDefault="00741CCF" w:rsidP="00B41E00">
      <w:pPr>
        <w:jc w:val="center"/>
        <w:rPr>
          <w:rFonts w:ascii="Calibri" w:hAnsi="Calibri"/>
          <w:b/>
          <w:sz w:val="44"/>
          <w:szCs w:val="40"/>
        </w:rPr>
      </w:pPr>
      <w:r w:rsidRPr="00FC657B">
        <w:rPr>
          <w:rFonts w:ascii="Calibri" w:hAnsi="Calibri"/>
          <w:b/>
          <w:sz w:val="44"/>
          <w:szCs w:val="40"/>
        </w:rPr>
        <w:t>Prespa Lakes Basin (Regional)</w:t>
      </w:r>
    </w:p>
    <w:p w:rsidR="003D3161" w:rsidRPr="00FC657B" w:rsidRDefault="003D3161" w:rsidP="00B41E00">
      <w:pPr>
        <w:jc w:val="center"/>
        <w:rPr>
          <w:rFonts w:ascii="Calibri" w:hAnsi="Calibri"/>
          <w:sz w:val="22"/>
        </w:rPr>
      </w:pPr>
    </w:p>
    <w:p w:rsidR="00B41E00" w:rsidRPr="00FC657B" w:rsidRDefault="000C4A08" w:rsidP="00B41E00">
      <w:pPr>
        <w:jc w:val="center"/>
        <w:rPr>
          <w:rFonts w:ascii="Calibri" w:hAnsi="Calibri"/>
          <w:b/>
          <w:i/>
          <w:sz w:val="36"/>
        </w:rPr>
      </w:pPr>
      <w:r w:rsidRPr="00FC657B">
        <w:rPr>
          <w:rFonts w:ascii="Calibri" w:hAnsi="Calibri"/>
          <w:b/>
          <w:i/>
          <w:sz w:val="36"/>
        </w:rPr>
        <w:t>Albania, FYR Macedonia, Greece</w:t>
      </w:r>
    </w:p>
    <w:p w:rsidR="00B41E00" w:rsidRPr="00FC657B" w:rsidRDefault="00B41E00" w:rsidP="00B41E00">
      <w:pPr>
        <w:jc w:val="center"/>
        <w:rPr>
          <w:rFonts w:ascii="Calibri" w:hAnsi="Calibri"/>
        </w:rPr>
      </w:pPr>
    </w:p>
    <w:p w:rsidR="00B41E00" w:rsidRPr="00FC657B" w:rsidRDefault="0036019F" w:rsidP="00B41E00">
      <w:pPr>
        <w:jc w:val="center"/>
        <w:rPr>
          <w:rFonts w:ascii="Calibri" w:hAnsi="Calibri"/>
          <w:b/>
        </w:rPr>
      </w:pPr>
      <w:r w:rsidRPr="00FC657B">
        <w:rPr>
          <w:rFonts w:ascii="Calibri" w:hAnsi="Calibri"/>
          <w:b/>
        </w:rPr>
        <w:t>GEF Agency</w:t>
      </w:r>
      <w:r w:rsidR="00B41E00" w:rsidRPr="00FC657B">
        <w:rPr>
          <w:rFonts w:ascii="Calibri" w:hAnsi="Calibri"/>
          <w:b/>
        </w:rPr>
        <w:t xml:space="preserve">: </w:t>
      </w:r>
      <w:r w:rsidR="00A82486" w:rsidRPr="00FC657B">
        <w:rPr>
          <w:rFonts w:ascii="Calibri" w:hAnsi="Calibri"/>
          <w:b/>
        </w:rPr>
        <w:t>United Nations Development Programme</w:t>
      </w:r>
    </w:p>
    <w:p w:rsidR="00A8168C" w:rsidRPr="00FC657B" w:rsidRDefault="000C4A08" w:rsidP="00B41E00">
      <w:pPr>
        <w:jc w:val="center"/>
        <w:rPr>
          <w:rFonts w:ascii="Calibri" w:hAnsi="Calibri"/>
          <w:b/>
        </w:rPr>
      </w:pPr>
      <w:r w:rsidRPr="00FC657B">
        <w:rPr>
          <w:rFonts w:ascii="Calibri" w:hAnsi="Calibri"/>
          <w:b/>
        </w:rPr>
        <w:t>Executing Agencies</w:t>
      </w:r>
      <w:r w:rsidR="00B41E00" w:rsidRPr="00FC657B">
        <w:rPr>
          <w:rFonts w:ascii="Calibri" w:hAnsi="Calibri"/>
          <w:b/>
        </w:rPr>
        <w:t xml:space="preserve">: </w:t>
      </w:r>
      <w:r w:rsidR="006C17C1" w:rsidRPr="00FC657B">
        <w:rPr>
          <w:rFonts w:ascii="Calibri" w:hAnsi="Calibri"/>
          <w:b/>
        </w:rPr>
        <w:t>Ministry of Environment</w:t>
      </w:r>
      <w:r w:rsidR="00A8168C" w:rsidRPr="00FC657B">
        <w:rPr>
          <w:rFonts w:ascii="Calibri" w:hAnsi="Calibri"/>
          <w:b/>
        </w:rPr>
        <w:t>,</w:t>
      </w:r>
      <w:r w:rsidR="006C17C1" w:rsidRPr="00FC657B">
        <w:rPr>
          <w:rFonts w:ascii="Calibri" w:hAnsi="Calibri"/>
          <w:b/>
        </w:rPr>
        <w:t xml:space="preserve"> Forest</w:t>
      </w:r>
      <w:r w:rsidR="00A8168C" w:rsidRPr="00FC657B">
        <w:rPr>
          <w:rFonts w:ascii="Calibri" w:hAnsi="Calibri"/>
          <w:b/>
        </w:rPr>
        <w:t>s</w:t>
      </w:r>
      <w:r w:rsidR="006C17C1" w:rsidRPr="00FC657B">
        <w:rPr>
          <w:rFonts w:ascii="Calibri" w:hAnsi="Calibri"/>
          <w:b/>
        </w:rPr>
        <w:t xml:space="preserve"> and Water Management (Albania); Ministry of Environment and Physical Planning (FYR Macedonia); </w:t>
      </w:r>
    </w:p>
    <w:p w:rsidR="00501146" w:rsidRPr="00FC657B" w:rsidRDefault="006C17C1" w:rsidP="00B41E00">
      <w:pPr>
        <w:jc w:val="center"/>
        <w:rPr>
          <w:rFonts w:ascii="Calibri" w:hAnsi="Calibri"/>
          <w:b/>
        </w:rPr>
      </w:pPr>
      <w:r w:rsidRPr="00FC657B">
        <w:rPr>
          <w:rFonts w:ascii="Calibri" w:hAnsi="Calibri"/>
          <w:b/>
        </w:rPr>
        <w:t>UNDP Macedonia Country Office (Transboundary)</w:t>
      </w:r>
    </w:p>
    <w:p w:rsidR="00B41E00" w:rsidRPr="00FC657B" w:rsidRDefault="00B41E00" w:rsidP="00B41E00">
      <w:pPr>
        <w:jc w:val="center"/>
        <w:rPr>
          <w:rFonts w:ascii="Calibri" w:hAnsi="Calibri"/>
        </w:rPr>
      </w:pPr>
    </w:p>
    <w:p w:rsidR="0054408C" w:rsidRPr="00FC657B" w:rsidRDefault="00741CCF" w:rsidP="00B41E00">
      <w:pPr>
        <w:jc w:val="center"/>
        <w:rPr>
          <w:rFonts w:ascii="Calibri" w:hAnsi="Calibri"/>
          <w:b/>
          <w:sz w:val="32"/>
        </w:rPr>
      </w:pPr>
      <w:r w:rsidRPr="00FC657B">
        <w:rPr>
          <w:rFonts w:ascii="Calibri" w:hAnsi="Calibri"/>
          <w:b/>
          <w:noProof/>
          <w:sz w:val="32"/>
        </w:rPr>
        <w:drawing>
          <wp:inline distT="0" distB="0" distL="0" distR="0">
            <wp:extent cx="5785393" cy="3873500"/>
            <wp:effectExtent l="25400" t="25400" r="3175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413_coverB.jpg"/>
                    <pic:cNvPicPr/>
                  </pic:nvPicPr>
                  <pic:blipFill>
                    <a:blip r:embed="rId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787391" cy="3874838"/>
                    </a:xfrm>
                    <a:prstGeom prst="rect">
                      <a:avLst/>
                    </a:prstGeom>
                    <a:ln w="28575" cmpd="sng">
                      <a:solidFill>
                        <a:schemeClr val="tx1"/>
                      </a:solidFill>
                    </a:ln>
                  </pic:spPr>
                </pic:pic>
              </a:graphicData>
            </a:graphic>
          </wp:inline>
        </w:drawing>
      </w:r>
    </w:p>
    <w:p w:rsidR="00741CCF" w:rsidRPr="00FC657B" w:rsidRDefault="00741CCF" w:rsidP="00B41E00">
      <w:pPr>
        <w:jc w:val="center"/>
        <w:rPr>
          <w:rFonts w:ascii="Calibri" w:hAnsi="Calibri"/>
          <w:b/>
          <w:sz w:val="28"/>
        </w:rPr>
      </w:pPr>
    </w:p>
    <w:p w:rsidR="000C4A08" w:rsidRPr="00FC657B" w:rsidRDefault="00B41E00" w:rsidP="00B41E00">
      <w:pPr>
        <w:jc w:val="center"/>
        <w:rPr>
          <w:rFonts w:ascii="Calibri" w:hAnsi="Calibri"/>
          <w:b/>
        </w:rPr>
      </w:pPr>
      <w:r w:rsidRPr="00FC657B">
        <w:rPr>
          <w:rFonts w:ascii="Calibri" w:hAnsi="Calibri"/>
          <w:b/>
        </w:rPr>
        <w:t xml:space="preserve">GEF </w:t>
      </w:r>
      <w:r w:rsidR="000C4A08" w:rsidRPr="00FC657B">
        <w:rPr>
          <w:rFonts w:ascii="Calibri" w:hAnsi="Calibri"/>
          <w:b/>
        </w:rPr>
        <w:t>Biodiversity and International Waters</w:t>
      </w:r>
      <w:r w:rsidR="0098263D" w:rsidRPr="00FC657B">
        <w:rPr>
          <w:rFonts w:ascii="Calibri" w:hAnsi="Calibri"/>
          <w:b/>
        </w:rPr>
        <w:t xml:space="preserve"> Focal Areas</w:t>
      </w:r>
      <w:r w:rsidR="00A8168C" w:rsidRPr="00FC657B">
        <w:rPr>
          <w:rFonts w:ascii="Calibri" w:hAnsi="Calibri"/>
          <w:b/>
        </w:rPr>
        <w:t xml:space="preserve"> (Multifocal)</w:t>
      </w:r>
    </w:p>
    <w:p w:rsidR="00B41E00" w:rsidRPr="00FC657B" w:rsidRDefault="0098263D" w:rsidP="00B41E00">
      <w:pPr>
        <w:jc w:val="center"/>
        <w:rPr>
          <w:rFonts w:ascii="Calibri" w:hAnsi="Calibri"/>
          <w:b/>
        </w:rPr>
      </w:pPr>
      <w:r w:rsidRPr="00FC657B">
        <w:rPr>
          <w:rFonts w:ascii="Calibri" w:hAnsi="Calibri"/>
          <w:b/>
        </w:rPr>
        <w:t>GEF Operational Programs 2, 4, 8, 9, 12</w:t>
      </w:r>
    </w:p>
    <w:p w:rsidR="00A82486" w:rsidRPr="00FC657B" w:rsidRDefault="000C4A08" w:rsidP="00A82486">
      <w:pPr>
        <w:jc w:val="center"/>
        <w:rPr>
          <w:rFonts w:ascii="Calibri" w:hAnsi="Calibri"/>
          <w:b/>
        </w:rPr>
      </w:pPr>
      <w:r w:rsidRPr="00FC657B">
        <w:rPr>
          <w:rFonts w:ascii="Calibri" w:hAnsi="Calibri"/>
          <w:b/>
        </w:rPr>
        <w:t>Full</w:t>
      </w:r>
      <w:r w:rsidR="0033437C" w:rsidRPr="00FC657B">
        <w:rPr>
          <w:rFonts w:ascii="Calibri" w:hAnsi="Calibri"/>
          <w:b/>
        </w:rPr>
        <w:t>-s</w:t>
      </w:r>
      <w:r w:rsidR="003D3161" w:rsidRPr="00FC657B">
        <w:rPr>
          <w:rFonts w:ascii="Calibri" w:hAnsi="Calibri"/>
          <w:b/>
        </w:rPr>
        <w:t>ized Project</w:t>
      </w:r>
      <w:r w:rsidR="00B05818" w:rsidRPr="00FC657B">
        <w:rPr>
          <w:rFonts w:ascii="Calibri" w:hAnsi="Calibri"/>
          <w:b/>
        </w:rPr>
        <w:t xml:space="preserve">: </w:t>
      </w:r>
      <w:r w:rsidR="00A82486" w:rsidRPr="00FC657B">
        <w:rPr>
          <w:rFonts w:ascii="Calibri" w:hAnsi="Calibri"/>
          <w:b/>
        </w:rPr>
        <w:t xml:space="preserve">GEF ID: </w:t>
      </w:r>
      <w:r w:rsidR="00741CCF" w:rsidRPr="00FC657B">
        <w:rPr>
          <w:rFonts w:ascii="Calibri" w:hAnsi="Calibri"/>
          <w:b/>
        </w:rPr>
        <w:t>1537</w:t>
      </w:r>
      <w:r w:rsidR="00B05818" w:rsidRPr="00FC657B">
        <w:rPr>
          <w:rFonts w:ascii="Calibri" w:hAnsi="Calibri"/>
          <w:b/>
        </w:rPr>
        <w:t xml:space="preserve">, </w:t>
      </w:r>
      <w:r w:rsidR="00A82486" w:rsidRPr="00FC657B">
        <w:rPr>
          <w:rFonts w:ascii="Calibri" w:hAnsi="Calibri"/>
          <w:b/>
        </w:rPr>
        <w:t xml:space="preserve">UNDP PIMS: </w:t>
      </w:r>
      <w:r w:rsidR="00741CCF" w:rsidRPr="00FC657B">
        <w:rPr>
          <w:rFonts w:ascii="Calibri" w:hAnsi="Calibri"/>
          <w:b/>
        </w:rPr>
        <w:t>1996</w:t>
      </w:r>
    </w:p>
    <w:p w:rsidR="00A82486" w:rsidRPr="00FC657B" w:rsidRDefault="00A82486" w:rsidP="00B41E00">
      <w:pPr>
        <w:jc w:val="center"/>
        <w:rPr>
          <w:rFonts w:ascii="Calibri" w:hAnsi="Calibri"/>
          <w:b/>
        </w:rPr>
      </w:pPr>
      <w:r w:rsidRPr="00FC657B">
        <w:rPr>
          <w:rFonts w:ascii="Calibri" w:hAnsi="Calibri"/>
          <w:b/>
        </w:rPr>
        <w:t xml:space="preserve">UNDP Atlas </w:t>
      </w:r>
      <w:r w:rsidR="0098263D" w:rsidRPr="00FC657B">
        <w:rPr>
          <w:rFonts w:ascii="Calibri" w:hAnsi="Calibri"/>
          <w:b/>
        </w:rPr>
        <w:t>Project Numbers</w:t>
      </w:r>
      <w:r w:rsidRPr="00FC657B">
        <w:rPr>
          <w:rFonts w:ascii="Calibri" w:hAnsi="Calibri"/>
          <w:b/>
        </w:rPr>
        <w:t xml:space="preserve">: </w:t>
      </w:r>
      <w:r w:rsidR="0098263D" w:rsidRPr="00FC657B">
        <w:rPr>
          <w:rFonts w:ascii="Calibri" w:hAnsi="Calibri"/>
          <w:b/>
        </w:rPr>
        <w:t>00050102 (DEX – Transboundary Component), 00051409 (NEX – Macedonia Component), 00053277 (NEX – Albania Component)</w:t>
      </w:r>
    </w:p>
    <w:p w:rsidR="00B41E00" w:rsidRPr="00FC657B" w:rsidRDefault="00B41E00" w:rsidP="00B41E00">
      <w:pPr>
        <w:jc w:val="center"/>
        <w:rPr>
          <w:rFonts w:ascii="Calibri" w:hAnsi="Calibri"/>
          <w:b/>
        </w:rPr>
      </w:pPr>
    </w:p>
    <w:p w:rsidR="00B41E00" w:rsidRPr="00FC657B" w:rsidRDefault="0054408C" w:rsidP="00B41E00">
      <w:pPr>
        <w:jc w:val="center"/>
        <w:rPr>
          <w:rFonts w:ascii="Calibri" w:hAnsi="Calibri"/>
          <w:b/>
          <w:sz w:val="44"/>
        </w:rPr>
      </w:pPr>
      <w:r w:rsidRPr="00FC657B">
        <w:rPr>
          <w:rFonts w:ascii="Calibri" w:hAnsi="Calibri"/>
          <w:b/>
          <w:sz w:val="44"/>
        </w:rPr>
        <w:t>Terminal</w:t>
      </w:r>
      <w:r w:rsidR="00B41E00" w:rsidRPr="00FC657B">
        <w:rPr>
          <w:rFonts w:ascii="Calibri" w:hAnsi="Calibri"/>
          <w:b/>
          <w:sz w:val="44"/>
        </w:rPr>
        <w:t xml:space="preserve"> Evaluation</w:t>
      </w:r>
    </w:p>
    <w:p w:rsidR="00C62463" w:rsidRPr="00FC657B" w:rsidRDefault="003D54B9" w:rsidP="005F1722">
      <w:pPr>
        <w:jc w:val="center"/>
        <w:rPr>
          <w:rFonts w:ascii="Calibri" w:hAnsi="Calibri"/>
        </w:rPr>
      </w:pPr>
      <w:r w:rsidRPr="00FC657B">
        <w:rPr>
          <w:rFonts w:ascii="Calibri" w:hAnsi="Calibri"/>
          <w:b/>
          <w:sz w:val="36"/>
        </w:rPr>
        <w:t>September 22</w:t>
      </w:r>
      <w:r w:rsidR="003D3161" w:rsidRPr="00FC657B">
        <w:rPr>
          <w:rFonts w:ascii="Calibri" w:hAnsi="Calibri"/>
          <w:b/>
          <w:sz w:val="36"/>
        </w:rPr>
        <w:t>, 2012</w:t>
      </w:r>
    </w:p>
    <w:p w:rsidR="00B41E00" w:rsidRPr="00FC657B" w:rsidRDefault="00B41E00">
      <w:pPr>
        <w:rPr>
          <w:rFonts w:ascii="Calibri" w:hAnsi="Calibri"/>
        </w:rPr>
        <w:sectPr w:rsidR="00B41E00" w:rsidRPr="00FC657B">
          <w:headerReference w:type="default" r:id="rId9"/>
          <w:footerReference w:type="even" r:id="rId10"/>
          <w:footerReference w:type="default" r:id="rId11"/>
          <w:pgSz w:w="12240" w:h="15840"/>
          <w:pgMar w:top="1440" w:right="1440" w:bottom="1440" w:left="1440" w:header="720" w:footer="720" w:gutter="0"/>
          <w:pgNumType w:fmt="upperRoman"/>
          <w:cols w:space="720"/>
          <w:titlePg/>
        </w:sectPr>
      </w:pPr>
    </w:p>
    <w:p w:rsidR="0054408C" w:rsidRPr="00FC657B" w:rsidRDefault="006C758C">
      <w:pPr>
        <w:rPr>
          <w:rFonts w:ascii="Calibri" w:hAnsi="Calibri"/>
          <w:i/>
          <w:color w:val="0000FF"/>
          <w:sz w:val="20"/>
          <w:u w:val="single"/>
        </w:rPr>
      </w:pPr>
      <w:r w:rsidRPr="00FC657B">
        <w:rPr>
          <w:rFonts w:ascii="Calibri" w:hAnsi="Calibri"/>
          <w:b/>
          <w:sz w:val="20"/>
        </w:rPr>
        <w:lastRenderedPageBreak/>
        <w:t xml:space="preserve">Mr. </w:t>
      </w:r>
      <w:r w:rsidR="00B41E00" w:rsidRPr="00FC657B">
        <w:rPr>
          <w:rFonts w:ascii="Calibri" w:hAnsi="Calibri"/>
          <w:b/>
          <w:sz w:val="20"/>
        </w:rPr>
        <w:t>Josh Brann,</w:t>
      </w:r>
      <w:r w:rsidR="00E66F9D">
        <w:rPr>
          <w:rFonts w:ascii="Calibri" w:hAnsi="Calibri"/>
          <w:b/>
          <w:sz w:val="20"/>
        </w:rPr>
        <w:t xml:space="preserve"> </w:t>
      </w:r>
      <w:r w:rsidR="00B41E00" w:rsidRPr="00FC657B">
        <w:rPr>
          <w:rFonts w:ascii="Calibri" w:hAnsi="Calibri"/>
          <w:i/>
          <w:sz w:val="20"/>
        </w:rPr>
        <w:t xml:space="preserve">International Consultant, </w:t>
      </w:r>
      <w:hyperlink r:id="rId12" w:history="1">
        <w:r w:rsidR="00B41E00" w:rsidRPr="00FC657B">
          <w:rPr>
            <w:rStyle w:val="Hyperlink"/>
            <w:rFonts w:ascii="Calibri" w:hAnsi="Calibri"/>
            <w:i/>
            <w:sz w:val="20"/>
          </w:rPr>
          <w:t>Brann.Evaluation@gmail.com</w:t>
        </w:r>
      </w:hyperlink>
    </w:p>
    <w:p w:rsidR="006C758C" w:rsidRPr="00CD42DE" w:rsidRDefault="006C758C" w:rsidP="006C758C">
      <w:pPr>
        <w:spacing w:before="120"/>
        <w:rPr>
          <w:rFonts w:ascii="Calibri" w:hAnsi="Calibri"/>
          <w:sz w:val="20"/>
        </w:rPr>
      </w:pPr>
      <w:r w:rsidRPr="00FC657B">
        <w:rPr>
          <w:rFonts w:ascii="Calibri" w:hAnsi="Calibri"/>
          <w:b/>
          <w:sz w:val="20"/>
        </w:rPr>
        <w:t xml:space="preserve">Dr. Genti Kromidha, </w:t>
      </w:r>
      <w:r w:rsidRPr="00FC657B">
        <w:rPr>
          <w:rFonts w:ascii="Calibri" w:hAnsi="Calibri"/>
          <w:i/>
          <w:sz w:val="20"/>
        </w:rPr>
        <w:t>National Consultant (Albania),</w:t>
      </w:r>
      <w:r w:rsidR="003A46E6" w:rsidRPr="00FC657B">
        <w:rPr>
          <w:rFonts w:ascii="Calibri" w:hAnsi="Calibri"/>
          <w:i/>
          <w:sz w:val="20"/>
        </w:rPr>
        <w:t xml:space="preserve"> </w:t>
      </w:r>
      <w:hyperlink r:id="rId13" w:history="1">
        <w:r w:rsidRPr="00CD42DE">
          <w:rPr>
            <w:rStyle w:val="Hyperlink"/>
            <w:rFonts w:ascii="Calibri" w:hAnsi="Calibri"/>
            <w:i/>
            <w:sz w:val="20"/>
          </w:rPr>
          <w:t>gkromidha@yahoo.it</w:t>
        </w:r>
      </w:hyperlink>
    </w:p>
    <w:p w:rsidR="0054408C" w:rsidRPr="00CD42DE" w:rsidRDefault="006C758C" w:rsidP="00F93367">
      <w:pPr>
        <w:spacing w:before="120"/>
        <w:rPr>
          <w:rFonts w:ascii="Calibri" w:hAnsi="Calibri"/>
          <w:b/>
          <w:sz w:val="20"/>
        </w:rPr>
      </w:pPr>
      <w:r w:rsidRPr="00CD42DE">
        <w:rPr>
          <w:rFonts w:ascii="Calibri" w:hAnsi="Calibri"/>
          <w:b/>
          <w:sz w:val="20"/>
        </w:rPr>
        <w:t xml:space="preserve">Mr. Danco Uzanov, </w:t>
      </w:r>
      <w:r w:rsidRPr="00CD42DE">
        <w:rPr>
          <w:rFonts w:ascii="Calibri" w:hAnsi="Calibri"/>
          <w:i/>
          <w:sz w:val="20"/>
        </w:rPr>
        <w:t>National Consultant (FYR Macedonia),</w:t>
      </w:r>
      <w:r w:rsidR="003A46E6" w:rsidRPr="00AA7D1F">
        <w:rPr>
          <w:rFonts w:ascii="Calibri" w:hAnsi="Calibri"/>
          <w:i/>
          <w:sz w:val="20"/>
        </w:rPr>
        <w:t xml:space="preserve"> </w:t>
      </w:r>
      <w:hyperlink r:id="rId14" w:history="1">
        <w:r w:rsidRPr="002C744B">
          <w:rPr>
            <w:rStyle w:val="Hyperlink"/>
            <w:rFonts w:ascii="Calibri" w:hAnsi="Calibri"/>
            <w:i/>
            <w:sz w:val="20"/>
          </w:rPr>
          <w:t>danco.uzunov@pointpro.com.mk</w:t>
        </w:r>
      </w:hyperlink>
    </w:p>
    <w:p w:rsidR="00B41E00" w:rsidRPr="00CD42DE" w:rsidRDefault="00B41E00" w:rsidP="00F93367">
      <w:pPr>
        <w:spacing w:before="120"/>
        <w:rPr>
          <w:rFonts w:ascii="Calibri" w:hAnsi="Calibri"/>
          <w:sz w:val="20"/>
          <w:u w:val="single"/>
        </w:rPr>
      </w:pPr>
      <w:r w:rsidRPr="00CD42DE">
        <w:rPr>
          <w:rFonts w:ascii="Calibri" w:hAnsi="Calibri"/>
          <w:sz w:val="20"/>
          <w:u w:val="single"/>
        </w:rPr>
        <w:t>Table of Contents</w:t>
      </w:r>
    </w:p>
    <w:p w:rsidR="0089284E" w:rsidRDefault="008269C6">
      <w:pPr>
        <w:pStyle w:val="TOC1"/>
        <w:tabs>
          <w:tab w:val="right" w:leader="dot" w:pos="9350"/>
        </w:tabs>
        <w:rPr>
          <w:rFonts w:asciiTheme="minorHAnsi" w:eastAsiaTheme="minorEastAsia" w:hAnsiTheme="minorHAnsi" w:cstheme="minorBidi"/>
          <w:noProof/>
          <w:sz w:val="24"/>
          <w:lang w:eastAsia="ja-JP"/>
        </w:rPr>
      </w:pPr>
      <w:r w:rsidRPr="008269C6">
        <w:fldChar w:fldCharType="begin"/>
      </w:r>
      <w:r w:rsidR="00F67F8A" w:rsidRPr="000A3C73">
        <w:instrText xml:space="preserve"> TOC \o "1-3" </w:instrText>
      </w:r>
      <w:r w:rsidRPr="008269C6">
        <w:fldChar w:fldCharType="separate"/>
      </w:r>
      <w:r w:rsidR="0089284E">
        <w:rPr>
          <w:noProof/>
        </w:rPr>
        <w:t>I. Executive Summary</w:t>
      </w:r>
      <w:r w:rsidR="0089284E">
        <w:rPr>
          <w:noProof/>
        </w:rPr>
        <w:tab/>
      </w:r>
      <w:r>
        <w:rPr>
          <w:noProof/>
        </w:rPr>
        <w:fldChar w:fldCharType="begin"/>
      </w:r>
      <w:r w:rsidR="0089284E">
        <w:rPr>
          <w:noProof/>
        </w:rPr>
        <w:instrText xml:space="preserve"> PAGEREF _Toc238551043 \h </w:instrText>
      </w:r>
      <w:r>
        <w:rPr>
          <w:noProof/>
        </w:rPr>
      </w:r>
      <w:r>
        <w:rPr>
          <w:noProof/>
        </w:rPr>
        <w:fldChar w:fldCharType="separate"/>
      </w:r>
      <w:r w:rsidR="0089284E">
        <w:rPr>
          <w:noProof/>
        </w:rPr>
        <w:t>VI</w:t>
      </w:r>
      <w:r>
        <w:rPr>
          <w:noProof/>
        </w:rPr>
        <w:fldChar w:fldCharType="end"/>
      </w:r>
    </w:p>
    <w:p w:rsidR="0089284E" w:rsidRDefault="0089284E">
      <w:pPr>
        <w:pStyle w:val="TOC1"/>
        <w:tabs>
          <w:tab w:val="right" w:leader="dot" w:pos="9350"/>
        </w:tabs>
        <w:rPr>
          <w:rFonts w:asciiTheme="minorHAnsi" w:eastAsiaTheme="minorEastAsia" w:hAnsiTheme="minorHAnsi" w:cstheme="minorBidi"/>
          <w:noProof/>
          <w:sz w:val="24"/>
          <w:lang w:eastAsia="ja-JP"/>
        </w:rPr>
      </w:pPr>
      <w:r>
        <w:rPr>
          <w:noProof/>
        </w:rPr>
        <w:t>II. Introduction: Evaluation Scope and Methodology</w:t>
      </w:r>
      <w:r>
        <w:rPr>
          <w:noProof/>
        </w:rPr>
        <w:tab/>
      </w:r>
      <w:r w:rsidR="008269C6">
        <w:rPr>
          <w:noProof/>
        </w:rPr>
        <w:fldChar w:fldCharType="begin"/>
      </w:r>
      <w:r>
        <w:rPr>
          <w:noProof/>
        </w:rPr>
        <w:instrText xml:space="preserve"> PAGEREF _Toc238551044 \h </w:instrText>
      </w:r>
      <w:r w:rsidR="008269C6">
        <w:rPr>
          <w:noProof/>
        </w:rPr>
      </w:r>
      <w:r w:rsidR="008269C6">
        <w:rPr>
          <w:noProof/>
        </w:rPr>
        <w:fldChar w:fldCharType="separate"/>
      </w:r>
      <w:r>
        <w:rPr>
          <w:noProof/>
        </w:rPr>
        <w:t>1</w:t>
      </w:r>
      <w:r w:rsidR="008269C6">
        <w:rPr>
          <w:noProof/>
        </w:rPr>
        <w:fldChar w:fldCharType="end"/>
      </w:r>
    </w:p>
    <w:p w:rsidR="0089284E" w:rsidRDefault="0089284E">
      <w:pPr>
        <w:pStyle w:val="TOC1"/>
        <w:tabs>
          <w:tab w:val="right" w:leader="dot" w:pos="9350"/>
        </w:tabs>
        <w:rPr>
          <w:rFonts w:asciiTheme="minorHAnsi" w:eastAsiaTheme="minorEastAsia" w:hAnsiTheme="minorHAnsi" w:cstheme="minorBidi"/>
          <w:noProof/>
          <w:sz w:val="24"/>
          <w:lang w:eastAsia="ja-JP"/>
        </w:rPr>
      </w:pPr>
      <w:r>
        <w:rPr>
          <w:noProof/>
        </w:rPr>
        <w:t>III. Project Overview and Development Context</w:t>
      </w:r>
      <w:r>
        <w:rPr>
          <w:noProof/>
        </w:rPr>
        <w:tab/>
      </w:r>
      <w:r w:rsidR="008269C6">
        <w:rPr>
          <w:noProof/>
        </w:rPr>
        <w:fldChar w:fldCharType="begin"/>
      </w:r>
      <w:r>
        <w:rPr>
          <w:noProof/>
        </w:rPr>
        <w:instrText xml:space="preserve"> PAGEREF _Toc238551045 \h </w:instrText>
      </w:r>
      <w:r w:rsidR="008269C6">
        <w:rPr>
          <w:noProof/>
        </w:rPr>
      </w:r>
      <w:r w:rsidR="008269C6">
        <w:rPr>
          <w:noProof/>
        </w:rPr>
        <w:fldChar w:fldCharType="separate"/>
      </w:r>
      <w:r>
        <w:rPr>
          <w:noProof/>
        </w:rPr>
        <w:t>2</w:t>
      </w:r>
      <w:r w:rsidR="008269C6">
        <w:rPr>
          <w:noProof/>
        </w:rPr>
        <w:fldChar w:fldCharType="end"/>
      </w:r>
    </w:p>
    <w:p w:rsidR="0089284E" w:rsidRDefault="0089284E">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Development Context</w:t>
      </w:r>
      <w:r>
        <w:rPr>
          <w:noProof/>
        </w:rPr>
        <w:tab/>
      </w:r>
      <w:r w:rsidR="008269C6">
        <w:rPr>
          <w:noProof/>
        </w:rPr>
        <w:fldChar w:fldCharType="begin"/>
      </w:r>
      <w:r>
        <w:rPr>
          <w:noProof/>
        </w:rPr>
        <w:instrText xml:space="preserve"> PAGEREF _Toc238551046 \h </w:instrText>
      </w:r>
      <w:r w:rsidR="008269C6">
        <w:rPr>
          <w:noProof/>
        </w:rPr>
      </w:r>
      <w:r w:rsidR="008269C6">
        <w:rPr>
          <w:noProof/>
        </w:rPr>
        <w:fldChar w:fldCharType="separate"/>
      </w:r>
      <w:r>
        <w:rPr>
          <w:noProof/>
        </w:rPr>
        <w:t>2</w:t>
      </w:r>
      <w:r w:rsidR="008269C6">
        <w:rPr>
          <w:noProof/>
        </w:rPr>
        <w:fldChar w:fldCharType="end"/>
      </w:r>
    </w:p>
    <w:p w:rsidR="0089284E" w:rsidRDefault="0089284E">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Geological, Hydrological and Biological Overview</w:t>
      </w:r>
      <w:r>
        <w:rPr>
          <w:noProof/>
        </w:rPr>
        <w:tab/>
      </w:r>
      <w:r w:rsidR="008269C6">
        <w:rPr>
          <w:noProof/>
        </w:rPr>
        <w:fldChar w:fldCharType="begin"/>
      </w:r>
      <w:r>
        <w:rPr>
          <w:noProof/>
        </w:rPr>
        <w:instrText xml:space="preserve"> PAGEREF _Toc238551047 \h </w:instrText>
      </w:r>
      <w:r w:rsidR="008269C6">
        <w:rPr>
          <w:noProof/>
        </w:rPr>
      </w:r>
      <w:r w:rsidR="008269C6">
        <w:rPr>
          <w:noProof/>
        </w:rPr>
        <w:fldChar w:fldCharType="separate"/>
      </w:r>
      <w:r>
        <w:rPr>
          <w:noProof/>
        </w:rPr>
        <w:t>2</w:t>
      </w:r>
      <w:r w:rsidR="008269C6">
        <w:rPr>
          <w:noProof/>
        </w:rPr>
        <w:fldChar w:fldCharType="end"/>
      </w:r>
    </w:p>
    <w:p w:rsidR="0089284E" w:rsidRDefault="0089284E">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Socio-Economic Context</w:t>
      </w:r>
      <w:r>
        <w:rPr>
          <w:noProof/>
        </w:rPr>
        <w:tab/>
      </w:r>
      <w:r w:rsidR="008269C6">
        <w:rPr>
          <w:noProof/>
        </w:rPr>
        <w:fldChar w:fldCharType="begin"/>
      </w:r>
      <w:r>
        <w:rPr>
          <w:noProof/>
        </w:rPr>
        <w:instrText xml:space="preserve"> PAGEREF _Toc238551048 \h </w:instrText>
      </w:r>
      <w:r w:rsidR="008269C6">
        <w:rPr>
          <w:noProof/>
        </w:rPr>
      </w:r>
      <w:r w:rsidR="008269C6">
        <w:rPr>
          <w:noProof/>
        </w:rPr>
        <w:fldChar w:fldCharType="separate"/>
      </w:r>
      <w:r>
        <w:rPr>
          <w:noProof/>
        </w:rPr>
        <w:t>2</w:t>
      </w:r>
      <w:r w:rsidR="008269C6">
        <w:rPr>
          <w:noProof/>
        </w:rPr>
        <w:fldChar w:fldCharType="end"/>
      </w:r>
    </w:p>
    <w:p w:rsidR="0089284E" w:rsidRDefault="0089284E">
      <w:pPr>
        <w:pStyle w:val="TOC3"/>
        <w:tabs>
          <w:tab w:val="left" w:pos="908"/>
          <w:tab w:val="right" w:leader="dot" w:pos="9350"/>
        </w:tabs>
        <w:rPr>
          <w:rFonts w:asciiTheme="minorHAnsi" w:eastAsiaTheme="minorEastAsia" w:hAnsiTheme="minorHAnsi" w:cstheme="minorBidi"/>
          <w:noProof/>
          <w:sz w:val="24"/>
          <w:szCs w:val="24"/>
          <w:lang w:eastAsia="ja-JP"/>
        </w:rPr>
      </w:pPr>
      <w:r>
        <w:rPr>
          <w:noProof/>
        </w:rPr>
        <w:t>iii.</w:t>
      </w:r>
      <w:r>
        <w:rPr>
          <w:rFonts w:asciiTheme="minorHAnsi" w:eastAsiaTheme="minorEastAsia" w:hAnsiTheme="minorHAnsi" w:cstheme="minorBidi"/>
          <w:noProof/>
          <w:sz w:val="24"/>
          <w:szCs w:val="24"/>
          <w:lang w:eastAsia="ja-JP"/>
        </w:rPr>
        <w:tab/>
      </w:r>
      <w:r>
        <w:rPr>
          <w:noProof/>
        </w:rPr>
        <w:t>Nature Conservation and Management Context</w:t>
      </w:r>
      <w:r>
        <w:rPr>
          <w:noProof/>
        </w:rPr>
        <w:tab/>
      </w:r>
      <w:r w:rsidR="008269C6">
        <w:rPr>
          <w:noProof/>
        </w:rPr>
        <w:fldChar w:fldCharType="begin"/>
      </w:r>
      <w:r>
        <w:rPr>
          <w:noProof/>
        </w:rPr>
        <w:instrText xml:space="preserve"> PAGEREF _Toc238551049 \h </w:instrText>
      </w:r>
      <w:r w:rsidR="008269C6">
        <w:rPr>
          <w:noProof/>
        </w:rPr>
      </w:r>
      <w:r w:rsidR="008269C6">
        <w:rPr>
          <w:noProof/>
        </w:rPr>
        <w:fldChar w:fldCharType="separate"/>
      </w:r>
      <w:r>
        <w:rPr>
          <w:noProof/>
        </w:rPr>
        <w:t>3</w:t>
      </w:r>
      <w:r w:rsidR="008269C6">
        <w:rPr>
          <w:noProof/>
        </w:rPr>
        <w:fldChar w:fldCharType="end"/>
      </w:r>
    </w:p>
    <w:p w:rsidR="0089284E" w:rsidRDefault="0089284E">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Concept Development and Project Description</w:t>
      </w:r>
      <w:r>
        <w:rPr>
          <w:noProof/>
        </w:rPr>
        <w:tab/>
      </w:r>
      <w:r w:rsidR="008269C6">
        <w:rPr>
          <w:noProof/>
        </w:rPr>
        <w:fldChar w:fldCharType="begin"/>
      </w:r>
      <w:r>
        <w:rPr>
          <w:noProof/>
        </w:rPr>
        <w:instrText xml:space="preserve"> PAGEREF _Toc238551050 \h </w:instrText>
      </w:r>
      <w:r w:rsidR="008269C6">
        <w:rPr>
          <w:noProof/>
        </w:rPr>
      </w:r>
      <w:r w:rsidR="008269C6">
        <w:rPr>
          <w:noProof/>
        </w:rPr>
        <w:fldChar w:fldCharType="separate"/>
      </w:r>
      <w:r>
        <w:rPr>
          <w:noProof/>
        </w:rPr>
        <w:t>8</w:t>
      </w:r>
      <w:r w:rsidR="008269C6">
        <w:rPr>
          <w:noProof/>
        </w:rPr>
        <w:fldChar w:fldCharType="end"/>
      </w:r>
    </w:p>
    <w:p w:rsidR="0089284E" w:rsidRDefault="0089284E">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Concept Background</w:t>
      </w:r>
      <w:r>
        <w:rPr>
          <w:noProof/>
        </w:rPr>
        <w:tab/>
      </w:r>
      <w:r w:rsidR="008269C6">
        <w:rPr>
          <w:noProof/>
        </w:rPr>
        <w:fldChar w:fldCharType="begin"/>
      </w:r>
      <w:r>
        <w:rPr>
          <w:noProof/>
        </w:rPr>
        <w:instrText xml:space="preserve"> PAGEREF _Toc238551051 \h </w:instrText>
      </w:r>
      <w:r w:rsidR="008269C6">
        <w:rPr>
          <w:noProof/>
        </w:rPr>
      </w:r>
      <w:r w:rsidR="008269C6">
        <w:rPr>
          <w:noProof/>
        </w:rPr>
        <w:fldChar w:fldCharType="separate"/>
      </w:r>
      <w:r>
        <w:rPr>
          <w:noProof/>
        </w:rPr>
        <w:t>8</w:t>
      </w:r>
      <w:r w:rsidR="008269C6">
        <w:rPr>
          <w:noProof/>
        </w:rPr>
        <w:fldChar w:fldCharType="end"/>
      </w:r>
    </w:p>
    <w:p w:rsidR="0089284E" w:rsidRDefault="0089284E">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Project Description</w:t>
      </w:r>
      <w:r>
        <w:rPr>
          <w:noProof/>
        </w:rPr>
        <w:tab/>
      </w:r>
      <w:r w:rsidR="008269C6">
        <w:rPr>
          <w:noProof/>
        </w:rPr>
        <w:fldChar w:fldCharType="begin"/>
      </w:r>
      <w:r>
        <w:rPr>
          <w:noProof/>
        </w:rPr>
        <w:instrText xml:space="preserve"> PAGEREF _Toc238551052 \h </w:instrText>
      </w:r>
      <w:r w:rsidR="008269C6">
        <w:rPr>
          <w:noProof/>
        </w:rPr>
      </w:r>
      <w:r w:rsidR="008269C6">
        <w:rPr>
          <w:noProof/>
        </w:rPr>
        <w:fldChar w:fldCharType="separate"/>
      </w:r>
      <w:r>
        <w:rPr>
          <w:noProof/>
        </w:rPr>
        <w:t>8</w:t>
      </w:r>
      <w:r w:rsidR="008269C6">
        <w:rPr>
          <w:noProof/>
        </w:rPr>
        <w:fldChar w:fldCharType="end"/>
      </w:r>
    </w:p>
    <w:p w:rsidR="0089284E" w:rsidRDefault="0089284E">
      <w:pPr>
        <w:pStyle w:val="TOC3"/>
        <w:tabs>
          <w:tab w:val="left" w:pos="908"/>
          <w:tab w:val="right" w:leader="dot" w:pos="9350"/>
        </w:tabs>
        <w:rPr>
          <w:rFonts w:asciiTheme="minorHAnsi" w:eastAsiaTheme="minorEastAsia" w:hAnsiTheme="minorHAnsi" w:cstheme="minorBidi"/>
          <w:noProof/>
          <w:sz w:val="24"/>
          <w:szCs w:val="24"/>
          <w:lang w:eastAsia="ja-JP"/>
        </w:rPr>
      </w:pPr>
      <w:r>
        <w:rPr>
          <w:noProof/>
        </w:rPr>
        <w:t>iii.</w:t>
      </w:r>
      <w:r>
        <w:rPr>
          <w:rFonts w:asciiTheme="minorHAnsi" w:eastAsiaTheme="minorEastAsia" w:hAnsiTheme="minorHAnsi" w:cstheme="minorBidi"/>
          <w:noProof/>
          <w:sz w:val="24"/>
          <w:szCs w:val="24"/>
          <w:lang w:eastAsia="ja-JP"/>
        </w:rPr>
        <w:tab/>
      </w:r>
      <w:r>
        <w:rPr>
          <w:noProof/>
        </w:rPr>
        <w:t>Timing and Milestones</w:t>
      </w:r>
      <w:r>
        <w:rPr>
          <w:noProof/>
        </w:rPr>
        <w:tab/>
      </w:r>
      <w:r w:rsidR="008269C6">
        <w:rPr>
          <w:noProof/>
        </w:rPr>
        <w:fldChar w:fldCharType="begin"/>
      </w:r>
      <w:r>
        <w:rPr>
          <w:noProof/>
        </w:rPr>
        <w:instrText xml:space="preserve"> PAGEREF _Toc238551053 \h </w:instrText>
      </w:r>
      <w:r w:rsidR="008269C6">
        <w:rPr>
          <w:noProof/>
        </w:rPr>
      </w:r>
      <w:r w:rsidR="008269C6">
        <w:rPr>
          <w:noProof/>
        </w:rPr>
        <w:fldChar w:fldCharType="separate"/>
      </w:r>
      <w:r>
        <w:rPr>
          <w:noProof/>
        </w:rPr>
        <w:t>9</w:t>
      </w:r>
      <w:r w:rsidR="008269C6">
        <w:rPr>
          <w:noProof/>
        </w:rPr>
        <w:fldChar w:fldCharType="end"/>
      </w:r>
    </w:p>
    <w:p w:rsidR="0089284E" w:rsidRDefault="0089284E">
      <w:pPr>
        <w:pStyle w:val="TOC1"/>
        <w:tabs>
          <w:tab w:val="right" w:leader="dot" w:pos="9350"/>
        </w:tabs>
        <w:rPr>
          <w:rFonts w:asciiTheme="minorHAnsi" w:eastAsiaTheme="minorEastAsia" w:hAnsiTheme="minorHAnsi" w:cstheme="minorBidi"/>
          <w:noProof/>
          <w:sz w:val="24"/>
          <w:lang w:eastAsia="ja-JP"/>
        </w:rPr>
      </w:pPr>
      <w:r>
        <w:rPr>
          <w:noProof/>
        </w:rPr>
        <w:t>IV. Project Design and Implementation</w:t>
      </w:r>
      <w:r>
        <w:rPr>
          <w:noProof/>
        </w:rPr>
        <w:tab/>
      </w:r>
      <w:r w:rsidR="008269C6">
        <w:rPr>
          <w:noProof/>
        </w:rPr>
        <w:fldChar w:fldCharType="begin"/>
      </w:r>
      <w:r>
        <w:rPr>
          <w:noProof/>
        </w:rPr>
        <w:instrText xml:space="preserve"> PAGEREF _Toc238551054 \h </w:instrText>
      </w:r>
      <w:r w:rsidR="008269C6">
        <w:rPr>
          <w:noProof/>
        </w:rPr>
      </w:r>
      <w:r w:rsidR="008269C6">
        <w:rPr>
          <w:noProof/>
        </w:rPr>
        <w:fldChar w:fldCharType="separate"/>
      </w:r>
      <w:r>
        <w:rPr>
          <w:noProof/>
        </w:rPr>
        <w:t>12</w:t>
      </w:r>
      <w:r w:rsidR="008269C6">
        <w:rPr>
          <w:noProof/>
        </w:rPr>
        <w:fldChar w:fldCharType="end"/>
      </w:r>
    </w:p>
    <w:p w:rsidR="0089284E" w:rsidRDefault="0089284E">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Key Elements of Project Design and Planning</w:t>
      </w:r>
      <w:r>
        <w:rPr>
          <w:noProof/>
        </w:rPr>
        <w:tab/>
      </w:r>
      <w:r w:rsidR="008269C6">
        <w:rPr>
          <w:noProof/>
        </w:rPr>
        <w:fldChar w:fldCharType="begin"/>
      </w:r>
      <w:r>
        <w:rPr>
          <w:noProof/>
        </w:rPr>
        <w:instrText xml:space="preserve"> PAGEREF _Toc238551055 \h </w:instrText>
      </w:r>
      <w:r w:rsidR="008269C6">
        <w:rPr>
          <w:noProof/>
        </w:rPr>
      </w:r>
      <w:r w:rsidR="008269C6">
        <w:rPr>
          <w:noProof/>
        </w:rPr>
        <w:fldChar w:fldCharType="separate"/>
      </w:r>
      <w:r>
        <w:rPr>
          <w:noProof/>
        </w:rPr>
        <w:t>12</w:t>
      </w:r>
      <w:r w:rsidR="008269C6">
        <w:rPr>
          <w:noProof/>
        </w:rPr>
        <w:fldChar w:fldCharType="end"/>
      </w:r>
    </w:p>
    <w:p w:rsidR="0089284E" w:rsidRDefault="0089284E">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Stakeholder Participation in Project Development</w:t>
      </w:r>
      <w:r>
        <w:rPr>
          <w:noProof/>
        </w:rPr>
        <w:tab/>
      </w:r>
      <w:r w:rsidR="008269C6">
        <w:rPr>
          <w:noProof/>
        </w:rPr>
        <w:fldChar w:fldCharType="begin"/>
      </w:r>
      <w:r>
        <w:rPr>
          <w:noProof/>
        </w:rPr>
        <w:instrText xml:space="preserve"> PAGEREF _Toc238551056 \h </w:instrText>
      </w:r>
      <w:r w:rsidR="008269C6">
        <w:rPr>
          <w:noProof/>
        </w:rPr>
      </w:r>
      <w:r w:rsidR="008269C6">
        <w:rPr>
          <w:noProof/>
        </w:rPr>
        <w:fldChar w:fldCharType="separate"/>
      </w:r>
      <w:r>
        <w:rPr>
          <w:noProof/>
        </w:rPr>
        <w:t>12</w:t>
      </w:r>
      <w:r w:rsidR="008269C6">
        <w:rPr>
          <w:noProof/>
        </w:rPr>
        <w:fldChar w:fldCharType="end"/>
      </w:r>
    </w:p>
    <w:p w:rsidR="0089284E" w:rsidRDefault="0089284E">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Project Design Factors</w:t>
      </w:r>
      <w:r>
        <w:rPr>
          <w:noProof/>
        </w:rPr>
        <w:tab/>
      </w:r>
      <w:r w:rsidR="008269C6">
        <w:rPr>
          <w:noProof/>
        </w:rPr>
        <w:fldChar w:fldCharType="begin"/>
      </w:r>
      <w:r>
        <w:rPr>
          <w:noProof/>
        </w:rPr>
        <w:instrText xml:space="preserve"> PAGEREF _Toc238551057 \h </w:instrText>
      </w:r>
      <w:r w:rsidR="008269C6">
        <w:rPr>
          <w:noProof/>
        </w:rPr>
      </w:r>
      <w:r w:rsidR="008269C6">
        <w:rPr>
          <w:noProof/>
        </w:rPr>
        <w:fldChar w:fldCharType="separate"/>
      </w:r>
      <w:r>
        <w:rPr>
          <w:noProof/>
        </w:rPr>
        <w:t>12</w:t>
      </w:r>
      <w:r w:rsidR="008269C6">
        <w:rPr>
          <w:noProof/>
        </w:rPr>
        <w:fldChar w:fldCharType="end"/>
      </w:r>
    </w:p>
    <w:p w:rsidR="0089284E" w:rsidRDefault="0089284E">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Project Outcomes-Impacts Theory of Change</w:t>
      </w:r>
      <w:r>
        <w:rPr>
          <w:noProof/>
        </w:rPr>
        <w:tab/>
      </w:r>
      <w:r w:rsidR="008269C6">
        <w:rPr>
          <w:noProof/>
        </w:rPr>
        <w:fldChar w:fldCharType="begin"/>
      </w:r>
      <w:r>
        <w:rPr>
          <w:noProof/>
        </w:rPr>
        <w:instrText xml:space="preserve"> PAGEREF _Toc238551058 \h </w:instrText>
      </w:r>
      <w:r w:rsidR="008269C6">
        <w:rPr>
          <w:noProof/>
        </w:rPr>
      </w:r>
      <w:r w:rsidR="008269C6">
        <w:rPr>
          <w:noProof/>
        </w:rPr>
        <w:fldChar w:fldCharType="separate"/>
      </w:r>
      <w:r>
        <w:rPr>
          <w:noProof/>
        </w:rPr>
        <w:t>16</w:t>
      </w:r>
      <w:r w:rsidR="008269C6">
        <w:rPr>
          <w:noProof/>
        </w:rPr>
        <w:fldChar w:fldCharType="end"/>
      </w:r>
    </w:p>
    <w:p w:rsidR="0089284E" w:rsidRDefault="0089284E">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Prespa IEM Project Implementation Approach</w:t>
      </w:r>
      <w:r>
        <w:rPr>
          <w:noProof/>
        </w:rPr>
        <w:tab/>
      </w:r>
      <w:r w:rsidR="008269C6">
        <w:rPr>
          <w:noProof/>
        </w:rPr>
        <w:fldChar w:fldCharType="begin"/>
      </w:r>
      <w:r>
        <w:rPr>
          <w:noProof/>
        </w:rPr>
        <w:instrText xml:space="preserve"> PAGEREF _Toc238551059 \h </w:instrText>
      </w:r>
      <w:r w:rsidR="008269C6">
        <w:rPr>
          <w:noProof/>
        </w:rPr>
      </w:r>
      <w:r w:rsidR="008269C6">
        <w:rPr>
          <w:noProof/>
        </w:rPr>
        <w:fldChar w:fldCharType="separate"/>
      </w:r>
      <w:r>
        <w:rPr>
          <w:noProof/>
        </w:rPr>
        <w:t>17</w:t>
      </w:r>
      <w:r w:rsidR="008269C6">
        <w:rPr>
          <w:noProof/>
        </w:rPr>
        <w:fldChar w:fldCharType="end"/>
      </w:r>
    </w:p>
    <w:p w:rsidR="0089284E" w:rsidRDefault="0089284E">
      <w:pPr>
        <w:pStyle w:val="TOC2"/>
        <w:tabs>
          <w:tab w:val="left" w:pos="654"/>
          <w:tab w:val="right" w:leader="dot" w:pos="9350"/>
        </w:tabs>
        <w:rPr>
          <w:rFonts w:asciiTheme="minorHAnsi" w:eastAsiaTheme="minorEastAsia" w:hAnsiTheme="minorHAnsi" w:cstheme="minorBidi"/>
          <w:noProof/>
          <w:sz w:val="24"/>
          <w:szCs w:val="24"/>
          <w:lang w:eastAsia="ja-JP"/>
        </w:rPr>
      </w:pPr>
      <w:r>
        <w:rPr>
          <w:noProof/>
        </w:rPr>
        <w:t>D.</w:t>
      </w:r>
      <w:r>
        <w:rPr>
          <w:rFonts w:asciiTheme="minorHAnsi" w:eastAsiaTheme="minorEastAsia" w:hAnsiTheme="minorHAnsi" w:cstheme="minorBidi"/>
          <w:noProof/>
          <w:sz w:val="24"/>
          <w:szCs w:val="24"/>
          <w:lang w:eastAsia="ja-JP"/>
        </w:rPr>
        <w:tab/>
      </w:r>
      <w:r>
        <w:rPr>
          <w:noProof/>
        </w:rPr>
        <w:t>Prespa IEM Project Relevance</w:t>
      </w:r>
      <w:r>
        <w:rPr>
          <w:noProof/>
        </w:rPr>
        <w:tab/>
      </w:r>
      <w:r w:rsidR="008269C6">
        <w:rPr>
          <w:noProof/>
        </w:rPr>
        <w:fldChar w:fldCharType="begin"/>
      </w:r>
      <w:r>
        <w:rPr>
          <w:noProof/>
        </w:rPr>
        <w:instrText xml:space="preserve"> PAGEREF _Toc238551060 \h </w:instrText>
      </w:r>
      <w:r w:rsidR="008269C6">
        <w:rPr>
          <w:noProof/>
        </w:rPr>
      </w:r>
      <w:r w:rsidR="008269C6">
        <w:rPr>
          <w:noProof/>
        </w:rPr>
        <w:fldChar w:fldCharType="separate"/>
      </w:r>
      <w:r>
        <w:rPr>
          <w:noProof/>
        </w:rPr>
        <w:t>19</w:t>
      </w:r>
      <w:r w:rsidR="008269C6">
        <w:rPr>
          <w:noProof/>
        </w:rPr>
        <w:fldChar w:fldCharType="end"/>
      </w:r>
    </w:p>
    <w:p w:rsidR="0089284E" w:rsidRDefault="0089284E">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Relevance at Local and National Levels</w:t>
      </w:r>
      <w:r>
        <w:rPr>
          <w:noProof/>
        </w:rPr>
        <w:tab/>
      </w:r>
      <w:r w:rsidR="008269C6">
        <w:rPr>
          <w:noProof/>
        </w:rPr>
        <w:fldChar w:fldCharType="begin"/>
      </w:r>
      <w:r>
        <w:rPr>
          <w:noProof/>
        </w:rPr>
        <w:instrText xml:space="preserve"> PAGEREF _Toc238551061 \h </w:instrText>
      </w:r>
      <w:r w:rsidR="008269C6">
        <w:rPr>
          <w:noProof/>
        </w:rPr>
      </w:r>
      <w:r w:rsidR="008269C6">
        <w:rPr>
          <w:noProof/>
        </w:rPr>
        <w:fldChar w:fldCharType="separate"/>
      </w:r>
      <w:r>
        <w:rPr>
          <w:noProof/>
        </w:rPr>
        <w:t>20</w:t>
      </w:r>
      <w:r w:rsidR="008269C6">
        <w:rPr>
          <w:noProof/>
        </w:rPr>
        <w:fldChar w:fldCharType="end"/>
      </w:r>
    </w:p>
    <w:p w:rsidR="0089284E" w:rsidRDefault="0089284E">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Relevance to Multilateral Environmental Agreements</w:t>
      </w:r>
      <w:r>
        <w:rPr>
          <w:noProof/>
        </w:rPr>
        <w:tab/>
      </w:r>
      <w:r w:rsidR="008269C6">
        <w:rPr>
          <w:noProof/>
        </w:rPr>
        <w:fldChar w:fldCharType="begin"/>
      </w:r>
      <w:r>
        <w:rPr>
          <w:noProof/>
        </w:rPr>
        <w:instrText xml:space="preserve"> PAGEREF _Toc238551062 \h </w:instrText>
      </w:r>
      <w:r w:rsidR="008269C6">
        <w:rPr>
          <w:noProof/>
        </w:rPr>
      </w:r>
      <w:r w:rsidR="008269C6">
        <w:rPr>
          <w:noProof/>
        </w:rPr>
        <w:fldChar w:fldCharType="separate"/>
      </w:r>
      <w:r>
        <w:rPr>
          <w:noProof/>
        </w:rPr>
        <w:t>20</w:t>
      </w:r>
      <w:r w:rsidR="008269C6">
        <w:rPr>
          <w:noProof/>
        </w:rPr>
        <w:fldChar w:fldCharType="end"/>
      </w:r>
    </w:p>
    <w:p w:rsidR="0089284E" w:rsidRDefault="0089284E">
      <w:pPr>
        <w:pStyle w:val="TOC3"/>
        <w:tabs>
          <w:tab w:val="left" w:pos="908"/>
          <w:tab w:val="right" w:leader="dot" w:pos="9350"/>
        </w:tabs>
        <w:rPr>
          <w:rFonts w:asciiTheme="minorHAnsi" w:eastAsiaTheme="minorEastAsia" w:hAnsiTheme="minorHAnsi" w:cstheme="minorBidi"/>
          <w:noProof/>
          <w:sz w:val="24"/>
          <w:szCs w:val="24"/>
          <w:lang w:eastAsia="ja-JP"/>
        </w:rPr>
      </w:pPr>
      <w:r>
        <w:rPr>
          <w:noProof/>
        </w:rPr>
        <w:t>iii.</w:t>
      </w:r>
      <w:r>
        <w:rPr>
          <w:rFonts w:asciiTheme="minorHAnsi" w:eastAsiaTheme="minorEastAsia" w:hAnsiTheme="minorHAnsi" w:cstheme="minorBidi"/>
          <w:noProof/>
          <w:sz w:val="24"/>
          <w:szCs w:val="24"/>
          <w:lang w:eastAsia="ja-JP"/>
        </w:rPr>
        <w:tab/>
      </w:r>
      <w:r>
        <w:rPr>
          <w:noProof/>
        </w:rPr>
        <w:t>Relevance to GEF Strategies, Priorities and Principles</w:t>
      </w:r>
      <w:r>
        <w:rPr>
          <w:noProof/>
        </w:rPr>
        <w:tab/>
      </w:r>
      <w:r w:rsidR="008269C6">
        <w:rPr>
          <w:noProof/>
        </w:rPr>
        <w:fldChar w:fldCharType="begin"/>
      </w:r>
      <w:r>
        <w:rPr>
          <w:noProof/>
        </w:rPr>
        <w:instrText xml:space="preserve"> PAGEREF _Toc238551063 \h </w:instrText>
      </w:r>
      <w:r w:rsidR="008269C6">
        <w:rPr>
          <w:noProof/>
        </w:rPr>
      </w:r>
      <w:r w:rsidR="008269C6">
        <w:rPr>
          <w:noProof/>
        </w:rPr>
        <w:fldChar w:fldCharType="separate"/>
      </w:r>
      <w:r>
        <w:rPr>
          <w:noProof/>
        </w:rPr>
        <w:t>20</w:t>
      </w:r>
      <w:r w:rsidR="008269C6">
        <w:rPr>
          <w:noProof/>
        </w:rPr>
        <w:fldChar w:fldCharType="end"/>
      </w:r>
    </w:p>
    <w:p w:rsidR="0089284E" w:rsidRDefault="0089284E">
      <w:pPr>
        <w:pStyle w:val="TOC2"/>
        <w:tabs>
          <w:tab w:val="left" w:pos="628"/>
          <w:tab w:val="right" w:leader="dot" w:pos="9350"/>
        </w:tabs>
        <w:rPr>
          <w:rFonts w:asciiTheme="minorHAnsi" w:eastAsiaTheme="minorEastAsia" w:hAnsiTheme="minorHAnsi" w:cstheme="minorBidi"/>
          <w:noProof/>
          <w:sz w:val="24"/>
          <w:szCs w:val="24"/>
          <w:lang w:eastAsia="ja-JP"/>
        </w:rPr>
      </w:pPr>
      <w:r>
        <w:rPr>
          <w:noProof/>
        </w:rPr>
        <w:t>E.</w:t>
      </w:r>
      <w:r>
        <w:rPr>
          <w:rFonts w:asciiTheme="minorHAnsi" w:eastAsiaTheme="minorEastAsia" w:hAnsiTheme="minorHAnsi" w:cstheme="minorBidi"/>
          <w:noProof/>
          <w:sz w:val="24"/>
          <w:szCs w:val="24"/>
          <w:lang w:eastAsia="ja-JP"/>
        </w:rPr>
        <w:tab/>
      </w:r>
      <w:r>
        <w:rPr>
          <w:noProof/>
        </w:rPr>
        <w:t>Project Management and Cost Effectiveness (Efficiency)</w:t>
      </w:r>
      <w:r>
        <w:rPr>
          <w:noProof/>
        </w:rPr>
        <w:tab/>
      </w:r>
      <w:r w:rsidR="008269C6">
        <w:rPr>
          <w:noProof/>
        </w:rPr>
        <w:fldChar w:fldCharType="begin"/>
      </w:r>
      <w:r>
        <w:rPr>
          <w:noProof/>
        </w:rPr>
        <w:instrText xml:space="preserve"> PAGEREF _Toc238551064 \h </w:instrText>
      </w:r>
      <w:r w:rsidR="008269C6">
        <w:rPr>
          <w:noProof/>
        </w:rPr>
      </w:r>
      <w:r w:rsidR="008269C6">
        <w:rPr>
          <w:noProof/>
        </w:rPr>
        <w:fldChar w:fldCharType="separate"/>
      </w:r>
      <w:r>
        <w:rPr>
          <w:noProof/>
        </w:rPr>
        <w:t>21</w:t>
      </w:r>
      <w:r w:rsidR="008269C6">
        <w:rPr>
          <w:noProof/>
        </w:rPr>
        <w:fldChar w:fldCharType="end"/>
      </w:r>
    </w:p>
    <w:p w:rsidR="0089284E" w:rsidRDefault="0089284E">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Prespa IEM Project Financial Planning and Implementation</w:t>
      </w:r>
      <w:r>
        <w:rPr>
          <w:noProof/>
        </w:rPr>
        <w:tab/>
      </w:r>
      <w:r w:rsidR="008269C6">
        <w:rPr>
          <w:noProof/>
        </w:rPr>
        <w:fldChar w:fldCharType="begin"/>
      </w:r>
      <w:r>
        <w:rPr>
          <w:noProof/>
        </w:rPr>
        <w:instrText xml:space="preserve"> PAGEREF _Toc238551065 \h </w:instrText>
      </w:r>
      <w:r w:rsidR="008269C6">
        <w:rPr>
          <w:noProof/>
        </w:rPr>
      </w:r>
      <w:r w:rsidR="008269C6">
        <w:rPr>
          <w:noProof/>
        </w:rPr>
        <w:fldChar w:fldCharType="separate"/>
      </w:r>
      <w:r>
        <w:rPr>
          <w:noProof/>
        </w:rPr>
        <w:t>23</w:t>
      </w:r>
      <w:r w:rsidR="008269C6">
        <w:rPr>
          <w:noProof/>
        </w:rPr>
        <w:fldChar w:fldCharType="end"/>
      </w:r>
    </w:p>
    <w:p w:rsidR="0089284E" w:rsidRDefault="0089284E">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Prespa IEM Project Co-financing</w:t>
      </w:r>
      <w:r>
        <w:rPr>
          <w:noProof/>
        </w:rPr>
        <w:tab/>
      </w:r>
      <w:r w:rsidR="008269C6">
        <w:rPr>
          <w:noProof/>
        </w:rPr>
        <w:fldChar w:fldCharType="begin"/>
      </w:r>
      <w:r>
        <w:rPr>
          <w:noProof/>
        </w:rPr>
        <w:instrText xml:space="preserve"> PAGEREF _Toc238551066 \h </w:instrText>
      </w:r>
      <w:r w:rsidR="008269C6">
        <w:rPr>
          <w:noProof/>
        </w:rPr>
      </w:r>
      <w:r w:rsidR="008269C6">
        <w:rPr>
          <w:noProof/>
        </w:rPr>
        <w:fldChar w:fldCharType="separate"/>
      </w:r>
      <w:r>
        <w:rPr>
          <w:noProof/>
        </w:rPr>
        <w:t>30</w:t>
      </w:r>
      <w:r w:rsidR="008269C6">
        <w:rPr>
          <w:noProof/>
        </w:rPr>
        <w:fldChar w:fldCharType="end"/>
      </w:r>
    </w:p>
    <w:p w:rsidR="0089284E" w:rsidRDefault="0089284E">
      <w:pPr>
        <w:pStyle w:val="TOC3"/>
        <w:tabs>
          <w:tab w:val="left" w:pos="908"/>
          <w:tab w:val="right" w:leader="dot" w:pos="9350"/>
        </w:tabs>
        <w:rPr>
          <w:rFonts w:asciiTheme="minorHAnsi" w:eastAsiaTheme="minorEastAsia" w:hAnsiTheme="minorHAnsi" w:cstheme="minorBidi"/>
          <w:noProof/>
          <w:sz w:val="24"/>
          <w:szCs w:val="24"/>
          <w:lang w:eastAsia="ja-JP"/>
        </w:rPr>
      </w:pPr>
      <w:r>
        <w:rPr>
          <w:noProof/>
        </w:rPr>
        <w:t>iii.</w:t>
      </w:r>
      <w:r>
        <w:rPr>
          <w:rFonts w:asciiTheme="minorHAnsi" w:eastAsiaTheme="minorEastAsia" w:hAnsiTheme="minorHAnsi" w:cstheme="minorBidi"/>
          <w:noProof/>
          <w:sz w:val="24"/>
          <w:szCs w:val="24"/>
          <w:lang w:eastAsia="ja-JP"/>
        </w:rPr>
        <w:tab/>
      </w:r>
      <w:r>
        <w:rPr>
          <w:noProof/>
        </w:rPr>
        <w:t>Flexibility and Adaptive Management</w:t>
      </w:r>
      <w:r>
        <w:rPr>
          <w:noProof/>
        </w:rPr>
        <w:tab/>
      </w:r>
      <w:r w:rsidR="008269C6">
        <w:rPr>
          <w:noProof/>
        </w:rPr>
        <w:fldChar w:fldCharType="begin"/>
      </w:r>
      <w:r>
        <w:rPr>
          <w:noProof/>
        </w:rPr>
        <w:instrText xml:space="preserve"> PAGEREF _Toc238551067 \h </w:instrText>
      </w:r>
      <w:r w:rsidR="008269C6">
        <w:rPr>
          <w:noProof/>
        </w:rPr>
      </w:r>
      <w:r w:rsidR="008269C6">
        <w:rPr>
          <w:noProof/>
        </w:rPr>
        <w:fldChar w:fldCharType="separate"/>
      </w:r>
      <w:r>
        <w:rPr>
          <w:noProof/>
        </w:rPr>
        <w:t>33</w:t>
      </w:r>
      <w:r w:rsidR="008269C6">
        <w:rPr>
          <w:noProof/>
        </w:rPr>
        <w:fldChar w:fldCharType="end"/>
      </w:r>
    </w:p>
    <w:p w:rsidR="0089284E" w:rsidRDefault="0089284E">
      <w:pPr>
        <w:pStyle w:val="TOC3"/>
        <w:tabs>
          <w:tab w:val="left" w:pos="907"/>
          <w:tab w:val="right" w:leader="dot" w:pos="9350"/>
        </w:tabs>
        <w:rPr>
          <w:rFonts w:asciiTheme="minorHAnsi" w:eastAsiaTheme="minorEastAsia" w:hAnsiTheme="minorHAnsi" w:cstheme="minorBidi"/>
          <w:noProof/>
          <w:sz w:val="24"/>
          <w:szCs w:val="24"/>
          <w:lang w:eastAsia="ja-JP"/>
        </w:rPr>
      </w:pPr>
      <w:r>
        <w:rPr>
          <w:noProof/>
        </w:rPr>
        <w:t>iv.</w:t>
      </w:r>
      <w:r>
        <w:rPr>
          <w:rFonts w:asciiTheme="minorHAnsi" w:eastAsiaTheme="minorEastAsia" w:hAnsiTheme="minorHAnsi" w:cstheme="minorBidi"/>
          <w:noProof/>
          <w:sz w:val="24"/>
          <w:szCs w:val="24"/>
          <w:lang w:eastAsia="ja-JP"/>
        </w:rPr>
        <w:tab/>
      </w:r>
      <w:r>
        <w:rPr>
          <w:noProof/>
        </w:rPr>
        <w:t>UNDP Oversight of the Prespa IEM Project</w:t>
      </w:r>
      <w:r>
        <w:rPr>
          <w:noProof/>
        </w:rPr>
        <w:tab/>
      </w:r>
      <w:r w:rsidR="008269C6">
        <w:rPr>
          <w:noProof/>
        </w:rPr>
        <w:fldChar w:fldCharType="begin"/>
      </w:r>
      <w:r>
        <w:rPr>
          <w:noProof/>
        </w:rPr>
        <w:instrText xml:space="preserve"> PAGEREF _Toc238551068 \h </w:instrText>
      </w:r>
      <w:r w:rsidR="008269C6">
        <w:rPr>
          <w:noProof/>
        </w:rPr>
      </w:r>
      <w:r w:rsidR="008269C6">
        <w:rPr>
          <w:noProof/>
        </w:rPr>
        <w:fldChar w:fldCharType="separate"/>
      </w:r>
      <w:r>
        <w:rPr>
          <w:noProof/>
        </w:rPr>
        <w:t>33</w:t>
      </w:r>
      <w:r w:rsidR="008269C6">
        <w:rPr>
          <w:noProof/>
        </w:rPr>
        <w:fldChar w:fldCharType="end"/>
      </w:r>
    </w:p>
    <w:p w:rsidR="0089284E" w:rsidRDefault="0089284E">
      <w:pPr>
        <w:pStyle w:val="TOC1"/>
        <w:tabs>
          <w:tab w:val="right" w:leader="dot" w:pos="9350"/>
        </w:tabs>
        <w:rPr>
          <w:rFonts w:asciiTheme="minorHAnsi" w:eastAsiaTheme="minorEastAsia" w:hAnsiTheme="minorHAnsi" w:cstheme="minorBidi"/>
          <w:noProof/>
          <w:sz w:val="24"/>
          <w:lang w:eastAsia="ja-JP"/>
        </w:rPr>
      </w:pPr>
      <w:r>
        <w:rPr>
          <w:noProof/>
        </w:rPr>
        <w:t>V. Prespa IEM Project Performance and Results (Effectiveness)</w:t>
      </w:r>
      <w:r>
        <w:rPr>
          <w:noProof/>
        </w:rPr>
        <w:tab/>
      </w:r>
      <w:r w:rsidR="008269C6">
        <w:rPr>
          <w:noProof/>
        </w:rPr>
        <w:fldChar w:fldCharType="begin"/>
      </w:r>
      <w:r>
        <w:rPr>
          <w:noProof/>
        </w:rPr>
        <w:instrText xml:space="preserve"> PAGEREF _Toc238551069 \h </w:instrText>
      </w:r>
      <w:r w:rsidR="008269C6">
        <w:rPr>
          <w:noProof/>
        </w:rPr>
      </w:r>
      <w:r w:rsidR="008269C6">
        <w:rPr>
          <w:noProof/>
        </w:rPr>
        <w:fldChar w:fldCharType="separate"/>
      </w:r>
      <w:r>
        <w:rPr>
          <w:noProof/>
        </w:rPr>
        <w:t>35</w:t>
      </w:r>
      <w:r w:rsidR="008269C6">
        <w:rPr>
          <w:noProof/>
        </w:rPr>
        <w:fldChar w:fldCharType="end"/>
      </w:r>
    </w:p>
    <w:p w:rsidR="0089284E" w:rsidRDefault="0089284E">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Key Factors Affecting Project Implementation</w:t>
      </w:r>
      <w:r>
        <w:rPr>
          <w:noProof/>
        </w:rPr>
        <w:tab/>
      </w:r>
      <w:r w:rsidR="008269C6">
        <w:rPr>
          <w:noProof/>
        </w:rPr>
        <w:fldChar w:fldCharType="begin"/>
      </w:r>
      <w:r>
        <w:rPr>
          <w:noProof/>
        </w:rPr>
        <w:instrText xml:space="preserve"> PAGEREF _Toc238551070 \h </w:instrText>
      </w:r>
      <w:r w:rsidR="008269C6">
        <w:rPr>
          <w:noProof/>
        </w:rPr>
      </w:r>
      <w:r w:rsidR="008269C6">
        <w:rPr>
          <w:noProof/>
        </w:rPr>
        <w:fldChar w:fldCharType="separate"/>
      </w:r>
      <w:r>
        <w:rPr>
          <w:noProof/>
        </w:rPr>
        <w:t>35</w:t>
      </w:r>
      <w:r w:rsidR="008269C6">
        <w:rPr>
          <w:noProof/>
        </w:rPr>
        <w:fldChar w:fldCharType="end"/>
      </w:r>
    </w:p>
    <w:p w:rsidR="0089284E" w:rsidRDefault="0089284E">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Progress Toward Achievement of Anticipated Outcomes</w:t>
      </w:r>
      <w:r>
        <w:rPr>
          <w:noProof/>
        </w:rPr>
        <w:tab/>
      </w:r>
      <w:r w:rsidR="008269C6">
        <w:rPr>
          <w:noProof/>
        </w:rPr>
        <w:fldChar w:fldCharType="begin"/>
      </w:r>
      <w:r>
        <w:rPr>
          <w:noProof/>
        </w:rPr>
        <w:instrText xml:space="preserve"> PAGEREF _Toc238551071 \h </w:instrText>
      </w:r>
      <w:r w:rsidR="008269C6">
        <w:rPr>
          <w:noProof/>
        </w:rPr>
      </w:r>
      <w:r w:rsidR="008269C6">
        <w:rPr>
          <w:noProof/>
        </w:rPr>
        <w:fldChar w:fldCharType="separate"/>
      </w:r>
      <w:r>
        <w:rPr>
          <w:noProof/>
        </w:rPr>
        <w:t>39</w:t>
      </w:r>
      <w:r w:rsidR="008269C6">
        <w:rPr>
          <w:noProof/>
        </w:rPr>
        <w:fldChar w:fldCharType="end"/>
      </w:r>
    </w:p>
    <w:p w:rsidR="0089284E" w:rsidRDefault="0089284E">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Outcome 1: Stakeholders strengthen legal and regulatory enabling environment and establish land and water use management basis for maintaining and restoring ecosystem health in the Prespa Lakes Basin</w:t>
      </w:r>
      <w:r>
        <w:rPr>
          <w:noProof/>
        </w:rPr>
        <w:tab/>
      </w:r>
      <w:r w:rsidR="008269C6">
        <w:rPr>
          <w:noProof/>
        </w:rPr>
        <w:fldChar w:fldCharType="begin"/>
      </w:r>
      <w:r>
        <w:rPr>
          <w:noProof/>
        </w:rPr>
        <w:instrText xml:space="preserve"> PAGEREF _Toc238551072 \h </w:instrText>
      </w:r>
      <w:r w:rsidR="008269C6">
        <w:rPr>
          <w:noProof/>
        </w:rPr>
      </w:r>
      <w:r w:rsidR="008269C6">
        <w:rPr>
          <w:noProof/>
        </w:rPr>
        <w:fldChar w:fldCharType="separate"/>
      </w:r>
      <w:r>
        <w:rPr>
          <w:noProof/>
        </w:rPr>
        <w:t>41</w:t>
      </w:r>
      <w:r w:rsidR="008269C6">
        <w:rPr>
          <w:noProof/>
        </w:rPr>
        <w:fldChar w:fldCharType="end"/>
      </w:r>
    </w:p>
    <w:p w:rsidR="0089284E" w:rsidRDefault="0089284E">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 xml:space="preserve">Outcome 2: </w:t>
      </w:r>
      <w:r w:rsidRPr="00DF2591">
        <w:rPr>
          <w:iCs/>
          <w:noProof/>
        </w:rPr>
        <w:t>Stakeholders modify productive sector resource management practices to reduce pesticide inputs, increase habitat heterogeneity, and improve the status of target species and communities within the national sectors of the Prespa Basin</w:t>
      </w:r>
      <w:r>
        <w:rPr>
          <w:noProof/>
        </w:rPr>
        <w:tab/>
      </w:r>
      <w:r w:rsidR="008269C6">
        <w:rPr>
          <w:noProof/>
        </w:rPr>
        <w:fldChar w:fldCharType="begin"/>
      </w:r>
      <w:r>
        <w:rPr>
          <w:noProof/>
        </w:rPr>
        <w:instrText xml:space="preserve"> PAGEREF _Toc238551073 \h </w:instrText>
      </w:r>
      <w:r w:rsidR="008269C6">
        <w:rPr>
          <w:noProof/>
        </w:rPr>
      </w:r>
      <w:r w:rsidR="008269C6">
        <w:rPr>
          <w:noProof/>
        </w:rPr>
        <w:fldChar w:fldCharType="separate"/>
      </w:r>
      <w:r>
        <w:rPr>
          <w:noProof/>
        </w:rPr>
        <w:t>46</w:t>
      </w:r>
      <w:r w:rsidR="008269C6">
        <w:rPr>
          <w:noProof/>
        </w:rPr>
        <w:fldChar w:fldCharType="end"/>
      </w:r>
    </w:p>
    <w:p w:rsidR="0089284E" w:rsidRDefault="0089284E">
      <w:pPr>
        <w:pStyle w:val="TOC3"/>
        <w:tabs>
          <w:tab w:val="left" w:pos="908"/>
          <w:tab w:val="right" w:leader="dot" w:pos="9350"/>
        </w:tabs>
        <w:rPr>
          <w:rFonts w:asciiTheme="minorHAnsi" w:eastAsiaTheme="minorEastAsia" w:hAnsiTheme="minorHAnsi" w:cstheme="minorBidi"/>
          <w:noProof/>
          <w:sz w:val="24"/>
          <w:szCs w:val="24"/>
          <w:lang w:eastAsia="ja-JP"/>
        </w:rPr>
      </w:pPr>
      <w:r>
        <w:rPr>
          <w:noProof/>
        </w:rPr>
        <w:t>iii.</w:t>
      </w:r>
      <w:r>
        <w:rPr>
          <w:rFonts w:asciiTheme="minorHAnsi" w:eastAsiaTheme="minorEastAsia" w:hAnsiTheme="minorHAnsi" w:cstheme="minorBidi"/>
          <w:noProof/>
          <w:sz w:val="24"/>
          <w:szCs w:val="24"/>
          <w:lang w:eastAsia="ja-JP"/>
        </w:rPr>
        <w:tab/>
      </w:r>
      <w:r>
        <w:rPr>
          <w:noProof/>
        </w:rPr>
        <w:t>Outcome 3: Stakeholders conserve priority biological diversity across the Prespa Basin and make key protected areas in Prespa Basin (PNP, GNP, ENR, and PPA-GR) fully operational</w:t>
      </w:r>
      <w:r>
        <w:rPr>
          <w:noProof/>
        </w:rPr>
        <w:tab/>
      </w:r>
      <w:r w:rsidR="008269C6">
        <w:rPr>
          <w:noProof/>
        </w:rPr>
        <w:fldChar w:fldCharType="begin"/>
      </w:r>
      <w:r>
        <w:rPr>
          <w:noProof/>
        </w:rPr>
        <w:instrText xml:space="preserve"> PAGEREF _Toc238551074 \h </w:instrText>
      </w:r>
      <w:r w:rsidR="008269C6">
        <w:rPr>
          <w:noProof/>
        </w:rPr>
      </w:r>
      <w:r w:rsidR="008269C6">
        <w:rPr>
          <w:noProof/>
        </w:rPr>
        <w:fldChar w:fldCharType="separate"/>
      </w:r>
      <w:r>
        <w:rPr>
          <w:noProof/>
        </w:rPr>
        <w:t>53</w:t>
      </w:r>
      <w:r w:rsidR="008269C6">
        <w:rPr>
          <w:noProof/>
        </w:rPr>
        <w:fldChar w:fldCharType="end"/>
      </w:r>
    </w:p>
    <w:p w:rsidR="0089284E" w:rsidRDefault="0089284E">
      <w:pPr>
        <w:pStyle w:val="TOC3"/>
        <w:tabs>
          <w:tab w:val="left" w:pos="907"/>
          <w:tab w:val="right" w:leader="dot" w:pos="9350"/>
        </w:tabs>
        <w:rPr>
          <w:rFonts w:asciiTheme="minorHAnsi" w:eastAsiaTheme="minorEastAsia" w:hAnsiTheme="minorHAnsi" w:cstheme="minorBidi"/>
          <w:noProof/>
          <w:sz w:val="24"/>
          <w:szCs w:val="24"/>
          <w:lang w:eastAsia="ja-JP"/>
        </w:rPr>
      </w:pPr>
      <w:r>
        <w:rPr>
          <w:noProof/>
        </w:rPr>
        <w:t>iv.</w:t>
      </w:r>
      <w:r>
        <w:rPr>
          <w:rFonts w:asciiTheme="minorHAnsi" w:eastAsiaTheme="minorEastAsia" w:hAnsiTheme="minorHAnsi" w:cstheme="minorBidi"/>
          <w:noProof/>
          <w:sz w:val="24"/>
          <w:szCs w:val="24"/>
          <w:lang w:eastAsia="ja-JP"/>
        </w:rPr>
        <w:tab/>
      </w:r>
      <w:r>
        <w:rPr>
          <w:noProof/>
        </w:rPr>
        <w:t>Outcome 4: Stakeholders build upon ongoing trans-boundary cooperation in the Prespa Basin by strengthening the trans-boundary coordination mechanism and piloting trans-boundary conservation and water management</w:t>
      </w:r>
      <w:r>
        <w:rPr>
          <w:noProof/>
        </w:rPr>
        <w:tab/>
      </w:r>
      <w:r w:rsidR="008269C6">
        <w:rPr>
          <w:noProof/>
        </w:rPr>
        <w:fldChar w:fldCharType="begin"/>
      </w:r>
      <w:r>
        <w:rPr>
          <w:noProof/>
        </w:rPr>
        <w:instrText xml:space="preserve"> PAGEREF _Toc238551075 \h </w:instrText>
      </w:r>
      <w:r w:rsidR="008269C6">
        <w:rPr>
          <w:noProof/>
        </w:rPr>
      </w:r>
      <w:r w:rsidR="008269C6">
        <w:rPr>
          <w:noProof/>
        </w:rPr>
        <w:fldChar w:fldCharType="separate"/>
      </w:r>
      <w:r>
        <w:rPr>
          <w:noProof/>
        </w:rPr>
        <w:t>59</w:t>
      </w:r>
      <w:r w:rsidR="008269C6">
        <w:rPr>
          <w:noProof/>
        </w:rPr>
        <w:fldChar w:fldCharType="end"/>
      </w:r>
    </w:p>
    <w:p w:rsidR="0089284E" w:rsidRDefault="0089284E">
      <w:pPr>
        <w:pStyle w:val="TOC3"/>
        <w:tabs>
          <w:tab w:val="left" w:pos="861"/>
          <w:tab w:val="right" w:leader="dot" w:pos="9350"/>
        </w:tabs>
        <w:rPr>
          <w:rFonts w:asciiTheme="minorHAnsi" w:eastAsiaTheme="minorEastAsia" w:hAnsiTheme="minorHAnsi" w:cstheme="minorBidi"/>
          <w:noProof/>
          <w:sz w:val="24"/>
          <w:szCs w:val="24"/>
          <w:lang w:eastAsia="ja-JP"/>
        </w:rPr>
      </w:pPr>
      <w:r>
        <w:rPr>
          <w:noProof/>
        </w:rPr>
        <w:t>v.</w:t>
      </w:r>
      <w:r>
        <w:rPr>
          <w:rFonts w:asciiTheme="minorHAnsi" w:eastAsiaTheme="minorEastAsia" w:hAnsiTheme="minorHAnsi" w:cstheme="minorBidi"/>
          <w:noProof/>
          <w:sz w:val="24"/>
          <w:szCs w:val="24"/>
          <w:lang w:eastAsia="ja-JP"/>
        </w:rPr>
        <w:tab/>
      </w:r>
      <w:r>
        <w:rPr>
          <w:noProof/>
        </w:rPr>
        <w:t>Outcome 5: Lessons learned and adaptive management of project</w:t>
      </w:r>
      <w:r>
        <w:rPr>
          <w:noProof/>
        </w:rPr>
        <w:tab/>
      </w:r>
      <w:r w:rsidR="008269C6">
        <w:rPr>
          <w:noProof/>
        </w:rPr>
        <w:fldChar w:fldCharType="begin"/>
      </w:r>
      <w:r>
        <w:rPr>
          <w:noProof/>
        </w:rPr>
        <w:instrText xml:space="preserve"> PAGEREF _Toc238551076 \h </w:instrText>
      </w:r>
      <w:r w:rsidR="008269C6">
        <w:rPr>
          <w:noProof/>
        </w:rPr>
      </w:r>
      <w:r w:rsidR="008269C6">
        <w:rPr>
          <w:noProof/>
        </w:rPr>
        <w:fldChar w:fldCharType="separate"/>
      </w:r>
      <w:r>
        <w:rPr>
          <w:noProof/>
        </w:rPr>
        <w:t>72</w:t>
      </w:r>
      <w:r w:rsidR="008269C6">
        <w:rPr>
          <w:noProof/>
        </w:rPr>
        <w:fldChar w:fldCharType="end"/>
      </w:r>
    </w:p>
    <w:p w:rsidR="0089284E" w:rsidRDefault="0089284E">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Stakeholder Participation and Partnerships During Implementation</w:t>
      </w:r>
      <w:r>
        <w:rPr>
          <w:noProof/>
        </w:rPr>
        <w:tab/>
      </w:r>
      <w:r w:rsidR="008269C6">
        <w:rPr>
          <w:noProof/>
        </w:rPr>
        <w:fldChar w:fldCharType="begin"/>
      </w:r>
      <w:r>
        <w:rPr>
          <w:noProof/>
        </w:rPr>
        <w:instrText xml:space="preserve"> PAGEREF _Toc238551077 \h </w:instrText>
      </w:r>
      <w:r w:rsidR="008269C6">
        <w:rPr>
          <w:noProof/>
        </w:rPr>
      </w:r>
      <w:r w:rsidR="008269C6">
        <w:rPr>
          <w:noProof/>
        </w:rPr>
        <w:fldChar w:fldCharType="separate"/>
      </w:r>
      <w:r>
        <w:rPr>
          <w:noProof/>
        </w:rPr>
        <w:t>73</w:t>
      </w:r>
      <w:r w:rsidR="008269C6">
        <w:rPr>
          <w:noProof/>
        </w:rPr>
        <w:fldChar w:fldCharType="end"/>
      </w:r>
    </w:p>
    <w:p w:rsidR="0089284E" w:rsidRDefault="0089284E">
      <w:pPr>
        <w:pStyle w:val="TOC1"/>
        <w:tabs>
          <w:tab w:val="right" w:leader="dot" w:pos="9350"/>
        </w:tabs>
        <w:rPr>
          <w:rFonts w:asciiTheme="minorHAnsi" w:eastAsiaTheme="minorEastAsia" w:hAnsiTheme="minorHAnsi" w:cstheme="minorBidi"/>
          <w:noProof/>
          <w:sz w:val="24"/>
          <w:lang w:eastAsia="ja-JP"/>
        </w:rPr>
      </w:pPr>
      <w:r>
        <w:rPr>
          <w:noProof/>
        </w:rPr>
        <w:t>VI. Key GEF Performance Parameters</w:t>
      </w:r>
      <w:r>
        <w:rPr>
          <w:noProof/>
        </w:rPr>
        <w:tab/>
      </w:r>
      <w:r w:rsidR="008269C6">
        <w:rPr>
          <w:noProof/>
        </w:rPr>
        <w:fldChar w:fldCharType="begin"/>
      </w:r>
      <w:r>
        <w:rPr>
          <w:noProof/>
        </w:rPr>
        <w:instrText xml:space="preserve"> PAGEREF _Toc238551078 \h </w:instrText>
      </w:r>
      <w:r w:rsidR="008269C6">
        <w:rPr>
          <w:noProof/>
        </w:rPr>
      </w:r>
      <w:r w:rsidR="008269C6">
        <w:rPr>
          <w:noProof/>
        </w:rPr>
        <w:fldChar w:fldCharType="separate"/>
      </w:r>
      <w:r>
        <w:rPr>
          <w:noProof/>
        </w:rPr>
        <w:t>74</w:t>
      </w:r>
      <w:r w:rsidR="008269C6">
        <w:rPr>
          <w:noProof/>
        </w:rPr>
        <w:fldChar w:fldCharType="end"/>
      </w:r>
    </w:p>
    <w:p w:rsidR="0089284E" w:rsidRDefault="0089284E">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Sustainability</w:t>
      </w:r>
      <w:r>
        <w:rPr>
          <w:noProof/>
        </w:rPr>
        <w:tab/>
      </w:r>
      <w:r w:rsidR="008269C6">
        <w:rPr>
          <w:noProof/>
        </w:rPr>
        <w:fldChar w:fldCharType="begin"/>
      </w:r>
      <w:r>
        <w:rPr>
          <w:noProof/>
        </w:rPr>
        <w:instrText xml:space="preserve"> PAGEREF _Toc238551079 \h </w:instrText>
      </w:r>
      <w:r w:rsidR="008269C6">
        <w:rPr>
          <w:noProof/>
        </w:rPr>
      </w:r>
      <w:r w:rsidR="008269C6">
        <w:rPr>
          <w:noProof/>
        </w:rPr>
        <w:fldChar w:fldCharType="separate"/>
      </w:r>
      <w:r>
        <w:rPr>
          <w:noProof/>
        </w:rPr>
        <w:t>74</w:t>
      </w:r>
      <w:r w:rsidR="008269C6">
        <w:rPr>
          <w:noProof/>
        </w:rPr>
        <w:fldChar w:fldCharType="end"/>
      </w:r>
    </w:p>
    <w:p w:rsidR="0089284E" w:rsidRDefault="0089284E">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Financial Risks to Sustainability</w:t>
      </w:r>
      <w:r>
        <w:rPr>
          <w:noProof/>
        </w:rPr>
        <w:tab/>
      </w:r>
      <w:r w:rsidR="008269C6">
        <w:rPr>
          <w:noProof/>
        </w:rPr>
        <w:fldChar w:fldCharType="begin"/>
      </w:r>
      <w:r>
        <w:rPr>
          <w:noProof/>
        </w:rPr>
        <w:instrText xml:space="preserve"> PAGEREF _Toc238551080 \h </w:instrText>
      </w:r>
      <w:r w:rsidR="008269C6">
        <w:rPr>
          <w:noProof/>
        </w:rPr>
      </w:r>
      <w:r w:rsidR="008269C6">
        <w:rPr>
          <w:noProof/>
        </w:rPr>
        <w:fldChar w:fldCharType="separate"/>
      </w:r>
      <w:r>
        <w:rPr>
          <w:noProof/>
        </w:rPr>
        <w:t>74</w:t>
      </w:r>
      <w:r w:rsidR="008269C6">
        <w:rPr>
          <w:noProof/>
        </w:rPr>
        <w:fldChar w:fldCharType="end"/>
      </w:r>
    </w:p>
    <w:p w:rsidR="0089284E" w:rsidRDefault="0089284E">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Sociopolitical Risks to Sustainability</w:t>
      </w:r>
      <w:r>
        <w:rPr>
          <w:noProof/>
        </w:rPr>
        <w:tab/>
      </w:r>
      <w:r w:rsidR="008269C6">
        <w:rPr>
          <w:noProof/>
        </w:rPr>
        <w:fldChar w:fldCharType="begin"/>
      </w:r>
      <w:r>
        <w:rPr>
          <w:noProof/>
        </w:rPr>
        <w:instrText xml:space="preserve"> PAGEREF _Toc238551081 \h </w:instrText>
      </w:r>
      <w:r w:rsidR="008269C6">
        <w:rPr>
          <w:noProof/>
        </w:rPr>
      </w:r>
      <w:r w:rsidR="008269C6">
        <w:rPr>
          <w:noProof/>
        </w:rPr>
        <w:fldChar w:fldCharType="separate"/>
      </w:r>
      <w:r>
        <w:rPr>
          <w:noProof/>
        </w:rPr>
        <w:t>76</w:t>
      </w:r>
      <w:r w:rsidR="008269C6">
        <w:rPr>
          <w:noProof/>
        </w:rPr>
        <w:fldChar w:fldCharType="end"/>
      </w:r>
    </w:p>
    <w:p w:rsidR="0089284E" w:rsidRDefault="0089284E">
      <w:pPr>
        <w:pStyle w:val="TOC3"/>
        <w:tabs>
          <w:tab w:val="left" w:pos="908"/>
          <w:tab w:val="right" w:leader="dot" w:pos="9350"/>
        </w:tabs>
        <w:rPr>
          <w:rFonts w:asciiTheme="minorHAnsi" w:eastAsiaTheme="minorEastAsia" w:hAnsiTheme="minorHAnsi" w:cstheme="minorBidi"/>
          <w:noProof/>
          <w:sz w:val="24"/>
          <w:szCs w:val="24"/>
          <w:lang w:eastAsia="ja-JP"/>
        </w:rPr>
      </w:pPr>
      <w:r>
        <w:rPr>
          <w:noProof/>
        </w:rPr>
        <w:t>iii.</w:t>
      </w:r>
      <w:r>
        <w:rPr>
          <w:rFonts w:asciiTheme="minorHAnsi" w:eastAsiaTheme="minorEastAsia" w:hAnsiTheme="minorHAnsi" w:cstheme="minorBidi"/>
          <w:noProof/>
          <w:sz w:val="24"/>
          <w:szCs w:val="24"/>
          <w:lang w:eastAsia="ja-JP"/>
        </w:rPr>
        <w:tab/>
      </w:r>
      <w:r>
        <w:rPr>
          <w:noProof/>
        </w:rPr>
        <w:t>Institutional Framework and Governance Risks to Sustainability</w:t>
      </w:r>
      <w:r>
        <w:rPr>
          <w:noProof/>
        </w:rPr>
        <w:tab/>
      </w:r>
      <w:r w:rsidR="008269C6">
        <w:rPr>
          <w:noProof/>
        </w:rPr>
        <w:fldChar w:fldCharType="begin"/>
      </w:r>
      <w:r>
        <w:rPr>
          <w:noProof/>
        </w:rPr>
        <w:instrText xml:space="preserve"> PAGEREF _Toc238551082 \h </w:instrText>
      </w:r>
      <w:r w:rsidR="008269C6">
        <w:rPr>
          <w:noProof/>
        </w:rPr>
      </w:r>
      <w:r w:rsidR="008269C6">
        <w:rPr>
          <w:noProof/>
        </w:rPr>
        <w:fldChar w:fldCharType="separate"/>
      </w:r>
      <w:r>
        <w:rPr>
          <w:noProof/>
        </w:rPr>
        <w:t>77</w:t>
      </w:r>
      <w:r w:rsidR="008269C6">
        <w:rPr>
          <w:noProof/>
        </w:rPr>
        <w:fldChar w:fldCharType="end"/>
      </w:r>
    </w:p>
    <w:p w:rsidR="0089284E" w:rsidRDefault="0089284E">
      <w:pPr>
        <w:pStyle w:val="TOC3"/>
        <w:tabs>
          <w:tab w:val="left" w:pos="907"/>
          <w:tab w:val="right" w:leader="dot" w:pos="9350"/>
        </w:tabs>
        <w:rPr>
          <w:rFonts w:asciiTheme="minorHAnsi" w:eastAsiaTheme="minorEastAsia" w:hAnsiTheme="minorHAnsi" w:cstheme="minorBidi"/>
          <w:noProof/>
          <w:sz w:val="24"/>
          <w:szCs w:val="24"/>
          <w:lang w:eastAsia="ja-JP"/>
        </w:rPr>
      </w:pPr>
      <w:r>
        <w:rPr>
          <w:noProof/>
        </w:rPr>
        <w:t>iv.</w:t>
      </w:r>
      <w:r>
        <w:rPr>
          <w:rFonts w:asciiTheme="minorHAnsi" w:eastAsiaTheme="minorEastAsia" w:hAnsiTheme="minorHAnsi" w:cstheme="minorBidi"/>
          <w:noProof/>
          <w:sz w:val="24"/>
          <w:szCs w:val="24"/>
          <w:lang w:eastAsia="ja-JP"/>
        </w:rPr>
        <w:tab/>
      </w:r>
      <w:r>
        <w:rPr>
          <w:noProof/>
        </w:rPr>
        <w:t>Environmental Risks to Sustainability</w:t>
      </w:r>
      <w:r>
        <w:rPr>
          <w:noProof/>
        </w:rPr>
        <w:tab/>
      </w:r>
      <w:r w:rsidR="008269C6">
        <w:rPr>
          <w:noProof/>
        </w:rPr>
        <w:fldChar w:fldCharType="begin"/>
      </w:r>
      <w:r>
        <w:rPr>
          <w:noProof/>
        </w:rPr>
        <w:instrText xml:space="preserve"> PAGEREF _Toc238551083 \h </w:instrText>
      </w:r>
      <w:r w:rsidR="008269C6">
        <w:rPr>
          <w:noProof/>
        </w:rPr>
      </w:r>
      <w:r w:rsidR="008269C6">
        <w:rPr>
          <w:noProof/>
        </w:rPr>
        <w:fldChar w:fldCharType="separate"/>
      </w:r>
      <w:r>
        <w:rPr>
          <w:noProof/>
        </w:rPr>
        <w:t>77</w:t>
      </w:r>
      <w:r w:rsidR="008269C6">
        <w:rPr>
          <w:noProof/>
        </w:rPr>
        <w:fldChar w:fldCharType="end"/>
      </w:r>
    </w:p>
    <w:p w:rsidR="0089284E" w:rsidRDefault="0089284E">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Catalytic Role: Replication and Scaling-up</w:t>
      </w:r>
      <w:r>
        <w:rPr>
          <w:noProof/>
        </w:rPr>
        <w:tab/>
      </w:r>
      <w:r w:rsidR="008269C6">
        <w:rPr>
          <w:noProof/>
        </w:rPr>
        <w:fldChar w:fldCharType="begin"/>
      </w:r>
      <w:r>
        <w:rPr>
          <w:noProof/>
        </w:rPr>
        <w:instrText xml:space="preserve"> PAGEREF _Toc238551084 \h </w:instrText>
      </w:r>
      <w:r w:rsidR="008269C6">
        <w:rPr>
          <w:noProof/>
        </w:rPr>
      </w:r>
      <w:r w:rsidR="008269C6">
        <w:rPr>
          <w:noProof/>
        </w:rPr>
        <w:fldChar w:fldCharType="separate"/>
      </w:r>
      <w:r>
        <w:rPr>
          <w:noProof/>
        </w:rPr>
        <w:t>78</w:t>
      </w:r>
      <w:r w:rsidR="008269C6">
        <w:rPr>
          <w:noProof/>
        </w:rPr>
        <w:fldChar w:fldCharType="end"/>
      </w:r>
    </w:p>
    <w:p w:rsidR="0089284E" w:rsidRDefault="0089284E">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Monitoring and Evaluation</w:t>
      </w:r>
      <w:r>
        <w:rPr>
          <w:noProof/>
        </w:rPr>
        <w:tab/>
      </w:r>
      <w:r w:rsidR="008269C6">
        <w:rPr>
          <w:noProof/>
        </w:rPr>
        <w:fldChar w:fldCharType="begin"/>
      </w:r>
      <w:r>
        <w:rPr>
          <w:noProof/>
        </w:rPr>
        <w:instrText xml:space="preserve"> PAGEREF _Toc238551085 \h </w:instrText>
      </w:r>
      <w:r w:rsidR="008269C6">
        <w:rPr>
          <w:noProof/>
        </w:rPr>
      </w:r>
      <w:r w:rsidR="008269C6">
        <w:rPr>
          <w:noProof/>
        </w:rPr>
        <w:fldChar w:fldCharType="separate"/>
      </w:r>
      <w:r>
        <w:rPr>
          <w:noProof/>
        </w:rPr>
        <w:t>78</w:t>
      </w:r>
      <w:r w:rsidR="008269C6">
        <w:rPr>
          <w:noProof/>
        </w:rPr>
        <w:fldChar w:fldCharType="end"/>
      </w:r>
    </w:p>
    <w:p w:rsidR="0089284E" w:rsidRDefault="0089284E">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lastRenderedPageBreak/>
        <w:t>i.</w:t>
      </w:r>
      <w:r>
        <w:rPr>
          <w:rFonts w:asciiTheme="minorHAnsi" w:eastAsiaTheme="minorEastAsia" w:hAnsiTheme="minorHAnsi" w:cstheme="minorBidi"/>
          <w:noProof/>
          <w:sz w:val="24"/>
          <w:szCs w:val="24"/>
          <w:lang w:eastAsia="ja-JP"/>
        </w:rPr>
        <w:tab/>
      </w:r>
      <w:r>
        <w:rPr>
          <w:noProof/>
        </w:rPr>
        <w:t>Project Monitoring, Reporting, and Evaluation</w:t>
      </w:r>
      <w:r>
        <w:rPr>
          <w:noProof/>
        </w:rPr>
        <w:tab/>
      </w:r>
      <w:r w:rsidR="008269C6">
        <w:rPr>
          <w:noProof/>
        </w:rPr>
        <w:fldChar w:fldCharType="begin"/>
      </w:r>
      <w:r>
        <w:rPr>
          <w:noProof/>
        </w:rPr>
        <w:instrText xml:space="preserve"> PAGEREF _Toc238551086 \h </w:instrText>
      </w:r>
      <w:r w:rsidR="008269C6">
        <w:rPr>
          <w:noProof/>
        </w:rPr>
      </w:r>
      <w:r w:rsidR="008269C6">
        <w:rPr>
          <w:noProof/>
        </w:rPr>
        <w:fldChar w:fldCharType="separate"/>
      </w:r>
      <w:r>
        <w:rPr>
          <w:noProof/>
        </w:rPr>
        <w:t>78</w:t>
      </w:r>
      <w:r w:rsidR="008269C6">
        <w:rPr>
          <w:noProof/>
        </w:rPr>
        <w:fldChar w:fldCharType="end"/>
      </w:r>
    </w:p>
    <w:p w:rsidR="0089284E" w:rsidRDefault="0089284E">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Environmental Monitoring</w:t>
      </w:r>
      <w:r>
        <w:rPr>
          <w:noProof/>
        </w:rPr>
        <w:tab/>
      </w:r>
      <w:r w:rsidR="008269C6">
        <w:rPr>
          <w:noProof/>
        </w:rPr>
        <w:fldChar w:fldCharType="begin"/>
      </w:r>
      <w:r>
        <w:rPr>
          <w:noProof/>
        </w:rPr>
        <w:instrText xml:space="preserve"> PAGEREF _Toc238551087 \h </w:instrText>
      </w:r>
      <w:r w:rsidR="008269C6">
        <w:rPr>
          <w:noProof/>
        </w:rPr>
      </w:r>
      <w:r w:rsidR="008269C6">
        <w:rPr>
          <w:noProof/>
        </w:rPr>
        <w:fldChar w:fldCharType="separate"/>
      </w:r>
      <w:r>
        <w:rPr>
          <w:noProof/>
        </w:rPr>
        <w:t>81</w:t>
      </w:r>
      <w:r w:rsidR="008269C6">
        <w:rPr>
          <w:noProof/>
        </w:rPr>
        <w:fldChar w:fldCharType="end"/>
      </w:r>
    </w:p>
    <w:p w:rsidR="0089284E" w:rsidRDefault="0089284E">
      <w:pPr>
        <w:pStyle w:val="TOC2"/>
        <w:tabs>
          <w:tab w:val="left" w:pos="654"/>
          <w:tab w:val="right" w:leader="dot" w:pos="9350"/>
        </w:tabs>
        <w:rPr>
          <w:rFonts w:asciiTheme="minorHAnsi" w:eastAsiaTheme="minorEastAsia" w:hAnsiTheme="minorHAnsi" w:cstheme="minorBidi"/>
          <w:noProof/>
          <w:sz w:val="24"/>
          <w:szCs w:val="24"/>
          <w:lang w:eastAsia="ja-JP"/>
        </w:rPr>
      </w:pPr>
      <w:r>
        <w:rPr>
          <w:noProof/>
        </w:rPr>
        <w:t>D.</w:t>
      </w:r>
      <w:r>
        <w:rPr>
          <w:rFonts w:asciiTheme="minorHAnsi" w:eastAsiaTheme="minorEastAsia" w:hAnsiTheme="minorHAnsi" w:cstheme="minorBidi"/>
          <w:noProof/>
          <w:sz w:val="24"/>
          <w:szCs w:val="24"/>
          <w:lang w:eastAsia="ja-JP"/>
        </w:rPr>
        <w:tab/>
      </w:r>
      <w:r>
        <w:rPr>
          <w:noProof/>
        </w:rPr>
        <w:t>Project Impacts and Global Environmental Benefits</w:t>
      </w:r>
      <w:r>
        <w:rPr>
          <w:noProof/>
        </w:rPr>
        <w:tab/>
      </w:r>
      <w:r w:rsidR="008269C6">
        <w:rPr>
          <w:noProof/>
        </w:rPr>
        <w:fldChar w:fldCharType="begin"/>
      </w:r>
      <w:r>
        <w:rPr>
          <w:noProof/>
        </w:rPr>
        <w:instrText xml:space="preserve"> PAGEREF _Toc238551088 \h </w:instrText>
      </w:r>
      <w:r w:rsidR="008269C6">
        <w:rPr>
          <w:noProof/>
        </w:rPr>
      </w:r>
      <w:r w:rsidR="008269C6">
        <w:rPr>
          <w:noProof/>
        </w:rPr>
        <w:fldChar w:fldCharType="separate"/>
      </w:r>
      <w:r>
        <w:rPr>
          <w:noProof/>
        </w:rPr>
        <w:t>81</w:t>
      </w:r>
      <w:r w:rsidR="008269C6">
        <w:rPr>
          <w:noProof/>
        </w:rPr>
        <w:fldChar w:fldCharType="end"/>
      </w:r>
    </w:p>
    <w:p w:rsidR="0089284E" w:rsidRDefault="0089284E">
      <w:pPr>
        <w:pStyle w:val="TOC1"/>
        <w:tabs>
          <w:tab w:val="right" w:leader="dot" w:pos="9350"/>
        </w:tabs>
        <w:rPr>
          <w:rFonts w:asciiTheme="minorHAnsi" w:eastAsiaTheme="minorEastAsia" w:hAnsiTheme="minorHAnsi" w:cstheme="minorBidi"/>
          <w:noProof/>
          <w:sz w:val="24"/>
          <w:lang w:eastAsia="ja-JP"/>
        </w:rPr>
      </w:pPr>
      <w:r>
        <w:rPr>
          <w:noProof/>
        </w:rPr>
        <w:t>VII. Main Lessons Learned and Recommendations</w:t>
      </w:r>
      <w:r>
        <w:rPr>
          <w:noProof/>
        </w:rPr>
        <w:tab/>
      </w:r>
      <w:r w:rsidR="008269C6">
        <w:rPr>
          <w:noProof/>
        </w:rPr>
        <w:fldChar w:fldCharType="begin"/>
      </w:r>
      <w:r>
        <w:rPr>
          <w:noProof/>
        </w:rPr>
        <w:instrText xml:space="preserve"> PAGEREF _Toc238551089 \h </w:instrText>
      </w:r>
      <w:r w:rsidR="008269C6">
        <w:rPr>
          <w:noProof/>
        </w:rPr>
      </w:r>
      <w:r w:rsidR="008269C6">
        <w:rPr>
          <w:noProof/>
        </w:rPr>
        <w:fldChar w:fldCharType="separate"/>
      </w:r>
      <w:r>
        <w:rPr>
          <w:noProof/>
        </w:rPr>
        <w:t>84</w:t>
      </w:r>
      <w:r w:rsidR="008269C6">
        <w:rPr>
          <w:noProof/>
        </w:rPr>
        <w:fldChar w:fldCharType="end"/>
      </w:r>
    </w:p>
    <w:p w:rsidR="0089284E" w:rsidRDefault="0089284E">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Lessons from the Experience of the Prespa IEM Project</w:t>
      </w:r>
      <w:r>
        <w:rPr>
          <w:noProof/>
        </w:rPr>
        <w:tab/>
      </w:r>
      <w:r w:rsidR="008269C6">
        <w:rPr>
          <w:noProof/>
        </w:rPr>
        <w:fldChar w:fldCharType="begin"/>
      </w:r>
      <w:r>
        <w:rPr>
          <w:noProof/>
        </w:rPr>
        <w:instrText xml:space="preserve"> PAGEREF _Toc238551090 \h </w:instrText>
      </w:r>
      <w:r w:rsidR="008269C6">
        <w:rPr>
          <w:noProof/>
        </w:rPr>
      </w:r>
      <w:r w:rsidR="008269C6">
        <w:rPr>
          <w:noProof/>
        </w:rPr>
        <w:fldChar w:fldCharType="separate"/>
      </w:r>
      <w:r>
        <w:rPr>
          <w:noProof/>
        </w:rPr>
        <w:t>84</w:t>
      </w:r>
      <w:r w:rsidR="008269C6">
        <w:rPr>
          <w:noProof/>
        </w:rPr>
        <w:fldChar w:fldCharType="end"/>
      </w:r>
    </w:p>
    <w:p w:rsidR="0089284E" w:rsidRDefault="0089284E">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Recommendations for Follow-up and Continued Action for Prespa Lakes Basin</w:t>
      </w:r>
      <w:r>
        <w:rPr>
          <w:noProof/>
        </w:rPr>
        <w:tab/>
      </w:r>
      <w:r w:rsidR="008269C6">
        <w:rPr>
          <w:noProof/>
        </w:rPr>
        <w:fldChar w:fldCharType="begin"/>
      </w:r>
      <w:r>
        <w:rPr>
          <w:noProof/>
        </w:rPr>
        <w:instrText xml:space="preserve"> PAGEREF _Toc238551091 \h </w:instrText>
      </w:r>
      <w:r w:rsidR="008269C6">
        <w:rPr>
          <w:noProof/>
        </w:rPr>
      </w:r>
      <w:r w:rsidR="008269C6">
        <w:rPr>
          <w:noProof/>
        </w:rPr>
        <w:fldChar w:fldCharType="separate"/>
      </w:r>
      <w:r>
        <w:rPr>
          <w:noProof/>
        </w:rPr>
        <w:t>89</w:t>
      </w:r>
      <w:r w:rsidR="008269C6">
        <w:rPr>
          <w:noProof/>
        </w:rPr>
        <w:fldChar w:fldCharType="end"/>
      </w:r>
    </w:p>
    <w:p w:rsidR="0089284E" w:rsidRDefault="0089284E">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Prespa IEMProject Terminal Evaluation Ratings</w:t>
      </w:r>
      <w:r>
        <w:rPr>
          <w:noProof/>
        </w:rPr>
        <w:tab/>
      </w:r>
      <w:r w:rsidR="008269C6">
        <w:rPr>
          <w:noProof/>
        </w:rPr>
        <w:fldChar w:fldCharType="begin"/>
      </w:r>
      <w:r>
        <w:rPr>
          <w:noProof/>
        </w:rPr>
        <w:instrText xml:space="preserve"> PAGEREF _Toc238551092 \h </w:instrText>
      </w:r>
      <w:r w:rsidR="008269C6">
        <w:rPr>
          <w:noProof/>
        </w:rPr>
      </w:r>
      <w:r w:rsidR="008269C6">
        <w:rPr>
          <w:noProof/>
        </w:rPr>
        <w:fldChar w:fldCharType="separate"/>
      </w:r>
      <w:r>
        <w:rPr>
          <w:noProof/>
        </w:rPr>
        <w:t>93</w:t>
      </w:r>
      <w:r w:rsidR="008269C6">
        <w:rPr>
          <w:noProof/>
        </w:rPr>
        <w:fldChar w:fldCharType="end"/>
      </w:r>
    </w:p>
    <w:p w:rsidR="0089284E" w:rsidRDefault="0089284E">
      <w:pPr>
        <w:pStyle w:val="TOC1"/>
        <w:tabs>
          <w:tab w:val="right" w:leader="dot" w:pos="9350"/>
        </w:tabs>
        <w:rPr>
          <w:rFonts w:asciiTheme="minorHAnsi" w:eastAsiaTheme="minorEastAsia" w:hAnsiTheme="minorHAnsi" w:cstheme="minorBidi"/>
          <w:noProof/>
          <w:sz w:val="24"/>
          <w:lang w:eastAsia="ja-JP"/>
        </w:rPr>
      </w:pPr>
      <w:r>
        <w:rPr>
          <w:noProof/>
        </w:rPr>
        <w:t>VIII. Annexes</w:t>
      </w:r>
      <w:r>
        <w:rPr>
          <w:noProof/>
        </w:rPr>
        <w:tab/>
      </w:r>
      <w:r w:rsidR="008269C6">
        <w:rPr>
          <w:noProof/>
        </w:rPr>
        <w:fldChar w:fldCharType="begin"/>
      </w:r>
      <w:r>
        <w:rPr>
          <w:noProof/>
        </w:rPr>
        <w:instrText xml:space="preserve"> PAGEREF _Toc238551093 \h </w:instrText>
      </w:r>
      <w:r w:rsidR="008269C6">
        <w:rPr>
          <w:noProof/>
        </w:rPr>
      </w:r>
      <w:r w:rsidR="008269C6">
        <w:rPr>
          <w:noProof/>
        </w:rPr>
        <w:fldChar w:fldCharType="separate"/>
      </w:r>
      <w:r>
        <w:rPr>
          <w:noProof/>
        </w:rPr>
        <w:t>100</w:t>
      </w:r>
      <w:r w:rsidR="008269C6">
        <w:rPr>
          <w:noProof/>
        </w:rPr>
        <w:fldChar w:fldCharType="end"/>
      </w:r>
    </w:p>
    <w:p w:rsidR="00B41E00" w:rsidRPr="00CD42DE" w:rsidRDefault="008269C6">
      <w:pPr>
        <w:rPr>
          <w:rFonts w:ascii="Calibri" w:hAnsi="Calibri"/>
        </w:rPr>
      </w:pPr>
      <w:r w:rsidRPr="002D3949">
        <w:rPr>
          <w:rFonts w:ascii="Calibri" w:hAnsi="Calibri"/>
        </w:rPr>
        <w:fldChar w:fldCharType="end"/>
      </w:r>
    </w:p>
    <w:p w:rsidR="002A35E9" w:rsidRPr="000A3C73" w:rsidRDefault="002A35E9">
      <w:pPr>
        <w:rPr>
          <w:rFonts w:ascii="Calibri" w:hAnsi="Calibri"/>
        </w:rPr>
        <w:sectPr w:rsidR="002A35E9" w:rsidRPr="000A3C73">
          <w:pgSz w:w="12240" w:h="15840"/>
          <w:pgMar w:top="1440" w:right="1440" w:bottom="864" w:left="1440" w:header="720" w:footer="720" w:gutter="0"/>
          <w:pgNumType w:fmt="upperRoman"/>
          <w:cols w:space="720"/>
        </w:sectPr>
      </w:pPr>
    </w:p>
    <w:p w:rsidR="002A35E9" w:rsidRPr="000A3C73" w:rsidRDefault="002A35E9">
      <w:pPr>
        <w:rPr>
          <w:rFonts w:ascii="Calibri" w:hAnsi="Calibri"/>
          <w:b/>
          <w:sz w:val="28"/>
        </w:rPr>
      </w:pPr>
      <w:r w:rsidRPr="000A3C73">
        <w:rPr>
          <w:rFonts w:ascii="Calibri" w:hAnsi="Calibri"/>
          <w:b/>
          <w:sz w:val="28"/>
        </w:rPr>
        <w:lastRenderedPageBreak/>
        <w:t>Acronyms</w:t>
      </w:r>
    </w:p>
    <w:p w:rsidR="0089284E" w:rsidRPr="000A3C73" w:rsidRDefault="0089284E" w:rsidP="0089284E">
      <w:pPr>
        <w:tabs>
          <w:tab w:val="left" w:pos="1440"/>
        </w:tabs>
        <w:rPr>
          <w:rFonts w:ascii="Calibri" w:hAnsi="Calibri"/>
        </w:rPr>
      </w:pPr>
      <w:r w:rsidRPr="000A3C73">
        <w:rPr>
          <w:rFonts w:ascii="Calibri" w:hAnsi="Calibri"/>
        </w:rPr>
        <w:t>AL</w:t>
      </w:r>
      <w:r w:rsidRPr="000A3C73">
        <w:rPr>
          <w:rFonts w:ascii="Calibri" w:hAnsi="Calibri"/>
        </w:rPr>
        <w:tab/>
        <w:t>Albania</w:t>
      </w:r>
    </w:p>
    <w:p w:rsidR="0089284E" w:rsidRPr="000A3C73" w:rsidRDefault="0089284E" w:rsidP="0089284E">
      <w:pPr>
        <w:tabs>
          <w:tab w:val="left" w:pos="1440"/>
        </w:tabs>
        <w:rPr>
          <w:rFonts w:ascii="Calibri" w:hAnsi="Calibri"/>
        </w:rPr>
      </w:pPr>
      <w:r w:rsidRPr="000A3C73">
        <w:rPr>
          <w:rFonts w:ascii="Calibri" w:hAnsi="Calibri"/>
        </w:rPr>
        <w:t>APR</w:t>
      </w:r>
      <w:r w:rsidRPr="000A3C73">
        <w:rPr>
          <w:rFonts w:ascii="Calibri" w:hAnsi="Calibri"/>
        </w:rPr>
        <w:tab/>
        <w:t>Annual project review</w:t>
      </w:r>
    </w:p>
    <w:p w:rsidR="0089284E" w:rsidRPr="000A3C73" w:rsidRDefault="0089284E" w:rsidP="0089284E">
      <w:pPr>
        <w:tabs>
          <w:tab w:val="left" w:pos="1440"/>
        </w:tabs>
        <w:rPr>
          <w:rFonts w:ascii="Calibri" w:hAnsi="Calibri"/>
        </w:rPr>
      </w:pPr>
      <w:r w:rsidRPr="000A3C73">
        <w:rPr>
          <w:rFonts w:ascii="Calibri" w:hAnsi="Calibri"/>
        </w:rPr>
        <w:t>CBD</w:t>
      </w:r>
      <w:r w:rsidRPr="000A3C73">
        <w:rPr>
          <w:rFonts w:ascii="Calibri" w:hAnsi="Calibri"/>
        </w:rPr>
        <w:tab/>
        <w:t>Convention on Biological Diversity</w:t>
      </w:r>
    </w:p>
    <w:p w:rsidR="0089284E" w:rsidRDefault="0089284E" w:rsidP="0089284E">
      <w:pPr>
        <w:tabs>
          <w:tab w:val="left" w:pos="1440"/>
        </w:tabs>
        <w:rPr>
          <w:rFonts w:ascii="Calibri" w:hAnsi="Calibri"/>
        </w:rPr>
      </w:pPr>
      <w:r>
        <w:rPr>
          <w:rFonts w:ascii="Calibri" w:hAnsi="Calibri"/>
        </w:rPr>
        <w:t>CDR</w:t>
      </w:r>
      <w:r>
        <w:rPr>
          <w:rFonts w:ascii="Calibri" w:hAnsi="Calibri"/>
        </w:rPr>
        <w:tab/>
        <w:t>Combined Delivery Report (of UNDP)</w:t>
      </w:r>
    </w:p>
    <w:p w:rsidR="0089284E" w:rsidRPr="000A3C73" w:rsidRDefault="0089284E" w:rsidP="0089284E">
      <w:pPr>
        <w:tabs>
          <w:tab w:val="left" w:pos="1440"/>
        </w:tabs>
        <w:rPr>
          <w:rFonts w:ascii="Calibri" w:hAnsi="Calibri"/>
        </w:rPr>
      </w:pPr>
      <w:r w:rsidRPr="000A3C73">
        <w:rPr>
          <w:rFonts w:ascii="Calibri" w:hAnsi="Calibri"/>
        </w:rPr>
        <w:t>CEO</w:t>
      </w:r>
      <w:r w:rsidRPr="000A3C73">
        <w:rPr>
          <w:rFonts w:ascii="Calibri" w:hAnsi="Calibri"/>
        </w:rPr>
        <w:tab/>
        <w:t>Chief Executive Officer</w:t>
      </w:r>
    </w:p>
    <w:p w:rsidR="0089284E" w:rsidRPr="000A3C73" w:rsidRDefault="0089284E" w:rsidP="0089284E">
      <w:pPr>
        <w:tabs>
          <w:tab w:val="left" w:pos="1440"/>
        </w:tabs>
        <w:rPr>
          <w:rFonts w:ascii="Calibri" w:hAnsi="Calibri"/>
        </w:rPr>
      </w:pPr>
      <w:r w:rsidRPr="000A3C73">
        <w:rPr>
          <w:rFonts w:ascii="Calibri" w:hAnsi="Calibri"/>
        </w:rPr>
        <w:t>CHF</w:t>
      </w:r>
      <w:r w:rsidRPr="000A3C73">
        <w:rPr>
          <w:rFonts w:ascii="Calibri" w:hAnsi="Calibri"/>
        </w:rPr>
        <w:tab/>
        <w:t xml:space="preserve">Swiss Franc </w:t>
      </w:r>
    </w:p>
    <w:p w:rsidR="0089284E" w:rsidRDefault="0089284E" w:rsidP="0089284E">
      <w:pPr>
        <w:tabs>
          <w:tab w:val="left" w:pos="1440"/>
        </w:tabs>
        <w:rPr>
          <w:rFonts w:ascii="Calibri" w:hAnsi="Calibri"/>
        </w:rPr>
      </w:pPr>
      <w:r w:rsidRPr="00D52006">
        <w:rPr>
          <w:rFonts w:ascii="Calibri" w:hAnsi="Calibri"/>
        </w:rPr>
        <w:t>COBSEA</w:t>
      </w:r>
      <w:r>
        <w:rPr>
          <w:rFonts w:ascii="Calibri" w:hAnsi="Calibri"/>
        </w:rPr>
        <w:tab/>
      </w:r>
      <w:r w:rsidRPr="00D52006">
        <w:rPr>
          <w:rFonts w:ascii="Calibri" w:hAnsi="Calibri"/>
        </w:rPr>
        <w:t>Coordinating Body on the Seas of East Asia</w:t>
      </w:r>
    </w:p>
    <w:p w:rsidR="0089284E" w:rsidRDefault="0089284E" w:rsidP="0089284E">
      <w:pPr>
        <w:tabs>
          <w:tab w:val="left" w:pos="1440"/>
        </w:tabs>
        <w:rPr>
          <w:rFonts w:ascii="Calibri" w:hAnsi="Calibri"/>
        </w:rPr>
      </w:pPr>
      <w:r>
        <w:rPr>
          <w:rFonts w:ascii="Calibri" w:hAnsi="Calibri"/>
        </w:rPr>
        <w:t>COP</w:t>
      </w:r>
      <w:r>
        <w:rPr>
          <w:rFonts w:ascii="Calibri" w:hAnsi="Calibri"/>
        </w:rPr>
        <w:tab/>
        <w:t>Conference of Parties</w:t>
      </w:r>
    </w:p>
    <w:p w:rsidR="0089284E" w:rsidRDefault="0089284E" w:rsidP="0089284E">
      <w:pPr>
        <w:tabs>
          <w:tab w:val="left" w:pos="1440"/>
        </w:tabs>
        <w:rPr>
          <w:rFonts w:ascii="Calibri" w:hAnsi="Calibri"/>
        </w:rPr>
      </w:pPr>
      <w:r>
        <w:rPr>
          <w:rFonts w:ascii="Calibri" w:hAnsi="Calibri"/>
        </w:rPr>
        <w:t>DEX</w:t>
      </w:r>
      <w:r>
        <w:rPr>
          <w:rFonts w:ascii="Calibri" w:hAnsi="Calibri"/>
        </w:rPr>
        <w:tab/>
        <w:t>Direct Execution</w:t>
      </w:r>
    </w:p>
    <w:p w:rsidR="0089284E" w:rsidRDefault="0089284E" w:rsidP="0089284E">
      <w:pPr>
        <w:tabs>
          <w:tab w:val="left" w:pos="1440"/>
        </w:tabs>
        <w:rPr>
          <w:rFonts w:ascii="Calibri" w:hAnsi="Calibri"/>
        </w:rPr>
      </w:pPr>
      <w:r>
        <w:rPr>
          <w:rFonts w:ascii="Calibri" w:hAnsi="Calibri"/>
        </w:rPr>
        <w:t>ENR</w:t>
      </w:r>
      <w:r>
        <w:rPr>
          <w:rFonts w:ascii="Calibri" w:hAnsi="Calibri"/>
        </w:rPr>
        <w:tab/>
        <w:t>Ezerani National Reserve</w:t>
      </w:r>
    </w:p>
    <w:p w:rsidR="0089284E" w:rsidRPr="000A3C73" w:rsidRDefault="0089284E" w:rsidP="0089284E">
      <w:pPr>
        <w:tabs>
          <w:tab w:val="left" w:pos="1440"/>
        </w:tabs>
        <w:rPr>
          <w:rFonts w:ascii="Calibri" w:hAnsi="Calibri"/>
        </w:rPr>
      </w:pPr>
      <w:r w:rsidRPr="000A3C73">
        <w:rPr>
          <w:rFonts w:ascii="Calibri" w:hAnsi="Calibri"/>
        </w:rPr>
        <w:t>EU</w:t>
      </w:r>
      <w:r w:rsidRPr="000A3C73">
        <w:rPr>
          <w:rFonts w:ascii="Calibri" w:hAnsi="Calibri"/>
        </w:rPr>
        <w:tab/>
        <w:t>European Union</w:t>
      </w:r>
    </w:p>
    <w:p w:rsidR="0089284E" w:rsidRPr="000A3C73" w:rsidRDefault="0089284E" w:rsidP="0089284E">
      <w:pPr>
        <w:tabs>
          <w:tab w:val="left" w:pos="1440"/>
        </w:tabs>
        <w:rPr>
          <w:rFonts w:ascii="Calibri" w:hAnsi="Calibri"/>
        </w:rPr>
      </w:pPr>
      <w:r w:rsidRPr="000A3C73">
        <w:rPr>
          <w:rFonts w:ascii="Calibri" w:hAnsi="Calibri"/>
        </w:rPr>
        <w:t>FSP</w:t>
      </w:r>
      <w:r w:rsidRPr="000A3C73">
        <w:rPr>
          <w:rFonts w:ascii="Calibri" w:hAnsi="Calibri"/>
        </w:rPr>
        <w:tab/>
        <w:t>Full-size Project</w:t>
      </w:r>
    </w:p>
    <w:p w:rsidR="0089284E" w:rsidRDefault="0089284E" w:rsidP="0089284E">
      <w:pPr>
        <w:tabs>
          <w:tab w:val="left" w:pos="1440"/>
        </w:tabs>
        <w:rPr>
          <w:rFonts w:ascii="Calibri" w:hAnsi="Calibri"/>
        </w:rPr>
      </w:pPr>
      <w:r>
        <w:rPr>
          <w:rFonts w:ascii="Calibri" w:hAnsi="Calibri"/>
        </w:rPr>
        <w:t>FYR</w:t>
      </w:r>
      <w:r>
        <w:rPr>
          <w:rFonts w:ascii="Calibri" w:hAnsi="Calibri"/>
        </w:rPr>
        <w:tab/>
        <w:t>Former Yugoslav Republic (of Macedonia)</w:t>
      </w:r>
    </w:p>
    <w:p w:rsidR="0089284E" w:rsidRDefault="0089284E" w:rsidP="0089284E">
      <w:pPr>
        <w:tabs>
          <w:tab w:val="left" w:pos="1440"/>
        </w:tabs>
        <w:rPr>
          <w:rFonts w:ascii="Calibri" w:hAnsi="Calibri"/>
        </w:rPr>
      </w:pPr>
      <w:r>
        <w:rPr>
          <w:rFonts w:ascii="Calibri" w:hAnsi="Calibri"/>
        </w:rPr>
        <w:t>GDP</w:t>
      </w:r>
      <w:r>
        <w:rPr>
          <w:rFonts w:ascii="Calibri" w:hAnsi="Calibri"/>
        </w:rPr>
        <w:tab/>
        <w:t>Gross Domestic Product</w:t>
      </w:r>
    </w:p>
    <w:p w:rsidR="0089284E" w:rsidRPr="000A3C73" w:rsidRDefault="0089284E" w:rsidP="0089284E">
      <w:pPr>
        <w:tabs>
          <w:tab w:val="left" w:pos="1440"/>
        </w:tabs>
        <w:rPr>
          <w:rFonts w:ascii="Calibri" w:hAnsi="Calibri"/>
        </w:rPr>
      </w:pPr>
      <w:r w:rsidRPr="000A3C73">
        <w:rPr>
          <w:rFonts w:ascii="Calibri" w:hAnsi="Calibri"/>
        </w:rPr>
        <w:t>GEF</w:t>
      </w:r>
      <w:r w:rsidRPr="000A3C73">
        <w:rPr>
          <w:rFonts w:ascii="Calibri" w:hAnsi="Calibri"/>
        </w:rPr>
        <w:tab/>
        <w:t>Global Environment Facility</w:t>
      </w:r>
    </w:p>
    <w:p w:rsidR="0089284E" w:rsidRPr="000A3C73" w:rsidRDefault="0089284E" w:rsidP="0089284E">
      <w:pPr>
        <w:tabs>
          <w:tab w:val="left" w:pos="1440"/>
        </w:tabs>
        <w:rPr>
          <w:rFonts w:ascii="Calibri" w:hAnsi="Calibri"/>
        </w:rPr>
      </w:pPr>
      <w:r w:rsidRPr="000A3C73">
        <w:rPr>
          <w:rFonts w:ascii="Calibri" w:hAnsi="Calibri"/>
        </w:rPr>
        <w:t>GIS</w:t>
      </w:r>
      <w:r w:rsidRPr="000A3C73">
        <w:rPr>
          <w:rFonts w:ascii="Calibri" w:hAnsi="Calibri"/>
        </w:rPr>
        <w:tab/>
        <w:t xml:space="preserve">Geographical Information System </w:t>
      </w:r>
    </w:p>
    <w:p w:rsidR="0089284E" w:rsidRDefault="0089284E" w:rsidP="0089284E">
      <w:pPr>
        <w:tabs>
          <w:tab w:val="left" w:pos="1440"/>
        </w:tabs>
        <w:rPr>
          <w:rFonts w:ascii="Calibri" w:hAnsi="Calibri"/>
        </w:rPr>
      </w:pPr>
      <w:r>
        <w:rPr>
          <w:rFonts w:ascii="Calibri" w:hAnsi="Calibri"/>
        </w:rPr>
        <w:t>GNP</w:t>
      </w:r>
      <w:r>
        <w:rPr>
          <w:rFonts w:ascii="Calibri" w:hAnsi="Calibri"/>
        </w:rPr>
        <w:tab/>
      </w:r>
      <w:r w:rsidR="00E66F9D" w:rsidRPr="00E66F9D">
        <w:rPr>
          <w:rFonts w:ascii="Calibri" w:hAnsi="Calibri"/>
          <w:lang/>
        </w:rPr>
        <w:t xml:space="preserve">Galičica </w:t>
      </w:r>
      <w:r>
        <w:rPr>
          <w:rFonts w:ascii="Calibri" w:hAnsi="Calibri"/>
        </w:rPr>
        <w:t>National Park</w:t>
      </w:r>
    </w:p>
    <w:p w:rsidR="0089284E" w:rsidRPr="000A3C73" w:rsidRDefault="0089284E" w:rsidP="0089284E">
      <w:pPr>
        <w:tabs>
          <w:tab w:val="left" w:pos="1440"/>
        </w:tabs>
        <w:rPr>
          <w:rFonts w:ascii="Calibri" w:hAnsi="Calibri"/>
        </w:rPr>
      </w:pPr>
      <w:r w:rsidRPr="000A3C73">
        <w:rPr>
          <w:rFonts w:ascii="Calibri" w:hAnsi="Calibri"/>
        </w:rPr>
        <w:t>GR</w:t>
      </w:r>
      <w:r w:rsidRPr="000A3C73">
        <w:rPr>
          <w:rFonts w:ascii="Calibri" w:hAnsi="Calibri"/>
        </w:rPr>
        <w:tab/>
        <w:t>Greece</w:t>
      </w:r>
    </w:p>
    <w:p w:rsidR="0089284E" w:rsidRPr="000A3C73" w:rsidRDefault="0089284E" w:rsidP="0089284E">
      <w:pPr>
        <w:tabs>
          <w:tab w:val="left" w:pos="1440"/>
        </w:tabs>
        <w:rPr>
          <w:rFonts w:ascii="Calibri" w:hAnsi="Calibri"/>
        </w:rPr>
      </w:pPr>
      <w:r w:rsidRPr="000A3C73">
        <w:rPr>
          <w:rFonts w:ascii="Calibri" w:hAnsi="Calibri"/>
        </w:rPr>
        <w:t>ha</w:t>
      </w:r>
      <w:r w:rsidRPr="000A3C73">
        <w:rPr>
          <w:rFonts w:ascii="Calibri" w:hAnsi="Calibri"/>
        </w:rPr>
        <w:tab/>
        <w:t>Hectares</w:t>
      </w:r>
    </w:p>
    <w:p w:rsidR="0089284E" w:rsidRDefault="0089284E" w:rsidP="0089284E">
      <w:pPr>
        <w:tabs>
          <w:tab w:val="left" w:pos="1440"/>
        </w:tabs>
        <w:rPr>
          <w:rFonts w:ascii="Calibri" w:hAnsi="Calibri"/>
        </w:rPr>
      </w:pPr>
      <w:r>
        <w:rPr>
          <w:rFonts w:ascii="Calibri" w:hAnsi="Calibri"/>
        </w:rPr>
        <w:t>IEM</w:t>
      </w:r>
      <w:r>
        <w:rPr>
          <w:rFonts w:ascii="Calibri" w:hAnsi="Calibri"/>
        </w:rPr>
        <w:tab/>
        <w:t>Integrated Ecosystem Management</w:t>
      </w:r>
    </w:p>
    <w:p w:rsidR="0089284E" w:rsidRDefault="0089284E" w:rsidP="0089284E">
      <w:pPr>
        <w:tabs>
          <w:tab w:val="left" w:pos="1440"/>
        </w:tabs>
        <w:rPr>
          <w:rFonts w:ascii="Calibri" w:hAnsi="Calibri"/>
        </w:rPr>
      </w:pPr>
      <w:r>
        <w:rPr>
          <w:rFonts w:ascii="Calibri" w:hAnsi="Calibri"/>
        </w:rPr>
        <w:t>IPPC</w:t>
      </w:r>
      <w:r>
        <w:rPr>
          <w:rFonts w:ascii="Calibri" w:hAnsi="Calibri"/>
        </w:rPr>
        <w:tab/>
      </w:r>
      <w:r w:rsidRPr="00D60E7F">
        <w:rPr>
          <w:rFonts w:ascii="Calibri" w:hAnsi="Calibri"/>
        </w:rPr>
        <w:t>Integrated Pollution Prevention and Control</w:t>
      </w:r>
    </w:p>
    <w:p w:rsidR="0089284E" w:rsidRDefault="0089284E" w:rsidP="0089284E">
      <w:pPr>
        <w:tabs>
          <w:tab w:val="left" w:pos="1440"/>
        </w:tabs>
        <w:rPr>
          <w:rFonts w:ascii="Calibri" w:hAnsi="Calibri"/>
        </w:rPr>
      </w:pPr>
      <w:r>
        <w:rPr>
          <w:rFonts w:ascii="Calibri" w:hAnsi="Calibri"/>
        </w:rPr>
        <w:t>IRBM</w:t>
      </w:r>
      <w:r>
        <w:rPr>
          <w:rFonts w:ascii="Calibri" w:hAnsi="Calibri"/>
        </w:rPr>
        <w:tab/>
        <w:t>Integrated River Basin Management</w:t>
      </w:r>
    </w:p>
    <w:p w:rsidR="0089284E" w:rsidRDefault="0089284E" w:rsidP="0089284E">
      <w:pPr>
        <w:tabs>
          <w:tab w:val="left" w:pos="1440"/>
        </w:tabs>
        <w:rPr>
          <w:rFonts w:ascii="Calibri" w:hAnsi="Calibri"/>
        </w:rPr>
      </w:pPr>
      <w:r>
        <w:rPr>
          <w:rFonts w:ascii="Calibri" w:hAnsi="Calibri"/>
        </w:rPr>
        <w:t>ITA</w:t>
      </w:r>
      <w:r>
        <w:rPr>
          <w:rFonts w:ascii="Calibri" w:hAnsi="Calibri"/>
        </w:rPr>
        <w:tab/>
        <w:t>International Technical Advisor</w:t>
      </w:r>
    </w:p>
    <w:p w:rsidR="0089284E" w:rsidRDefault="0089284E" w:rsidP="0089284E">
      <w:pPr>
        <w:tabs>
          <w:tab w:val="left" w:pos="1440"/>
        </w:tabs>
        <w:rPr>
          <w:rFonts w:ascii="Calibri" w:hAnsi="Calibri"/>
        </w:rPr>
      </w:pPr>
      <w:r>
        <w:rPr>
          <w:rFonts w:ascii="Calibri" w:hAnsi="Calibri"/>
        </w:rPr>
        <w:t>KfW</w:t>
      </w:r>
      <w:r>
        <w:rPr>
          <w:rFonts w:ascii="Calibri" w:hAnsi="Calibri"/>
        </w:rPr>
        <w:tab/>
        <w:t>German Development Bank</w:t>
      </w:r>
    </w:p>
    <w:p w:rsidR="0089284E" w:rsidRPr="000A3C73" w:rsidRDefault="0089284E" w:rsidP="0089284E">
      <w:pPr>
        <w:tabs>
          <w:tab w:val="left" w:pos="1440"/>
        </w:tabs>
        <w:rPr>
          <w:rFonts w:ascii="Calibri" w:hAnsi="Calibri"/>
        </w:rPr>
      </w:pPr>
      <w:r w:rsidRPr="000A3C73">
        <w:rPr>
          <w:rFonts w:ascii="Calibri" w:hAnsi="Calibri"/>
        </w:rPr>
        <w:t>Km</w:t>
      </w:r>
      <w:r w:rsidRPr="000A3C73">
        <w:rPr>
          <w:rFonts w:ascii="Calibri" w:hAnsi="Calibri"/>
        </w:rPr>
        <w:tab/>
        <w:t>Kilometers</w:t>
      </w:r>
    </w:p>
    <w:p w:rsidR="0089284E" w:rsidRDefault="0089284E" w:rsidP="0089284E">
      <w:pPr>
        <w:tabs>
          <w:tab w:val="left" w:pos="1440"/>
        </w:tabs>
        <w:rPr>
          <w:rFonts w:ascii="Calibri" w:hAnsi="Calibri"/>
        </w:rPr>
      </w:pPr>
      <w:r>
        <w:rPr>
          <w:rFonts w:ascii="Calibri" w:hAnsi="Calibri"/>
        </w:rPr>
        <w:t>LEAP</w:t>
      </w:r>
      <w:r>
        <w:rPr>
          <w:rFonts w:ascii="Calibri" w:hAnsi="Calibri"/>
        </w:rPr>
        <w:tab/>
        <w:t>Local Environmental Action Plan</w:t>
      </w:r>
    </w:p>
    <w:p w:rsidR="0089284E" w:rsidRPr="000A3C73" w:rsidRDefault="0089284E" w:rsidP="0089284E">
      <w:pPr>
        <w:tabs>
          <w:tab w:val="left" w:pos="1440"/>
        </w:tabs>
        <w:rPr>
          <w:rFonts w:ascii="Calibri" w:hAnsi="Calibri"/>
        </w:rPr>
      </w:pPr>
      <w:r w:rsidRPr="000A3C73">
        <w:rPr>
          <w:rFonts w:ascii="Calibri" w:hAnsi="Calibri"/>
        </w:rPr>
        <w:t>M&amp;E</w:t>
      </w:r>
      <w:r w:rsidRPr="000A3C73">
        <w:rPr>
          <w:rFonts w:ascii="Calibri" w:hAnsi="Calibri"/>
        </w:rPr>
        <w:tab/>
        <w:t>Monitoring and evaluation</w:t>
      </w:r>
    </w:p>
    <w:p w:rsidR="0089284E" w:rsidRDefault="0089284E" w:rsidP="0089284E">
      <w:pPr>
        <w:tabs>
          <w:tab w:val="left" w:pos="1440"/>
        </w:tabs>
        <w:rPr>
          <w:rFonts w:ascii="Calibri" w:hAnsi="Calibri"/>
        </w:rPr>
      </w:pPr>
      <w:r>
        <w:rPr>
          <w:rFonts w:ascii="Calibri" w:hAnsi="Calibri"/>
        </w:rPr>
        <w:t>MEA</w:t>
      </w:r>
      <w:r>
        <w:rPr>
          <w:rFonts w:ascii="Calibri" w:hAnsi="Calibri"/>
        </w:rPr>
        <w:tab/>
        <w:t>Multilateral environmental agreement</w:t>
      </w:r>
    </w:p>
    <w:p w:rsidR="0089284E" w:rsidRDefault="0089284E" w:rsidP="0089284E">
      <w:pPr>
        <w:tabs>
          <w:tab w:val="left" w:pos="1440"/>
        </w:tabs>
        <w:rPr>
          <w:rFonts w:ascii="Calibri" w:hAnsi="Calibri"/>
        </w:rPr>
      </w:pPr>
      <w:r>
        <w:rPr>
          <w:rFonts w:ascii="Calibri" w:hAnsi="Calibri"/>
        </w:rPr>
        <w:t>METT</w:t>
      </w:r>
      <w:r>
        <w:rPr>
          <w:rFonts w:ascii="Calibri" w:hAnsi="Calibri"/>
        </w:rPr>
        <w:tab/>
        <w:t>Management Effectiveness Tracking Tool</w:t>
      </w:r>
    </w:p>
    <w:p w:rsidR="0089284E" w:rsidRPr="000A3C73" w:rsidRDefault="0089284E" w:rsidP="0089284E">
      <w:pPr>
        <w:tabs>
          <w:tab w:val="left" w:pos="1440"/>
        </w:tabs>
        <w:rPr>
          <w:rFonts w:ascii="Calibri" w:hAnsi="Calibri"/>
        </w:rPr>
      </w:pPr>
      <w:r w:rsidRPr="000A3C73">
        <w:rPr>
          <w:rFonts w:ascii="Calibri" w:hAnsi="Calibri"/>
        </w:rPr>
        <w:t>MK</w:t>
      </w:r>
      <w:r w:rsidRPr="000A3C73">
        <w:rPr>
          <w:rFonts w:ascii="Calibri" w:hAnsi="Calibri"/>
        </w:rPr>
        <w:tab/>
        <w:t>FYR Macedonia</w:t>
      </w:r>
    </w:p>
    <w:p w:rsidR="0089284E" w:rsidRDefault="0089284E" w:rsidP="0089284E">
      <w:pPr>
        <w:tabs>
          <w:tab w:val="left" w:pos="1440"/>
        </w:tabs>
        <w:rPr>
          <w:rFonts w:ascii="Calibri" w:hAnsi="Calibri"/>
        </w:rPr>
      </w:pPr>
      <w:r>
        <w:rPr>
          <w:rFonts w:ascii="Calibri" w:hAnsi="Calibri"/>
        </w:rPr>
        <w:t>MKD</w:t>
      </w:r>
      <w:r>
        <w:rPr>
          <w:rFonts w:ascii="Calibri" w:hAnsi="Calibri"/>
        </w:rPr>
        <w:tab/>
        <w:t>Macedonian Dinars</w:t>
      </w:r>
    </w:p>
    <w:p w:rsidR="0089284E" w:rsidRDefault="0089284E" w:rsidP="0089284E">
      <w:pPr>
        <w:tabs>
          <w:tab w:val="left" w:pos="1440"/>
        </w:tabs>
        <w:rPr>
          <w:rFonts w:ascii="Calibri" w:hAnsi="Calibri"/>
        </w:rPr>
      </w:pPr>
      <w:r w:rsidRPr="006C5A04">
        <w:rPr>
          <w:rFonts w:ascii="Calibri" w:hAnsi="Calibri"/>
        </w:rPr>
        <w:t>MoEFWA</w:t>
      </w:r>
      <w:r>
        <w:rPr>
          <w:rFonts w:ascii="Calibri" w:hAnsi="Calibri"/>
        </w:rPr>
        <w:tab/>
        <w:t>Ministry of Environment, Forestry and Water Administration (Albania)</w:t>
      </w:r>
    </w:p>
    <w:p w:rsidR="0089284E" w:rsidRDefault="0089284E" w:rsidP="0089284E">
      <w:pPr>
        <w:tabs>
          <w:tab w:val="left" w:pos="1440"/>
        </w:tabs>
        <w:rPr>
          <w:rFonts w:ascii="Calibri" w:hAnsi="Calibri"/>
        </w:rPr>
      </w:pPr>
      <w:r>
        <w:rPr>
          <w:rFonts w:ascii="Calibri" w:hAnsi="Calibri"/>
        </w:rPr>
        <w:t>MoEPP</w:t>
      </w:r>
      <w:r>
        <w:rPr>
          <w:rFonts w:ascii="Calibri" w:hAnsi="Calibri"/>
        </w:rPr>
        <w:tab/>
        <w:t>Ministry of Environment and Physical Planning (Macedonia)</w:t>
      </w:r>
    </w:p>
    <w:p w:rsidR="0089284E" w:rsidRDefault="0089284E" w:rsidP="0089284E">
      <w:pPr>
        <w:tabs>
          <w:tab w:val="left" w:pos="1440"/>
        </w:tabs>
        <w:rPr>
          <w:rFonts w:ascii="Calibri" w:hAnsi="Calibri"/>
        </w:rPr>
      </w:pPr>
      <w:r>
        <w:rPr>
          <w:rFonts w:ascii="Calibri" w:hAnsi="Calibri"/>
        </w:rPr>
        <w:t>MTE</w:t>
      </w:r>
      <w:r>
        <w:rPr>
          <w:rFonts w:ascii="Calibri" w:hAnsi="Calibri"/>
        </w:rPr>
        <w:tab/>
        <w:t>Mid-term Evaluation</w:t>
      </w:r>
    </w:p>
    <w:p w:rsidR="0089284E" w:rsidRPr="000A3C73" w:rsidRDefault="0089284E" w:rsidP="0089284E">
      <w:pPr>
        <w:tabs>
          <w:tab w:val="left" w:pos="1440"/>
        </w:tabs>
        <w:rPr>
          <w:rFonts w:ascii="Calibri" w:hAnsi="Calibri"/>
        </w:rPr>
      </w:pPr>
      <w:r w:rsidRPr="000A3C73">
        <w:rPr>
          <w:rFonts w:ascii="Calibri" w:hAnsi="Calibri"/>
        </w:rPr>
        <w:t>N/A</w:t>
      </w:r>
      <w:r w:rsidRPr="000A3C73">
        <w:rPr>
          <w:rFonts w:ascii="Calibri" w:hAnsi="Calibri"/>
        </w:rPr>
        <w:tab/>
        <w:t>Not applicable</w:t>
      </w:r>
    </w:p>
    <w:p w:rsidR="0089284E" w:rsidRPr="000A3C73" w:rsidRDefault="0089284E" w:rsidP="0089284E">
      <w:pPr>
        <w:tabs>
          <w:tab w:val="left" w:pos="1440"/>
        </w:tabs>
        <w:rPr>
          <w:rFonts w:ascii="Calibri" w:hAnsi="Calibri"/>
        </w:rPr>
      </w:pPr>
      <w:r w:rsidRPr="000A3C73">
        <w:rPr>
          <w:rFonts w:ascii="Calibri" w:hAnsi="Calibri"/>
        </w:rPr>
        <w:t>N/S</w:t>
      </w:r>
      <w:r w:rsidRPr="000A3C73">
        <w:rPr>
          <w:rFonts w:ascii="Calibri" w:hAnsi="Calibri"/>
        </w:rPr>
        <w:tab/>
        <w:t>Not specified</w:t>
      </w:r>
    </w:p>
    <w:p w:rsidR="0089284E" w:rsidRDefault="0089284E" w:rsidP="0089284E">
      <w:pPr>
        <w:tabs>
          <w:tab w:val="left" w:pos="1440"/>
        </w:tabs>
        <w:rPr>
          <w:rFonts w:ascii="Calibri" w:hAnsi="Calibri"/>
        </w:rPr>
      </w:pPr>
      <w:r>
        <w:rPr>
          <w:rFonts w:ascii="Calibri" w:hAnsi="Calibri"/>
        </w:rPr>
        <w:t>NATO</w:t>
      </w:r>
      <w:r>
        <w:rPr>
          <w:rFonts w:ascii="Calibri" w:hAnsi="Calibri"/>
        </w:rPr>
        <w:tab/>
        <w:t>North Atlantic Treaty Organization</w:t>
      </w:r>
    </w:p>
    <w:p w:rsidR="0089284E" w:rsidRDefault="0089284E" w:rsidP="0089284E">
      <w:pPr>
        <w:tabs>
          <w:tab w:val="left" w:pos="1440"/>
        </w:tabs>
        <w:rPr>
          <w:rFonts w:ascii="Calibri" w:hAnsi="Calibri"/>
        </w:rPr>
      </w:pPr>
      <w:r>
        <w:rPr>
          <w:rFonts w:ascii="Calibri" w:hAnsi="Calibri"/>
        </w:rPr>
        <w:t>NEX</w:t>
      </w:r>
      <w:r>
        <w:rPr>
          <w:rFonts w:ascii="Calibri" w:hAnsi="Calibri"/>
        </w:rPr>
        <w:tab/>
        <w:t>National Execution</w:t>
      </w:r>
    </w:p>
    <w:p w:rsidR="0089284E" w:rsidRPr="000A3C73" w:rsidRDefault="0089284E" w:rsidP="0089284E">
      <w:pPr>
        <w:tabs>
          <w:tab w:val="left" w:pos="1440"/>
        </w:tabs>
        <w:rPr>
          <w:rFonts w:ascii="Calibri" w:hAnsi="Calibri"/>
        </w:rPr>
      </w:pPr>
      <w:r w:rsidRPr="000A3C73">
        <w:rPr>
          <w:rFonts w:ascii="Calibri" w:hAnsi="Calibri"/>
        </w:rPr>
        <w:t>NGO</w:t>
      </w:r>
      <w:r w:rsidRPr="000A3C73">
        <w:rPr>
          <w:rFonts w:ascii="Calibri" w:hAnsi="Calibri"/>
        </w:rPr>
        <w:tab/>
        <w:t>Non-governmental organization</w:t>
      </w:r>
    </w:p>
    <w:p w:rsidR="0089284E" w:rsidRDefault="0089284E" w:rsidP="0089284E">
      <w:pPr>
        <w:tabs>
          <w:tab w:val="left" w:pos="1440"/>
        </w:tabs>
        <w:rPr>
          <w:rFonts w:ascii="Calibri" w:hAnsi="Calibri"/>
        </w:rPr>
      </w:pPr>
      <w:r>
        <w:rPr>
          <w:rFonts w:ascii="Calibri" w:hAnsi="Calibri"/>
        </w:rPr>
        <w:t>NTFP</w:t>
      </w:r>
      <w:r>
        <w:rPr>
          <w:rFonts w:ascii="Calibri" w:hAnsi="Calibri"/>
        </w:rPr>
        <w:tab/>
        <w:t>Non-timber Forest Products</w:t>
      </w:r>
    </w:p>
    <w:p w:rsidR="0089284E" w:rsidRDefault="0089284E" w:rsidP="0089284E">
      <w:pPr>
        <w:tabs>
          <w:tab w:val="left" w:pos="1440"/>
        </w:tabs>
        <w:rPr>
          <w:rFonts w:ascii="Calibri" w:hAnsi="Calibri"/>
        </w:rPr>
      </w:pPr>
      <w:r>
        <w:rPr>
          <w:rFonts w:ascii="Calibri" w:hAnsi="Calibri"/>
        </w:rPr>
        <w:t>OP</w:t>
      </w:r>
      <w:r>
        <w:rPr>
          <w:rFonts w:ascii="Calibri" w:hAnsi="Calibri"/>
        </w:rPr>
        <w:tab/>
        <w:t>Operational Program (of the GEF)</w:t>
      </w:r>
    </w:p>
    <w:p w:rsidR="0089284E" w:rsidRPr="000A3C73" w:rsidRDefault="0089284E" w:rsidP="0089284E">
      <w:pPr>
        <w:tabs>
          <w:tab w:val="left" w:pos="1440"/>
        </w:tabs>
        <w:rPr>
          <w:rFonts w:ascii="Calibri" w:hAnsi="Calibri"/>
        </w:rPr>
      </w:pPr>
      <w:r w:rsidRPr="000A3C73">
        <w:rPr>
          <w:rFonts w:ascii="Calibri" w:hAnsi="Calibri"/>
        </w:rPr>
        <w:t>PA</w:t>
      </w:r>
      <w:r w:rsidRPr="000A3C73">
        <w:rPr>
          <w:rFonts w:ascii="Calibri" w:hAnsi="Calibri"/>
        </w:rPr>
        <w:tab/>
        <w:t>Protected area</w:t>
      </w:r>
    </w:p>
    <w:p w:rsidR="0089284E" w:rsidRPr="000A3C73" w:rsidRDefault="0089284E" w:rsidP="0089284E">
      <w:pPr>
        <w:tabs>
          <w:tab w:val="left" w:pos="1440"/>
        </w:tabs>
        <w:rPr>
          <w:rFonts w:ascii="Calibri" w:hAnsi="Calibri"/>
        </w:rPr>
      </w:pPr>
      <w:r w:rsidRPr="000A3C73">
        <w:rPr>
          <w:rFonts w:ascii="Calibri" w:hAnsi="Calibri"/>
        </w:rPr>
        <w:t>PIR</w:t>
      </w:r>
      <w:r w:rsidRPr="000A3C73">
        <w:rPr>
          <w:rFonts w:ascii="Calibri" w:hAnsi="Calibri"/>
        </w:rPr>
        <w:tab/>
        <w:t>Project implementation Review</w:t>
      </w:r>
    </w:p>
    <w:p w:rsidR="0089284E" w:rsidRPr="000A3C73" w:rsidRDefault="0089284E" w:rsidP="0089284E">
      <w:pPr>
        <w:tabs>
          <w:tab w:val="left" w:pos="1440"/>
        </w:tabs>
        <w:rPr>
          <w:rFonts w:ascii="Calibri" w:hAnsi="Calibri"/>
        </w:rPr>
      </w:pPr>
      <w:r w:rsidRPr="000A3C73">
        <w:rPr>
          <w:rFonts w:ascii="Calibri" w:hAnsi="Calibri"/>
        </w:rPr>
        <w:t>PMIS</w:t>
      </w:r>
      <w:r w:rsidRPr="000A3C73">
        <w:rPr>
          <w:rFonts w:ascii="Calibri" w:hAnsi="Calibri"/>
        </w:rPr>
        <w:tab/>
        <w:t>Project Management Information System</w:t>
      </w:r>
    </w:p>
    <w:p w:rsidR="0089284E" w:rsidRPr="000A3C73" w:rsidRDefault="0089284E" w:rsidP="0089284E">
      <w:pPr>
        <w:tabs>
          <w:tab w:val="left" w:pos="1440"/>
        </w:tabs>
        <w:rPr>
          <w:rFonts w:ascii="Calibri" w:hAnsi="Calibri"/>
        </w:rPr>
      </w:pPr>
      <w:r w:rsidRPr="000A3C73">
        <w:rPr>
          <w:rFonts w:ascii="Calibri" w:hAnsi="Calibri"/>
        </w:rPr>
        <w:lastRenderedPageBreak/>
        <w:t>PMU</w:t>
      </w:r>
      <w:r w:rsidRPr="000A3C73">
        <w:rPr>
          <w:rFonts w:ascii="Calibri" w:hAnsi="Calibri"/>
        </w:rPr>
        <w:tab/>
        <w:t>Project Management Unit</w:t>
      </w:r>
    </w:p>
    <w:p w:rsidR="0089284E" w:rsidRDefault="0089284E" w:rsidP="0089284E">
      <w:pPr>
        <w:tabs>
          <w:tab w:val="left" w:pos="1440"/>
        </w:tabs>
        <w:rPr>
          <w:rFonts w:ascii="Calibri" w:hAnsi="Calibri"/>
        </w:rPr>
      </w:pPr>
      <w:r>
        <w:rPr>
          <w:rFonts w:ascii="Calibri" w:hAnsi="Calibri"/>
        </w:rPr>
        <w:t>PNP</w:t>
      </w:r>
      <w:r>
        <w:rPr>
          <w:rFonts w:ascii="Calibri" w:hAnsi="Calibri"/>
        </w:rPr>
        <w:tab/>
        <w:t>Prespa National Park</w:t>
      </w:r>
    </w:p>
    <w:p w:rsidR="0089284E" w:rsidRDefault="0089284E" w:rsidP="0089284E">
      <w:pPr>
        <w:tabs>
          <w:tab w:val="left" w:pos="1440"/>
        </w:tabs>
        <w:rPr>
          <w:rFonts w:ascii="Calibri" w:hAnsi="Calibri"/>
        </w:rPr>
      </w:pPr>
      <w:r>
        <w:rPr>
          <w:rFonts w:ascii="Calibri" w:hAnsi="Calibri"/>
        </w:rPr>
        <w:t>POC</w:t>
      </w:r>
      <w:r>
        <w:rPr>
          <w:rFonts w:ascii="Calibri" w:hAnsi="Calibri"/>
        </w:rPr>
        <w:tab/>
        <w:t>Project Oversight Committee</w:t>
      </w:r>
    </w:p>
    <w:p w:rsidR="0089284E" w:rsidRDefault="0089284E" w:rsidP="0089284E">
      <w:pPr>
        <w:tabs>
          <w:tab w:val="left" w:pos="1440"/>
        </w:tabs>
        <w:rPr>
          <w:rFonts w:ascii="Calibri" w:hAnsi="Calibri"/>
        </w:rPr>
      </w:pPr>
      <w:r>
        <w:rPr>
          <w:rFonts w:ascii="Calibri" w:hAnsi="Calibri"/>
        </w:rPr>
        <w:t>PPA-GR</w:t>
      </w:r>
      <w:r>
        <w:rPr>
          <w:rFonts w:ascii="Calibri" w:hAnsi="Calibri"/>
        </w:rPr>
        <w:tab/>
        <w:t>Prespa Protected Area - Greece</w:t>
      </w:r>
    </w:p>
    <w:p w:rsidR="0089284E" w:rsidRDefault="0089284E" w:rsidP="0089284E">
      <w:pPr>
        <w:tabs>
          <w:tab w:val="left" w:pos="1440"/>
        </w:tabs>
        <w:rPr>
          <w:rFonts w:ascii="Calibri" w:hAnsi="Calibri"/>
        </w:rPr>
      </w:pPr>
      <w:r>
        <w:rPr>
          <w:rFonts w:ascii="Calibri" w:hAnsi="Calibri"/>
        </w:rPr>
        <w:t>PPCC</w:t>
      </w:r>
      <w:r>
        <w:rPr>
          <w:rFonts w:ascii="Calibri" w:hAnsi="Calibri"/>
        </w:rPr>
        <w:tab/>
        <w:t>Prespa Park Coordination Committee</w:t>
      </w:r>
    </w:p>
    <w:p w:rsidR="0089284E" w:rsidRDefault="0089284E" w:rsidP="0089284E">
      <w:pPr>
        <w:tabs>
          <w:tab w:val="left" w:pos="1440"/>
        </w:tabs>
        <w:rPr>
          <w:rFonts w:ascii="Calibri" w:hAnsi="Calibri"/>
        </w:rPr>
      </w:pPr>
      <w:r>
        <w:rPr>
          <w:rFonts w:ascii="Calibri" w:hAnsi="Calibri"/>
        </w:rPr>
        <w:t>PPMC</w:t>
      </w:r>
      <w:r>
        <w:rPr>
          <w:rFonts w:ascii="Calibri" w:hAnsi="Calibri"/>
        </w:rPr>
        <w:tab/>
        <w:t>Prespa Park Management Committee</w:t>
      </w:r>
    </w:p>
    <w:p w:rsidR="0089284E" w:rsidRPr="000A3C73" w:rsidRDefault="0089284E" w:rsidP="0089284E">
      <w:pPr>
        <w:tabs>
          <w:tab w:val="left" w:pos="1440"/>
        </w:tabs>
        <w:rPr>
          <w:rFonts w:ascii="Calibri" w:hAnsi="Calibri"/>
        </w:rPr>
      </w:pPr>
      <w:r w:rsidRPr="000A3C73">
        <w:rPr>
          <w:rFonts w:ascii="Calibri" w:hAnsi="Calibri"/>
        </w:rPr>
        <w:t>PSC</w:t>
      </w:r>
      <w:r w:rsidRPr="000A3C73">
        <w:rPr>
          <w:rFonts w:ascii="Calibri" w:hAnsi="Calibri"/>
        </w:rPr>
        <w:tab/>
        <w:t>Project Steering Committee</w:t>
      </w:r>
    </w:p>
    <w:p w:rsidR="0089284E" w:rsidRDefault="0089284E" w:rsidP="0089284E">
      <w:pPr>
        <w:tabs>
          <w:tab w:val="left" w:pos="1440"/>
        </w:tabs>
        <w:rPr>
          <w:rFonts w:ascii="Calibri" w:hAnsi="Calibri"/>
        </w:rPr>
      </w:pPr>
      <w:r>
        <w:rPr>
          <w:rFonts w:ascii="Calibri" w:hAnsi="Calibri"/>
        </w:rPr>
        <w:t>REC</w:t>
      </w:r>
      <w:r>
        <w:rPr>
          <w:rFonts w:ascii="Calibri" w:hAnsi="Calibri"/>
        </w:rPr>
        <w:tab/>
        <w:t>Regional Environment Centre</w:t>
      </w:r>
    </w:p>
    <w:p w:rsidR="0089284E" w:rsidRPr="000A3C73" w:rsidRDefault="0089284E" w:rsidP="0089284E">
      <w:pPr>
        <w:tabs>
          <w:tab w:val="left" w:pos="1440"/>
        </w:tabs>
        <w:rPr>
          <w:rFonts w:ascii="Calibri" w:hAnsi="Calibri"/>
        </w:rPr>
      </w:pPr>
      <w:r w:rsidRPr="000A3C73">
        <w:rPr>
          <w:rFonts w:ascii="Calibri" w:hAnsi="Calibri"/>
        </w:rPr>
        <w:t>ROtI</w:t>
      </w:r>
      <w:r w:rsidRPr="000A3C73">
        <w:rPr>
          <w:rFonts w:ascii="Calibri" w:hAnsi="Calibri"/>
        </w:rPr>
        <w:tab/>
        <w:t>Review of Outcomes to Impacts</w:t>
      </w:r>
    </w:p>
    <w:p w:rsidR="0089284E" w:rsidRDefault="0089284E" w:rsidP="0089284E">
      <w:pPr>
        <w:tabs>
          <w:tab w:val="left" w:pos="1440"/>
        </w:tabs>
        <w:rPr>
          <w:rFonts w:ascii="Calibri" w:hAnsi="Calibri"/>
        </w:rPr>
      </w:pPr>
      <w:r>
        <w:rPr>
          <w:rFonts w:ascii="Calibri" w:hAnsi="Calibri"/>
        </w:rPr>
        <w:t>SAP</w:t>
      </w:r>
      <w:r>
        <w:rPr>
          <w:rFonts w:ascii="Calibri" w:hAnsi="Calibri"/>
        </w:rPr>
        <w:tab/>
        <w:t>Strategic Action Plan</w:t>
      </w:r>
    </w:p>
    <w:p w:rsidR="0089284E" w:rsidRDefault="0089284E" w:rsidP="0089284E">
      <w:pPr>
        <w:tabs>
          <w:tab w:val="left" w:pos="1440"/>
        </w:tabs>
        <w:rPr>
          <w:rFonts w:ascii="Calibri" w:hAnsi="Calibri"/>
        </w:rPr>
      </w:pPr>
      <w:r>
        <w:rPr>
          <w:rFonts w:ascii="Calibri" w:hAnsi="Calibri"/>
        </w:rPr>
        <w:t>SCS</w:t>
      </w:r>
      <w:r>
        <w:rPr>
          <w:rFonts w:ascii="Calibri" w:hAnsi="Calibri"/>
        </w:rPr>
        <w:tab/>
        <w:t>South China Sea (GEF project)</w:t>
      </w:r>
    </w:p>
    <w:p w:rsidR="0089284E" w:rsidRDefault="0089284E" w:rsidP="0089284E">
      <w:pPr>
        <w:tabs>
          <w:tab w:val="left" w:pos="1440"/>
        </w:tabs>
        <w:rPr>
          <w:rFonts w:ascii="Calibri" w:hAnsi="Calibri"/>
        </w:rPr>
      </w:pPr>
      <w:r>
        <w:rPr>
          <w:rFonts w:ascii="Calibri" w:hAnsi="Calibri"/>
        </w:rPr>
        <w:t>SDC</w:t>
      </w:r>
      <w:r>
        <w:rPr>
          <w:rFonts w:ascii="Calibri" w:hAnsi="Calibri"/>
        </w:rPr>
        <w:tab/>
        <w:t>Swiss Development Corporation</w:t>
      </w:r>
    </w:p>
    <w:p w:rsidR="0089284E" w:rsidRDefault="0089284E" w:rsidP="0089284E">
      <w:pPr>
        <w:tabs>
          <w:tab w:val="left" w:pos="1440"/>
        </w:tabs>
        <w:rPr>
          <w:rFonts w:ascii="Calibri" w:hAnsi="Calibri"/>
        </w:rPr>
      </w:pPr>
      <w:r>
        <w:rPr>
          <w:rFonts w:ascii="Calibri" w:hAnsi="Calibri"/>
        </w:rPr>
        <w:t>SEA</w:t>
      </w:r>
      <w:r>
        <w:rPr>
          <w:rFonts w:ascii="Calibri" w:hAnsi="Calibri"/>
        </w:rPr>
        <w:tab/>
        <w:t>Strategic Environmental Assessment</w:t>
      </w:r>
    </w:p>
    <w:p w:rsidR="0089284E" w:rsidRDefault="0089284E" w:rsidP="0089284E">
      <w:pPr>
        <w:tabs>
          <w:tab w:val="left" w:pos="1440"/>
        </w:tabs>
        <w:rPr>
          <w:rFonts w:ascii="Calibri" w:hAnsi="Calibri"/>
        </w:rPr>
      </w:pPr>
      <w:r>
        <w:rPr>
          <w:rFonts w:ascii="Calibri" w:hAnsi="Calibri"/>
        </w:rPr>
        <w:t>SNV</w:t>
      </w:r>
      <w:r>
        <w:rPr>
          <w:rFonts w:ascii="Calibri" w:hAnsi="Calibri"/>
        </w:rPr>
        <w:tab/>
        <w:t>Netherlands Development Organization</w:t>
      </w:r>
    </w:p>
    <w:p w:rsidR="0089284E" w:rsidRDefault="0089284E" w:rsidP="0089284E">
      <w:pPr>
        <w:tabs>
          <w:tab w:val="left" w:pos="1440"/>
        </w:tabs>
        <w:rPr>
          <w:rFonts w:ascii="Calibri" w:hAnsi="Calibri"/>
        </w:rPr>
      </w:pPr>
      <w:r>
        <w:rPr>
          <w:rFonts w:ascii="Calibri" w:hAnsi="Calibri"/>
        </w:rPr>
        <w:t>SPP</w:t>
      </w:r>
      <w:r>
        <w:rPr>
          <w:rFonts w:ascii="Calibri" w:hAnsi="Calibri"/>
        </w:rPr>
        <w:tab/>
        <w:t>Society for the Protection of Prespa</w:t>
      </w:r>
    </w:p>
    <w:p w:rsidR="0089284E" w:rsidRDefault="0089284E" w:rsidP="0089284E">
      <w:pPr>
        <w:tabs>
          <w:tab w:val="left" w:pos="1440"/>
        </w:tabs>
        <w:rPr>
          <w:rFonts w:ascii="Calibri" w:hAnsi="Calibri"/>
        </w:rPr>
      </w:pPr>
      <w:r>
        <w:rPr>
          <w:rFonts w:ascii="Calibri" w:hAnsi="Calibri"/>
        </w:rPr>
        <w:t>TDA</w:t>
      </w:r>
      <w:r>
        <w:rPr>
          <w:rFonts w:ascii="Calibri" w:hAnsi="Calibri"/>
        </w:rPr>
        <w:tab/>
        <w:t>Transboundary Diagnostic Analysis</w:t>
      </w:r>
    </w:p>
    <w:p w:rsidR="0089284E" w:rsidRDefault="0089284E" w:rsidP="0089284E">
      <w:pPr>
        <w:tabs>
          <w:tab w:val="left" w:pos="1440"/>
        </w:tabs>
        <w:rPr>
          <w:rFonts w:ascii="Calibri" w:hAnsi="Calibri"/>
        </w:rPr>
      </w:pPr>
      <w:r>
        <w:rPr>
          <w:rFonts w:ascii="Calibri" w:hAnsi="Calibri"/>
        </w:rPr>
        <w:t>TORs</w:t>
      </w:r>
      <w:r>
        <w:rPr>
          <w:rFonts w:ascii="Calibri" w:hAnsi="Calibri"/>
        </w:rPr>
        <w:tab/>
        <w:t>Terms of Reference</w:t>
      </w:r>
    </w:p>
    <w:p w:rsidR="0089284E" w:rsidRPr="000A3C73" w:rsidRDefault="0089284E" w:rsidP="0089284E">
      <w:pPr>
        <w:tabs>
          <w:tab w:val="left" w:pos="1440"/>
        </w:tabs>
        <w:rPr>
          <w:rFonts w:ascii="Calibri" w:hAnsi="Calibri"/>
        </w:rPr>
      </w:pPr>
      <w:r w:rsidRPr="000A3C73">
        <w:rPr>
          <w:rFonts w:ascii="Calibri" w:hAnsi="Calibri"/>
        </w:rPr>
        <w:t>TR</w:t>
      </w:r>
      <w:r w:rsidRPr="000A3C73">
        <w:rPr>
          <w:rFonts w:ascii="Calibri" w:hAnsi="Calibri"/>
        </w:rPr>
        <w:tab/>
        <w:t>Transboundary</w:t>
      </w:r>
    </w:p>
    <w:p w:rsidR="0089284E" w:rsidRPr="000A3C73" w:rsidRDefault="0089284E" w:rsidP="0089284E">
      <w:pPr>
        <w:tabs>
          <w:tab w:val="left" w:pos="1440"/>
        </w:tabs>
        <w:rPr>
          <w:rFonts w:ascii="Calibri" w:hAnsi="Calibri"/>
        </w:rPr>
      </w:pPr>
      <w:r w:rsidRPr="000A3C73">
        <w:rPr>
          <w:rFonts w:ascii="Calibri" w:hAnsi="Calibri"/>
        </w:rPr>
        <w:t>UA</w:t>
      </w:r>
      <w:r w:rsidRPr="000A3C73">
        <w:rPr>
          <w:rFonts w:ascii="Calibri" w:hAnsi="Calibri"/>
        </w:rPr>
        <w:tab/>
        <w:t>Unable to assess</w:t>
      </w:r>
    </w:p>
    <w:p w:rsidR="0089284E" w:rsidRPr="000A3C73" w:rsidRDefault="0089284E" w:rsidP="0089284E">
      <w:pPr>
        <w:tabs>
          <w:tab w:val="left" w:pos="1440"/>
        </w:tabs>
        <w:rPr>
          <w:rFonts w:ascii="Calibri" w:hAnsi="Calibri"/>
        </w:rPr>
      </w:pPr>
      <w:r w:rsidRPr="000A3C73">
        <w:rPr>
          <w:rFonts w:ascii="Calibri" w:hAnsi="Calibri"/>
        </w:rPr>
        <w:t>UNDP</w:t>
      </w:r>
      <w:r w:rsidRPr="000A3C73">
        <w:rPr>
          <w:rFonts w:ascii="Calibri" w:hAnsi="Calibri"/>
        </w:rPr>
        <w:tab/>
        <w:t>United Nations Development Programme</w:t>
      </w:r>
    </w:p>
    <w:p w:rsidR="0089284E" w:rsidRDefault="0089284E" w:rsidP="0089284E">
      <w:pPr>
        <w:tabs>
          <w:tab w:val="left" w:pos="1440"/>
        </w:tabs>
        <w:rPr>
          <w:rFonts w:ascii="Calibri" w:hAnsi="Calibri"/>
        </w:rPr>
      </w:pPr>
      <w:r w:rsidRPr="000A3C73">
        <w:rPr>
          <w:rFonts w:ascii="Calibri" w:hAnsi="Calibri"/>
        </w:rPr>
        <w:t>USD</w:t>
      </w:r>
      <w:r w:rsidRPr="000A3C73">
        <w:rPr>
          <w:rFonts w:ascii="Calibri" w:hAnsi="Calibri"/>
        </w:rPr>
        <w:tab/>
        <w:t>United States dollars</w:t>
      </w:r>
    </w:p>
    <w:p w:rsidR="0089284E" w:rsidRDefault="0089284E" w:rsidP="0089284E">
      <w:pPr>
        <w:tabs>
          <w:tab w:val="left" w:pos="1440"/>
        </w:tabs>
        <w:rPr>
          <w:rFonts w:ascii="Calibri" w:hAnsi="Calibri"/>
        </w:rPr>
      </w:pPr>
      <w:r>
        <w:rPr>
          <w:rFonts w:ascii="Calibri" w:hAnsi="Calibri"/>
        </w:rPr>
        <w:t>WFD</w:t>
      </w:r>
      <w:r>
        <w:rPr>
          <w:rFonts w:ascii="Calibri" w:hAnsi="Calibri"/>
        </w:rPr>
        <w:tab/>
        <w:t>Water Framework Directive (of the EU)</w:t>
      </w:r>
    </w:p>
    <w:p w:rsidR="0089284E" w:rsidRDefault="0089284E" w:rsidP="0089284E">
      <w:pPr>
        <w:tabs>
          <w:tab w:val="left" w:pos="1440"/>
        </w:tabs>
        <w:rPr>
          <w:rFonts w:ascii="Calibri" w:hAnsi="Calibri"/>
        </w:rPr>
      </w:pPr>
      <w:r>
        <w:rPr>
          <w:rFonts w:ascii="Calibri" w:hAnsi="Calibri"/>
        </w:rPr>
        <w:t>WMC</w:t>
      </w:r>
      <w:r>
        <w:rPr>
          <w:rFonts w:ascii="Calibri" w:hAnsi="Calibri"/>
        </w:rPr>
        <w:tab/>
        <w:t>Watershed Management Council</w:t>
      </w:r>
    </w:p>
    <w:p w:rsidR="0089284E" w:rsidRDefault="0089284E" w:rsidP="0089284E">
      <w:pPr>
        <w:tabs>
          <w:tab w:val="left" w:pos="1440"/>
        </w:tabs>
        <w:rPr>
          <w:rFonts w:ascii="Calibri" w:hAnsi="Calibri"/>
        </w:rPr>
      </w:pPr>
      <w:r>
        <w:rPr>
          <w:rFonts w:ascii="Calibri" w:hAnsi="Calibri"/>
        </w:rPr>
        <w:t>WMP</w:t>
      </w:r>
      <w:r>
        <w:rPr>
          <w:rFonts w:ascii="Calibri" w:hAnsi="Calibri"/>
        </w:rPr>
        <w:tab/>
        <w:t>Watershed Management Plan (of FYR Macedonia)</w:t>
      </w:r>
    </w:p>
    <w:p w:rsidR="0089284E" w:rsidRDefault="0089284E" w:rsidP="0089284E">
      <w:pPr>
        <w:tabs>
          <w:tab w:val="left" w:pos="1440"/>
        </w:tabs>
        <w:rPr>
          <w:rFonts w:ascii="Calibri" w:hAnsi="Calibri"/>
        </w:rPr>
      </w:pPr>
      <w:r>
        <w:rPr>
          <w:rFonts w:ascii="Calibri" w:hAnsi="Calibri"/>
        </w:rPr>
        <w:t>WMWF</w:t>
      </w:r>
      <w:r>
        <w:rPr>
          <w:rFonts w:ascii="Calibri" w:hAnsi="Calibri"/>
        </w:rPr>
        <w:tab/>
        <w:t>Water Management Working Group</w:t>
      </w:r>
    </w:p>
    <w:p w:rsidR="0089284E" w:rsidRPr="006C5A04" w:rsidRDefault="0089284E" w:rsidP="0089284E">
      <w:pPr>
        <w:tabs>
          <w:tab w:val="left" w:pos="1440"/>
        </w:tabs>
        <w:rPr>
          <w:rFonts w:ascii="Calibri" w:hAnsi="Calibri"/>
        </w:rPr>
      </w:pPr>
      <w:r>
        <w:rPr>
          <w:rFonts w:ascii="Calibri" w:hAnsi="Calibri"/>
        </w:rPr>
        <w:t>WWF</w:t>
      </w:r>
      <w:r>
        <w:rPr>
          <w:rFonts w:ascii="Calibri" w:hAnsi="Calibri"/>
        </w:rPr>
        <w:tab/>
        <w:t>Worldwide Fund for Nature</w:t>
      </w:r>
    </w:p>
    <w:p w:rsidR="002338A1" w:rsidRPr="000A3C73" w:rsidRDefault="002338A1" w:rsidP="002338A1">
      <w:pPr>
        <w:tabs>
          <w:tab w:val="left" w:pos="1440"/>
        </w:tabs>
        <w:rPr>
          <w:rFonts w:ascii="Calibri" w:hAnsi="Calibri"/>
        </w:rPr>
      </w:pPr>
    </w:p>
    <w:p w:rsidR="002A35E9" w:rsidRPr="000A3C73" w:rsidRDefault="002A35E9">
      <w:pPr>
        <w:rPr>
          <w:rFonts w:ascii="Calibri" w:hAnsi="Calibri"/>
        </w:rPr>
      </w:pPr>
    </w:p>
    <w:p w:rsidR="00B41E00" w:rsidRPr="000A3C73" w:rsidRDefault="00B41E00">
      <w:pPr>
        <w:rPr>
          <w:rFonts w:ascii="Calibri" w:hAnsi="Calibri"/>
        </w:rPr>
        <w:sectPr w:rsidR="00B41E00" w:rsidRPr="000A3C73">
          <w:pgSz w:w="12240" w:h="15840"/>
          <w:pgMar w:top="1440" w:right="1440" w:bottom="864" w:left="1440" w:header="720" w:footer="720" w:gutter="0"/>
          <w:pgNumType w:fmt="upperRoman"/>
          <w:cols w:space="720"/>
        </w:sectPr>
      </w:pPr>
    </w:p>
    <w:p w:rsidR="00B41E00" w:rsidRPr="000A3C73" w:rsidRDefault="00B41E00" w:rsidP="00B41E00">
      <w:pPr>
        <w:pStyle w:val="Heading1"/>
        <w:ind w:left="360" w:hanging="360"/>
      </w:pPr>
      <w:bookmarkStart w:id="0" w:name="_Toc152154261"/>
      <w:bookmarkStart w:id="1" w:name="_Toc238551043"/>
      <w:r w:rsidRPr="000A3C73">
        <w:lastRenderedPageBreak/>
        <w:t>Executive Summary</w:t>
      </w:r>
      <w:bookmarkEnd w:id="0"/>
      <w:bookmarkEnd w:id="1"/>
    </w:p>
    <w:p w:rsidR="00CE61E0" w:rsidRPr="000A3C73" w:rsidRDefault="00CE61E0" w:rsidP="00CE61E0">
      <w:pPr>
        <w:pStyle w:val="Caption"/>
      </w:pPr>
      <w:r w:rsidRPr="000A3C73">
        <w:t xml:space="preserve">Table </w:t>
      </w:r>
      <w:r w:rsidR="008269C6" w:rsidRPr="00552EEF">
        <w:fldChar w:fldCharType="begin"/>
      </w:r>
      <w:r w:rsidR="00CF23E9" w:rsidRPr="000A3C73">
        <w:instrText xml:space="preserve"> SEQ Table \* ARABIC </w:instrText>
      </w:r>
      <w:r w:rsidR="008269C6" w:rsidRPr="00552EEF">
        <w:fldChar w:fldCharType="separate"/>
      </w:r>
      <w:r w:rsidR="006E18A7" w:rsidRPr="000A3C73">
        <w:rPr>
          <w:noProof/>
        </w:rPr>
        <w:t>1</w:t>
      </w:r>
      <w:r w:rsidR="008269C6" w:rsidRPr="00552EEF">
        <w:rPr>
          <w:noProof/>
        </w:rPr>
        <w:fldChar w:fldCharType="end"/>
      </w:r>
      <w:r w:rsidRPr="000A3C73">
        <w:t xml:space="preserve"> Project Summary Table</w:t>
      </w:r>
    </w:p>
    <w:tbl>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tblPr>
      <w:tblGrid>
        <w:gridCol w:w="1531"/>
        <w:gridCol w:w="2700"/>
        <w:gridCol w:w="1313"/>
        <w:gridCol w:w="359"/>
        <w:gridCol w:w="1667"/>
        <w:gridCol w:w="1839"/>
      </w:tblGrid>
      <w:tr w:rsidR="00CE61E0" w:rsidRPr="000A3C73" w:rsidTr="00274CBA">
        <w:trPr>
          <w:trHeight w:val="359"/>
        </w:trPr>
        <w:tc>
          <w:tcPr>
            <w:tcW w:w="813" w:type="pct"/>
            <w:shd w:val="clear" w:color="auto" w:fill="7F7F7F"/>
            <w:vAlign w:val="center"/>
          </w:tcPr>
          <w:p w:rsidR="00CE61E0" w:rsidRPr="000A3C73" w:rsidRDefault="00CE61E0" w:rsidP="008C2C67">
            <w:pPr>
              <w:contextualSpacing/>
              <w:rPr>
                <w:rFonts w:ascii="Calibri" w:hAnsi="Calibri" w:cs="Calibri"/>
                <w:bCs/>
                <w:color w:val="FFFFFF"/>
                <w:sz w:val="20"/>
                <w:szCs w:val="20"/>
              </w:rPr>
            </w:pPr>
            <w:r w:rsidRPr="000A3C73">
              <w:rPr>
                <w:rFonts w:ascii="Calibri" w:hAnsi="Calibri" w:cs="Calibri"/>
                <w:bCs/>
                <w:color w:val="FFFFFF"/>
                <w:sz w:val="20"/>
                <w:szCs w:val="20"/>
              </w:rPr>
              <w:t xml:space="preserve">Project Title: </w:t>
            </w:r>
          </w:p>
        </w:tc>
        <w:tc>
          <w:tcPr>
            <w:tcW w:w="4187" w:type="pct"/>
            <w:gridSpan w:val="5"/>
            <w:shd w:val="clear" w:color="auto" w:fill="FFFFFF"/>
            <w:vAlign w:val="center"/>
          </w:tcPr>
          <w:p w:rsidR="00CE61E0" w:rsidRPr="000A3C73" w:rsidRDefault="00274CBA" w:rsidP="00274CBA">
            <w:pPr>
              <w:contextualSpacing/>
              <w:rPr>
                <w:rFonts w:ascii="Calibri" w:hAnsi="Calibri" w:cs="Calibri"/>
                <w:bCs/>
                <w:noProof/>
                <w:sz w:val="20"/>
                <w:szCs w:val="20"/>
              </w:rPr>
            </w:pPr>
            <w:r w:rsidRPr="000A3C73">
              <w:rPr>
                <w:rFonts w:ascii="Calibri" w:hAnsi="Calibri" w:cs="Calibri"/>
                <w:bCs/>
                <w:noProof/>
                <w:sz w:val="20"/>
                <w:szCs w:val="20"/>
              </w:rPr>
              <w:t xml:space="preserve">Integrated Ecosystem Management in the Prespa Lakes Basin </w:t>
            </w:r>
          </w:p>
        </w:tc>
      </w:tr>
      <w:tr w:rsidR="00AF0364" w:rsidRPr="000A3C73" w:rsidTr="00274CBA">
        <w:tblPrEx>
          <w:shd w:val="clear" w:color="auto" w:fill="auto"/>
        </w:tblPrEx>
        <w:trPr>
          <w:trHeight w:val="553"/>
        </w:trPr>
        <w:tc>
          <w:tcPr>
            <w:tcW w:w="813" w:type="pct"/>
          </w:tcPr>
          <w:p w:rsidR="00CE61E0" w:rsidRPr="000A3C73" w:rsidRDefault="00CE61E0" w:rsidP="008C2C67">
            <w:pPr>
              <w:jc w:val="right"/>
              <w:rPr>
                <w:rFonts w:ascii="Calibri" w:eastAsia="Arial Unicode MS" w:hAnsi="Calibri"/>
                <w:color w:val="000000"/>
                <w:sz w:val="20"/>
                <w:szCs w:val="20"/>
              </w:rPr>
            </w:pPr>
            <w:r w:rsidRPr="000A3C73">
              <w:rPr>
                <w:rFonts w:ascii="Calibri" w:hAnsi="Calibri"/>
                <w:color w:val="000000"/>
                <w:sz w:val="20"/>
                <w:szCs w:val="20"/>
              </w:rPr>
              <w:t>GEF Project ID:</w:t>
            </w:r>
          </w:p>
        </w:tc>
        <w:tc>
          <w:tcPr>
            <w:tcW w:w="1435" w:type="pct"/>
            <w:vAlign w:val="center"/>
          </w:tcPr>
          <w:p w:rsidR="00CE61E0" w:rsidRPr="000A3C73" w:rsidRDefault="008C2C67" w:rsidP="008C2C67">
            <w:pPr>
              <w:tabs>
                <w:tab w:val="right" w:pos="0"/>
              </w:tabs>
              <w:rPr>
                <w:rFonts w:ascii="Calibri" w:hAnsi="Calibri"/>
                <w:sz w:val="20"/>
                <w:szCs w:val="20"/>
              </w:rPr>
            </w:pPr>
            <w:r w:rsidRPr="000A3C73">
              <w:rPr>
                <w:rFonts w:ascii="Calibri" w:hAnsi="Calibri"/>
                <w:sz w:val="20"/>
                <w:szCs w:val="20"/>
              </w:rPr>
              <w:t>1537</w:t>
            </w:r>
          </w:p>
        </w:tc>
        <w:tc>
          <w:tcPr>
            <w:tcW w:w="698" w:type="pct"/>
          </w:tcPr>
          <w:p w:rsidR="00CE61E0" w:rsidRPr="000A3C73" w:rsidRDefault="00CE61E0" w:rsidP="008C2C67">
            <w:pPr>
              <w:jc w:val="right"/>
              <w:rPr>
                <w:rFonts w:ascii="Calibri" w:eastAsia="Arial Unicode MS" w:hAnsi="Calibri"/>
                <w:sz w:val="20"/>
                <w:szCs w:val="20"/>
              </w:rPr>
            </w:pPr>
            <w:r w:rsidRPr="000A3C73">
              <w:rPr>
                <w:rFonts w:ascii="Calibri" w:hAnsi="Calibri"/>
                <w:sz w:val="20"/>
                <w:szCs w:val="20"/>
              </w:rPr>
              <w:t> </w:t>
            </w:r>
          </w:p>
        </w:tc>
        <w:tc>
          <w:tcPr>
            <w:tcW w:w="1077" w:type="pct"/>
            <w:gridSpan w:val="2"/>
          </w:tcPr>
          <w:p w:rsidR="00CE61E0" w:rsidRPr="000A3C73" w:rsidRDefault="00803391" w:rsidP="008C2C67">
            <w:pPr>
              <w:jc w:val="center"/>
              <w:rPr>
                <w:rFonts w:ascii="Calibri" w:eastAsia="Arial Unicode MS" w:hAnsi="Calibri"/>
                <w:i/>
                <w:color w:val="000000"/>
                <w:sz w:val="20"/>
                <w:szCs w:val="20"/>
                <w:u w:val="single"/>
              </w:rPr>
            </w:pPr>
            <w:r w:rsidRPr="000A3C73">
              <w:rPr>
                <w:rFonts w:ascii="Calibri" w:hAnsi="Calibri"/>
                <w:i/>
                <w:color w:val="000000"/>
                <w:sz w:val="20"/>
                <w:szCs w:val="20"/>
                <w:u w:val="single"/>
              </w:rPr>
              <w:t>At endorsement (m</w:t>
            </w:r>
            <w:r w:rsidR="00CE61E0" w:rsidRPr="000A3C73">
              <w:rPr>
                <w:rFonts w:ascii="Calibri" w:hAnsi="Calibri"/>
                <w:i/>
                <w:color w:val="000000"/>
                <w:sz w:val="20"/>
                <w:szCs w:val="20"/>
                <w:u w:val="single"/>
              </w:rPr>
              <w:t>illion US$)</w:t>
            </w:r>
          </w:p>
        </w:tc>
        <w:tc>
          <w:tcPr>
            <w:tcW w:w="977" w:type="pct"/>
          </w:tcPr>
          <w:p w:rsidR="00CE61E0" w:rsidRPr="000A3C73" w:rsidRDefault="00803391" w:rsidP="008C2C67">
            <w:pPr>
              <w:jc w:val="center"/>
              <w:rPr>
                <w:rFonts w:ascii="Calibri" w:eastAsia="Arial Unicode MS" w:hAnsi="Calibri"/>
                <w:i/>
                <w:color w:val="000000"/>
                <w:sz w:val="20"/>
                <w:szCs w:val="20"/>
                <w:u w:val="single"/>
              </w:rPr>
            </w:pPr>
            <w:r w:rsidRPr="000A3C73">
              <w:rPr>
                <w:rFonts w:ascii="Calibri" w:hAnsi="Calibri"/>
                <w:i/>
                <w:color w:val="000000"/>
                <w:sz w:val="20"/>
                <w:szCs w:val="20"/>
                <w:u w:val="single"/>
              </w:rPr>
              <w:t>At completion (m</w:t>
            </w:r>
            <w:r w:rsidR="00CE61E0" w:rsidRPr="000A3C73">
              <w:rPr>
                <w:rFonts w:ascii="Calibri" w:hAnsi="Calibri"/>
                <w:i/>
                <w:color w:val="000000"/>
                <w:sz w:val="20"/>
                <w:szCs w:val="20"/>
                <w:u w:val="single"/>
              </w:rPr>
              <w:t>illion US$)</w:t>
            </w:r>
          </w:p>
        </w:tc>
      </w:tr>
      <w:tr w:rsidR="00AF0364" w:rsidRPr="000A3C73" w:rsidTr="00274CBA">
        <w:tblPrEx>
          <w:shd w:val="clear" w:color="auto" w:fill="auto"/>
        </w:tblPrEx>
        <w:trPr>
          <w:trHeight w:val="278"/>
        </w:trPr>
        <w:tc>
          <w:tcPr>
            <w:tcW w:w="813" w:type="pct"/>
          </w:tcPr>
          <w:p w:rsidR="00CE61E0" w:rsidRPr="000A3C73" w:rsidRDefault="00CE61E0" w:rsidP="008C2C67">
            <w:pPr>
              <w:jc w:val="right"/>
              <w:rPr>
                <w:rFonts w:ascii="Calibri" w:eastAsia="Arial Unicode MS" w:hAnsi="Calibri"/>
                <w:color w:val="000000"/>
                <w:sz w:val="20"/>
                <w:szCs w:val="20"/>
              </w:rPr>
            </w:pPr>
            <w:r w:rsidRPr="000A3C73">
              <w:rPr>
                <w:rFonts w:ascii="Calibri" w:hAnsi="Calibri"/>
                <w:color w:val="000000"/>
                <w:sz w:val="20"/>
                <w:szCs w:val="20"/>
              </w:rPr>
              <w:t>UNDP Project ID:</w:t>
            </w:r>
          </w:p>
        </w:tc>
        <w:tc>
          <w:tcPr>
            <w:tcW w:w="1435" w:type="pct"/>
            <w:vAlign w:val="center"/>
          </w:tcPr>
          <w:p w:rsidR="00CE61E0" w:rsidRPr="000A3C73" w:rsidRDefault="008C2C67" w:rsidP="008C2C67">
            <w:pPr>
              <w:tabs>
                <w:tab w:val="right" w:pos="0"/>
              </w:tabs>
              <w:rPr>
                <w:rFonts w:ascii="Calibri" w:hAnsi="Calibri"/>
                <w:bCs/>
                <w:color w:val="000000"/>
                <w:sz w:val="20"/>
                <w:szCs w:val="20"/>
              </w:rPr>
            </w:pPr>
            <w:r w:rsidRPr="000A3C73">
              <w:rPr>
                <w:rFonts w:ascii="Calibri" w:hAnsi="Calibri"/>
                <w:sz w:val="20"/>
                <w:szCs w:val="20"/>
              </w:rPr>
              <w:t>1996</w:t>
            </w:r>
          </w:p>
        </w:tc>
        <w:tc>
          <w:tcPr>
            <w:tcW w:w="698" w:type="pct"/>
          </w:tcPr>
          <w:p w:rsidR="00CE61E0" w:rsidRPr="000A3C73" w:rsidRDefault="00CE61E0" w:rsidP="008C2C67">
            <w:pPr>
              <w:jc w:val="right"/>
              <w:rPr>
                <w:rFonts w:ascii="Calibri" w:eastAsia="Arial Unicode MS" w:hAnsi="Calibri"/>
                <w:color w:val="000000"/>
                <w:sz w:val="20"/>
                <w:szCs w:val="20"/>
              </w:rPr>
            </w:pPr>
            <w:r w:rsidRPr="000A3C73">
              <w:rPr>
                <w:rFonts w:ascii="Calibri" w:hAnsi="Calibri"/>
                <w:color w:val="000000"/>
                <w:sz w:val="20"/>
                <w:szCs w:val="20"/>
              </w:rPr>
              <w:t xml:space="preserve">GEF financing: </w:t>
            </w:r>
          </w:p>
        </w:tc>
        <w:tc>
          <w:tcPr>
            <w:tcW w:w="1077" w:type="pct"/>
            <w:gridSpan w:val="2"/>
            <w:vAlign w:val="center"/>
          </w:tcPr>
          <w:p w:rsidR="00CE61E0" w:rsidRPr="000A3C73" w:rsidRDefault="00AF0364" w:rsidP="0035009A">
            <w:pPr>
              <w:rPr>
                <w:rFonts w:ascii="Calibri" w:eastAsia="Arial Unicode MS" w:hAnsi="Calibri"/>
                <w:sz w:val="20"/>
                <w:szCs w:val="20"/>
              </w:rPr>
            </w:pPr>
            <w:r w:rsidRPr="000A3C73">
              <w:rPr>
                <w:rFonts w:ascii="Calibri" w:hAnsi="Calibri"/>
                <w:sz w:val="20"/>
                <w:szCs w:val="20"/>
              </w:rPr>
              <w:t>4.135</w:t>
            </w:r>
          </w:p>
        </w:tc>
        <w:tc>
          <w:tcPr>
            <w:tcW w:w="977" w:type="pct"/>
            <w:vAlign w:val="center"/>
          </w:tcPr>
          <w:p w:rsidR="00CE61E0" w:rsidRPr="000A3C73" w:rsidRDefault="00803391" w:rsidP="0035009A">
            <w:pPr>
              <w:rPr>
                <w:rFonts w:ascii="Calibri" w:eastAsia="Arial Unicode MS" w:hAnsi="Calibri"/>
                <w:sz w:val="20"/>
                <w:szCs w:val="20"/>
              </w:rPr>
            </w:pPr>
            <w:r w:rsidRPr="0089284E">
              <w:rPr>
                <w:rFonts w:ascii="Calibri" w:hAnsi="Calibri"/>
                <w:sz w:val="20"/>
                <w:szCs w:val="20"/>
              </w:rPr>
              <w:t>4.055</w:t>
            </w:r>
          </w:p>
        </w:tc>
      </w:tr>
      <w:tr w:rsidR="00AF0364" w:rsidRPr="000A3C73" w:rsidTr="00274CBA">
        <w:tblPrEx>
          <w:shd w:val="clear" w:color="auto" w:fill="auto"/>
        </w:tblPrEx>
        <w:trPr>
          <w:trHeight w:val="269"/>
        </w:trPr>
        <w:tc>
          <w:tcPr>
            <w:tcW w:w="813" w:type="pct"/>
          </w:tcPr>
          <w:p w:rsidR="00CE61E0" w:rsidRPr="000A3C73" w:rsidRDefault="00CE61E0" w:rsidP="008C2C67">
            <w:pPr>
              <w:jc w:val="right"/>
              <w:rPr>
                <w:rFonts w:ascii="Calibri" w:hAnsi="Calibri"/>
                <w:color w:val="000000"/>
                <w:sz w:val="20"/>
                <w:szCs w:val="20"/>
              </w:rPr>
            </w:pPr>
            <w:r w:rsidRPr="000A3C73">
              <w:rPr>
                <w:rFonts w:ascii="Calibri" w:hAnsi="Calibri"/>
                <w:color w:val="000000"/>
                <w:sz w:val="20"/>
                <w:szCs w:val="20"/>
              </w:rPr>
              <w:t>Country:</w:t>
            </w:r>
          </w:p>
        </w:tc>
        <w:tc>
          <w:tcPr>
            <w:tcW w:w="1435" w:type="pct"/>
            <w:vAlign w:val="center"/>
          </w:tcPr>
          <w:p w:rsidR="00CE61E0" w:rsidRPr="000A3C73" w:rsidRDefault="008C2C67" w:rsidP="008C2C67">
            <w:pPr>
              <w:tabs>
                <w:tab w:val="right" w:pos="0"/>
              </w:tabs>
              <w:rPr>
                <w:rFonts w:ascii="Calibri" w:hAnsi="Calibri"/>
                <w:color w:val="000000"/>
                <w:sz w:val="20"/>
                <w:szCs w:val="20"/>
              </w:rPr>
            </w:pPr>
            <w:r w:rsidRPr="000A3C73">
              <w:rPr>
                <w:rFonts w:ascii="Calibri" w:hAnsi="Calibri"/>
                <w:sz w:val="20"/>
                <w:szCs w:val="20"/>
              </w:rPr>
              <w:t>Albania, FYR Macedonia, Greece</w:t>
            </w:r>
          </w:p>
        </w:tc>
        <w:tc>
          <w:tcPr>
            <w:tcW w:w="698" w:type="pct"/>
          </w:tcPr>
          <w:p w:rsidR="00CE61E0" w:rsidRPr="000A3C73" w:rsidRDefault="00CE61E0" w:rsidP="008C2C67">
            <w:pPr>
              <w:jc w:val="right"/>
              <w:rPr>
                <w:rFonts w:ascii="Calibri" w:hAnsi="Calibri"/>
                <w:color w:val="000000"/>
                <w:sz w:val="20"/>
                <w:szCs w:val="20"/>
              </w:rPr>
            </w:pPr>
            <w:r w:rsidRPr="000A3C73">
              <w:rPr>
                <w:rFonts w:ascii="Calibri" w:hAnsi="Calibri"/>
                <w:bCs/>
                <w:sz w:val="20"/>
                <w:szCs w:val="20"/>
              </w:rPr>
              <w:t>IA/EA own:</w:t>
            </w:r>
          </w:p>
        </w:tc>
        <w:tc>
          <w:tcPr>
            <w:tcW w:w="1077" w:type="pct"/>
            <w:gridSpan w:val="2"/>
            <w:vAlign w:val="center"/>
          </w:tcPr>
          <w:p w:rsidR="00CE61E0" w:rsidRPr="000A3C73" w:rsidRDefault="000C1CD7" w:rsidP="0035009A">
            <w:pPr>
              <w:rPr>
                <w:rFonts w:ascii="Calibri" w:eastAsia="Arial Unicode MS" w:hAnsi="Calibri"/>
                <w:sz w:val="20"/>
                <w:szCs w:val="20"/>
              </w:rPr>
            </w:pPr>
            <w:r w:rsidRPr="000A3C73">
              <w:rPr>
                <w:rFonts w:ascii="Calibri" w:hAnsi="Calibri"/>
                <w:sz w:val="20"/>
                <w:szCs w:val="20"/>
              </w:rPr>
              <w:t>0.</w:t>
            </w:r>
            <w:r w:rsidR="00D2144C" w:rsidRPr="000A3C73">
              <w:rPr>
                <w:rFonts w:ascii="Calibri" w:hAnsi="Calibri"/>
                <w:sz w:val="20"/>
                <w:szCs w:val="20"/>
              </w:rPr>
              <w:t>864</w:t>
            </w:r>
          </w:p>
        </w:tc>
        <w:tc>
          <w:tcPr>
            <w:tcW w:w="977" w:type="pct"/>
            <w:vAlign w:val="center"/>
          </w:tcPr>
          <w:p w:rsidR="00CE61E0" w:rsidRPr="0089284E" w:rsidRDefault="00803391" w:rsidP="0035009A">
            <w:pPr>
              <w:rPr>
                <w:rFonts w:ascii="Calibri" w:eastAsia="Arial Unicode MS" w:hAnsi="Calibri"/>
                <w:sz w:val="20"/>
                <w:szCs w:val="20"/>
              </w:rPr>
            </w:pPr>
            <w:r w:rsidRPr="0089284E">
              <w:rPr>
                <w:rFonts w:ascii="Calibri" w:hAnsi="Calibri"/>
                <w:sz w:val="20"/>
                <w:szCs w:val="20"/>
              </w:rPr>
              <w:t>0.150</w:t>
            </w:r>
          </w:p>
        </w:tc>
      </w:tr>
      <w:tr w:rsidR="00AF0364" w:rsidRPr="000A3C73" w:rsidTr="00274CBA">
        <w:tblPrEx>
          <w:shd w:val="clear" w:color="auto" w:fill="auto"/>
        </w:tblPrEx>
        <w:trPr>
          <w:trHeight w:val="296"/>
        </w:trPr>
        <w:tc>
          <w:tcPr>
            <w:tcW w:w="813" w:type="pct"/>
          </w:tcPr>
          <w:p w:rsidR="00CE61E0" w:rsidRPr="000A3C73" w:rsidRDefault="00CE61E0" w:rsidP="008C2C67">
            <w:pPr>
              <w:jc w:val="right"/>
              <w:rPr>
                <w:rFonts w:ascii="Calibri" w:hAnsi="Calibri"/>
                <w:color w:val="000000"/>
                <w:sz w:val="20"/>
                <w:szCs w:val="20"/>
              </w:rPr>
            </w:pPr>
            <w:r w:rsidRPr="000A3C73">
              <w:rPr>
                <w:rFonts w:ascii="Calibri" w:hAnsi="Calibri"/>
                <w:color w:val="000000"/>
                <w:sz w:val="20"/>
                <w:szCs w:val="20"/>
              </w:rPr>
              <w:t>Region:</w:t>
            </w:r>
          </w:p>
        </w:tc>
        <w:tc>
          <w:tcPr>
            <w:tcW w:w="1435" w:type="pct"/>
            <w:vAlign w:val="center"/>
          </w:tcPr>
          <w:p w:rsidR="00CE61E0" w:rsidRPr="0089284E" w:rsidRDefault="008C2C67" w:rsidP="008C2C67">
            <w:pPr>
              <w:tabs>
                <w:tab w:val="right" w:pos="0"/>
              </w:tabs>
              <w:rPr>
                <w:rFonts w:ascii="Calibri" w:hAnsi="Calibri"/>
                <w:sz w:val="20"/>
                <w:szCs w:val="20"/>
              </w:rPr>
            </w:pPr>
            <w:r w:rsidRPr="000A3C73">
              <w:rPr>
                <w:rFonts w:ascii="Calibri" w:hAnsi="Calibri"/>
                <w:sz w:val="20"/>
                <w:szCs w:val="20"/>
              </w:rPr>
              <w:t>ECA</w:t>
            </w:r>
          </w:p>
        </w:tc>
        <w:tc>
          <w:tcPr>
            <w:tcW w:w="698" w:type="pct"/>
          </w:tcPr>
          <w:p w:rsidR="00CE61E0" w:rsidRPr="00FC657B" w:rsidRDefault="00CE61E0" w:rsidP="008C2C67">
            <w:pPr>
              <w:jc w:val="right"/>
              <w:rPr>
                <w:rFonts w:ascii="Calibri" w:hAnsi="Calibri"/>
                <w:color w:val="000000"/>
                <w:sz w:val="20"/>
                <w:szCs w:val="20"/>
              </w:rPr>
            </w:pPr>
            <w:r w:rsidRPr="000A3C73">
              <w:rPr>
                <w:rFonts w:ascii="Calibri" w:hAnsi="Calibri"/>
                <w:bCs/>
                <w:sz w:val="20"/>
                <w:szCs w:val="20"/>
              </w:rPr>
              <w:t>Government:</w:t>
            </w:r>
          </w:p>
        </w:tc>
        <w:tc>
          <w:tcPr>
            <w:tcW w:w="1077" w:type="pct"/>
            <w:gridSpan w:val="2"/>
            <w:vAlign w:val="center"/>
          </w:tcPr>
          <w:p w:rsidR="00CE61E0" w:rsidRPr="00FC657B" w:rsidRDefault="00D2144C" w:rsidP="0035009A">
            <w:pPr>
              <w:rPr>
                <w:rFonts w:ascii="Calibri" w:eastAsia="Arial Unicode MS" w:hAnsi="Calibri"/>
                <w:sz w:val="20"/>
                <w:szCs w:val="20"/>
              </w:rPr>
            </w:pPr>
            <w:r w:rsidRPr="00FC657B">
              <w:rPr>
                <w:rFonts w:ascii="Calibri" w:hAnsi="Calibri"/>
                <w:sz w:val="20"/>
                <w:szCs w:val="20"/>
              </w:rPr>
              <w:t>1.119</w:t>
            </w:r>
          </w:p>
        </w:tc>
        <w:tc>
          <w:tcPr>
            <w:tcW w:w="977" w:type="pct"/>
            <w:vAlign w:val="center"/>
          </w:tcPr>
          <w:p w:rsidR="00CE61E0" w:rsidRPr="0089284E" w:rsidRDefault="00803391" w:rsidP="0035009A">
            <w:pPr>
              <w:rPr>
                <w:rFonts w:ascii="Calibri" w:hAnsi="Calibri"/>
                <w:sz w:val="20"/>
                <w:szCs w:val="20"/>
              </w:rPr>
            </w:pPr>
            <w:r w:rsidRPr="0089284E">
              <w:rPr>
                <w:rFonts w:ascii="Calibri" w:hAnsi="Calibri"/>
                <w:sz w:val="20"/>
                <w:szCs w:val="20"/>
              </w:rPr>
              <w:t>0.130</w:t>
            </w:r>
          </w:p>
        </w:tc>
      </w:tr>
      <w:tr w:rsidR="00AF0364" w:rsidRPr="000A3C73" w:rsidTr="00274CBA">
        <w:tblPrEx>
          <w:shd w:val="clear" w:color="auto" w:fill="auto"/>
        </w:tblPrEx>
        <w:trPr>
          <w:trHeight w:val="314"/>
        </w:trPr>
        <w:tc>
          <w:tcPr>
            <w:tcW w:w="813" w:type="pct"/>
          </w:tcPr>
          <w:p w:rsidR="00CE61E0" w:rsidRPr="000A3C73" w:rsidRDefault="00CE61E0" w:rsidP="008C2C67">
            <w:pPr>
              <w:jc w:val="right"/>
              <w:rPr>
                <w:rFonts w:ascii="Calibri" w:hAnsi="Calibri"/>
                <w:color w:val="000000"/>
                <w:sz w:val="20"/>
                <w:szCs w:val="20"/>
              </w:rPr>
            </w:pPr>
            <w:r w:rsidRPr="000A3C73">
              <w:rPr>
                <w:rFonts w:ascii="Calibri" w:hAnsi="Calibri"/>
                <w:color w:val="000000"/>
                <w:sz w:val="20"/>
                <w:szCs w:val="20"/>
              </w:rPr>
              <w:t>Focal Area:</w:t>
            </w:r>
          </w:p>
        </w:tc>
        <w:tc>
          <w:tcPr>
            <w:tcW w:w="1435" w:type="pct"/>
            <w:vAlign w:val="center"/>
          </w:tcPr>
          <w:p w:rsidR="00CE61E0" w:rsidRPr="000A3C73" w:rsidRDefault="008C2C67" w:rsidP="008C2C67">
            <w:pPr>
              <w:tabs>
                <w:tab w:val="right" w:pos="0"/>
              </w:tabs>
              <w:rPr>
                <w:rFonts w:ascii="Calibri" w:hAnsi="Calibri"/>
                <w:sz w:val="20"/>
                <w:szCs w:val="20"/>
              </w:rPr>
            </w:pPr>
            <w:r w:rsidRPr="000A3C73">
              <w:rPr>
                <w:rFonts w:ascii="Calibri" w:hAnsi="Calibri"/>
                <w:sz w:val="20"/>
                <w:szCs w:val="20"/>
              </w:rPr>
              <w:t>International Waters</w:t>
            </w:r>
          </w:p>
        </w:tc>
        <w:tc>
          <w:tcPr>
            <w:tcW w:w="698" w:type="pct"/>
          </w:tcPr>
          <w:p w:rsidR="00CE61E0" w:rsidRPr="000A3C73" w:rsidRDefault="00CE61E0" w:rsidP="008C2C67">
            <w:pPr>
              <w:jc w:val="right"/>
              <w:rPr>
                <w:rFonts w:ascii="Calibri" w:hAnsi="Calibri"/>
                <w:color w:val="000000"/>
                <w:sz w:val="20"/>
                <w:szCs w:val="20"/>
              </w:rPr>
            </w:pPr>
            <w:r w:rsidRPr="000A3C73">
              <w:rPr>
                <w:rFonts w:ascii="Calibri" w:hAnsi="Calibri"/>
                <w:bCs/>
                <w:sz w:val="20"/>
                <w:szCs w:val="20"/>
              </w:rPr>
              <w:t>Other:</w:t>
            </w:r>
          </w:p>
        </w:tc>
        <w:tc>
          <w:tcPr>
            <w:tcW w:w="1077" w:type="pct"/>
            <w:gridSpan w:val="2"/>
            <w:vAlign w:val="center"/>
          </w:tcPr>
          <w:p w:rsidR="00CE61E0" w:rsidRPr="000A3C73" w:rsidRDefault="00D2144C" w:rsidP="0035009A">
            <w:pPr>
              <w:rPr>
                <w:rFonts w:ascii="Calibri" w:hAnsi="Calibri"/>
                <w:sz w:val="20"/>
                <w:szCs w:val="20"/>
              </w:rPr>
            </w:pPr>
            <w:r w:rsidRPr="000A3C73">
              <w:rPr>
                <w:rFonts w:ascii="Calibri" w:hAnsi="Calibri"/>
                <w:sz w:val="20"/>
                <w:szCs w:val="20"/>
              </w:rPr>
              <w:t>6.653</w:t>
            </w:r>
          </w:p>
        </w:tc>
        <w:tc>
          <w:tcPr>
            <w:tcW w:w="977" w:type="pct"/>
            <w:vAlign w:val="center"/>
          </w:tcPr>
          <w:p w:rsidR="00CE61E0" w:rsidRPr="0089284E" w:rsidRDefault="00803391" w:rsidP="0035009A">
            <w:pPr>
              <w:rPr>
                <w:rFonts w:ascii="Calibri" w:hAnsi="Calibri"/>
                <w:sz w:val="20"/>
                <w:szCs w:val="20"/>
              </w:rPr>
            </w:pPr>
            <w:r w:rsidRPr="0089284E">
              <w:rPr>
                <w:rFonts w:ascii="Calibri" w:hAnsi="Calibri"/>
                <w:sz w:val="20"/>
                <w:szCs w:val="20"/>
              </w:rPr>
              <w:t>7.15</w:t>
            </w:r>
          </w:p>
        </w:tc>
      </w:tr>
      <w:tr w:rsidR="00AF0364" w:rsidRPr="000A3C73" w:rsidTr="00274CBA">
        <w:tblPrEx>
          <w:shd w:val="clear" w:color="auto" w:fill="auto"/>
        </w:tblPrEx>
        <w:trPr>
          <w:trHeight w:val="553"/>
        </w:trPr>
        <w:tc>
          <w:tcPr>
            <w:tcW w:w="813" w:type="pct"/>
          </w:tcPr>
          <w:p w:rsidR="00CE61E0" w:rsidRPr="000A3C73" w:rsidRDefault="00CE61E0" w:rsidP="008C2C67">
            <w:pPr>
              <w:jc w:val="right"/>
              <w:rPr>
                <w:rFonts w:ascii="Calibri" w:eastAsia="Arial Unicode MS" w:hAnsi="Calibri"/>
                <w:color w:val="000000"/>
                <w:sz w:val="20"/>
                <w:szCs w:val="20"/>
              </w:rPr>
            </w:pPr>
            <w:r w:rsidRPr="000A3C73">
              <w:rPr>
                <w:rFonts w:ascii="Calibri" w:hAnsi="Calibri"/>
                <w:color w:val="000000"/>
                <w:sz w:val="20"/>
                <w:szCs w:val="20"/>
              </w:rPr>
              <w:t>FA Objectives, (OP/SP):</w:t>
            </w:r>
          </w:p>
        </w:tc>
        <w:tc>
          <w:tcPr>
            <w:tcW w:w="1435" w:type="pct"/>
            <w:vAlign w:val="center"/>
          </w:tcPr>
          <w:p w:rsidR="00CE61E0" w:rsidRPr="000A3C73" w:rsidRDefault="00AF0364" w:rsidP="008C2C67">
            <w:pPr>
              <w:tabs>
                <w:tab w:val="right" w:pos="0"/>
              </w:tabs>
              <w:rPr>
                <w:rFonts w:ascii="Calibri" w:hAnsi="Calibri"/>
                <w:sz w:val="20"/>
                <w:szCs w:val="20"/>
              </w:rPr>
            </w:pPr>
            <w:r w:rsidRPr="000A3C73">
              <w:rPr>
                <w:rFonts w:ascii="Calibri" w:hAnsi="Calibri"/>
                <w:sz w:val="20"/>
                <w:szCs w:val="20"/>
              </w:rPr>
              <w:t>OP 2, 4, 8, 9, 12</w:t>
            </w:r>
          </w:p>
        </w:tc>
        <w:tc>
          <w:tcPr>
            <w:tcW w:w="698" w:type="pct"/>
          </w:tcPr>
          <w:p w:rsidR="00CE61E0" w:rsidRPr="000A3C73" w:rsidRDefault="00CE61E0" w:rsidP="008C2C67">
            <w:pPr>
              <w:jc w:val="right"/>
              <w:rPr>
                <w:rFonts w:ascii="Calibri" w:hAnsi="Calibri"/>
                <w:color w:val="000000"/>
                <w:sz w:val="20"/>
                <w:szCs w:val="20"/>
              </w:rPr>
            </w:pPr>
            <w:r w:rsidRPr="000A3C73">
              <w:rPr>
                <w:rFonts w:ascii="Calibri" w:hAnsi="Calibri"/>
                <w:color w:val="000000"/>
                <w:sz w:val="20"/>
                <w:szCs w:val="20"/>
              </w:rPr>
              <w:t>Total co-financing:</w:t>
            </w:r>
          </w:p>
        </w:tc>
        <w:tc>
          <w:tcPr>
            <w:tcW w:w="1077" w:type="pct"/>
            <w:gridSpan w:val="2"/>
            <w:vAlign w:val="center"/>
          </w:tcPr>
          <w:p w:rsidR="00CE61E0" w:rsidRPr="000A3C73" w:rsidRDefault="00D2144C" w:rsidP="0035009A">
            <w:pPr>
              <w:rPr>
                <w:rFonts w:ascii="Calibri" w:eastAsia="Arial Unicode MS" w:hAnsi="Calibri"/>
                <w:sz w:val="20"/>
                <w:szCs w:val="20"/>
              </w:rPr>
            </w:pPr>
            <w:r w:rsidRPr="000A3C73">
              <w:rPr>
                <w:rFonts w:ascii="Calibri" w:hAnsi="Calibri"/>
                <w:sz w:val="20"/>
                <w:szCs w:val="20"/>
              </w:rPr>
              <w:t>8.636</w:t>
            </w:r>
          </w:p>
        </w:tc>
        <w:tc>
          <w:tcPr>
            <w:tcW w:w="977" w:type="pct"/>
            <w:vAlign w:val="center"/>
          </w:tcPr>
          <w:p w:rsidR="00CE61E0" w:rsidRPr="0089284E" w:rsidRDefault="00630DAD" w:rsidP="0035009A">
            <w:pPr>
              <w:rPr>
                <w:rFonts w:ascii="Calibri" w:hAnsi="Calibri"/>
                <w:sz w:val="20"/>
                <w:szCs w:val="20"/>
              </w:rPr>
            </w:pPr>
            <w:r w:rsidRPr="0089284E">
              <w:rPr>
                <w:rFonts w:ascii="Calibri" w:hAnsi="Calibri"/>
                <w:sz w:val="20"/>
                <w:szCs w:val="20"/>
              </w:rPr>
              <w:t>7.43</w:t>
            </w:r>
          </w:p>
        </w:tc>
      </w:tr>
      <w:tr w:rsidR="00AF0364" w:rsidRPr="000A3C73" w:rsidTr="00274CBA">
        <w:tblPrEx>
          <w:shd w:val="clear" w:color="auto" w:fill="auto"/>
        </w:tblPrEx>
        <w:trPr>
          <w:trHeight w:val="341"/>
        </w:trPr>
        <w:tc>
          <w:tcPr>
            <w:tcW w:w="813" w:type="pct"/>
          </w:tcPr>
          <w:p w:rsidR="00CE61E0" w:rsidRPr="000A3C73" w:rsidRDefault="00CE61E0" w:rsidP="008C2C67">
            <w:pPr>
              <w:jc w:val="right"/>
              <w:rPr>
                <w:rFonts w:ascii="Calibri" w:eastAsia="Arial Unicode MS" w:hAnsi="Calibri"/>
                <w:color w:val="000000"/>
                <w:sz w:val="20"/>
                <w:szCs w:val="20"/>
              </w:rPr>
            </w:pPr>
            <w:r w:rsidRPr="000A3C73">
              <w:rPr>
                <w:rFonts w:ascii="Calibri" w:hAnsi="Calibri"/>
                <w:color w:val="000000"/>
                <w:sz w:val="20"/>
                <w:szCs w:val="20"/>
              </w:rPr>
              <w:t>Executing Agency:</w:t>
            </w:r>
          </w:p>
        </w:tc>
        <w:tc>
          <w:tcPr>
            <w:tcW w:w="1435" w:type="pct"/>
            <w:vAlign w:val="center"/>
          </w:tcPr>
          <w:p w:rsidR="00AF0364" w:rsidRPr="000A3C73" w:rsidRDefault="00AF0364" w:rsidP="004F0C07">
            <w:pPr>
              <w:rPr>
                <w:rFonts w:ascii="Calibri" w:hAnsi="Calibri"/>
                <w:sz w:val="20"/>
                <w:szCs w:val="20"/>
              </w:rPr>
            </w:pPr>
            <w:r w:rsidRPr="000A3C73">
              <w:rPr>
                <w:rFonts w:ascii="Calibri" w:hAnsi="Calibri"/>
                <w:sz w:val="20"/>
                <w:szCs w:val="20"/>
              </w:rPr>
              <w:t xml:space="preserve">Ministry of Environment, Forests and Water Management (Albania); Ministry of Environment and Physical Planning (FYR Macedonia); </w:t>
            </w:r>
          </w:p>
          <w:p w:rsidR="00CE61E0" w:rsidRPr="000A3C73" w:rsidRDefault="00AF0364" w:rsidP="004F0C07">
            <w:pPr>
              <w:rPr>
                <w:rFonts w:ascii="Calibri" w:hAnsi="Calibri"/>
                <w:sz w:val="20"/>
                <w:szCs w:val="20"/>
              </w:rPr>
            </w:pPr>
            <w:r w:rsidRPr="000A3C73">
              <w:rPr>
                <w:rFonts w:ascii="Calibri" w:hAnsi="Calibri"/>
                <w:sz w:val="20"/>
                <w:szCs w:val="20"/>
              </w:rPr>
              <w:t>UNDP Macedonia Country Office (Transboundary)</w:t>
            </w:r>
          </w:p>
        </w:tc>
        <w:tc>
          <w:tcPr>
            <w:tcW w:w="698" w:type="pct"/>
          </w:tcPr>
          <w:p w:rsidR="00CE61E0" w:rsidRPr="000A3C73" w:rsidRDefault="00CE61E0" w:rsidP="008C2C67">
            <w:pPr>
              <w:jc w:val="right"/>
              <w:rPr>
                <w:rFonts w:ascii="Calibri" w:eastAsia="Arial Unicode MS" w:hAnsi="Calibri"/>
                <w:color w:val="000000"/>
                <w:sz w:val="20"/>
                <w:szCs w:val="20"/>
              </w:rPr>
            </w:pPr>
            <w:r w:rsidRPr="000A3C73">
              <w:rPr>
                <w:rFonts w:ascii="Calibri" w:hAnsi="Calibri"/>
                <w:color w:val="000000"/>
                <w:sz w:val="20"/>
                <w:szCs w:val="20"/>
              </w:rPr>
              <w:t>Total Project Cost:</w:t>
            </w:r>
          </w:p>
        </w:tc>
        <w:tc>
          <w:tcPr>
            <w:tcW w:w="1077" w:type="pct"/>
            <w:gridSpan w:val="2"/>
            <w:vAlign w:val="center"/>
          </w:tcPr>
          <w:p w:rsidR="00CE61E0" w:rsidRPr="000A3C73" w:rsidRDefault="00D2144C" w:rsidP="0035009A">
            <w:pPr>
              <w:rPr>
                <w:rFonts w:ascii="Calibri" w:eastAsia="Arial Unicode MS" w:hAnsi="Calibri"/>
                <w:sz w:val="20"/>
                <w:szCs w:val="20"/>
              </w:rPr>
            </w:pPr>
            <w:r w:rsidRPr="000A3C73">
              <w:rPr>
                <w:rFonts w:ascii="Calibri" w:hAnsi="Calibri"/>
                <w:sz w:val="20"/>
                <w:szCs w:val="20"/>
              </w:rPr>
              <w:t xml:space="preserve">12.771 (not including </w:t>
            </w:r>
            <w:r w:rsidR="002761B3" w:rsidRPr="000A3C73">
              <w:rPr>
                <w:rFonts w:ascii="Calibri" w:hAnsi="Calibri"/>
                <w:sz w:val="20"/>
                <w:szCs w:val="20"/>
              </w:rPr>
              <w:t>0.406</w:t>
            </w:r>
            <w:r w:rsidRPr="000A3C73">
              <w:rPr>
                <w:rFonts w:ascii="Calibri" w:hAnsi="Calibri"/>
                <w:sz w:val="20"/>
                <w:szCs w:val="20"/>
              </w:rPr>
              <w:t xml:space="preserve"> in agency fees and .376 in PDF-B funding and indeterminate amount of PDF-B co-finance)</w:t>
            </w:r>
          </w:p>
        </w:tc>
        <w:tc>
          <w:tcPr>
            <w:tcW w:w="977" w:type="pct"/>
            <w:vAlign w:val="center"/>
          </w:tcPr>
          <w:p w:rsidR="00CE61E0" w:rsidRPr="000A3C73" w:rsidRDefault="00630DAD" w:rsidP="0035009A">
            <w:pPr>
              <w:rPr>
                <w:rFonts w:ascii="Calibri" w:eastAsia="Arial Unicode MS" w:hAnsi="Calibri"/>
                <w:sz w:val="20"/>
                <w:szCs w:val="20"/>
              </w:rPr>
            </w:pPr>
            <w:r w:rsidRPr="000A3C73">
              <w:rPr>
                <w:rFonts w:ascii="Calibri" w:hAnsi="Calibri"/>
                <w:sz w:val="20"/>
                <w:szCs w:val="20"/>
              </w:rPr>
              <w:t>11.485</w:t>
            </w:r>
            <w:r w:rsidR="002761B3" w:rsidRPr="000A3C73">
              <w:rPr>
                <w:rFonts w:ascii="Calibri" w:hAnsi="Calibri"/>
                <w:sz w:val="20"/>
                <w:szCs w:val="20"/>
              </w:rPr>
              <w:t xml:space="preserve"> (not including agency fees, or PDF-B financing or co-financing)</w:t>
            </w:r>
          </w:p>
        </w:tc>
      </w:tr>
      <w:tr w:rsidR="00AF0364" w:rsidRPr="000A3C73" w:rsidTr="00274CBA">
        <w:tblPrEx>
          <w:shd w:val="clear" w:color="auto" w:fill="auto"/>
        </w:tblPrEx>
        <w:trPr>
          <w:trHeight w:val="368"/>
        </w:trPr>
        <w:tc>
          <w:tcPr>
            <w:tcW w:w="813" w:type="pct"/>
            <w:vMerge w:val="restart"/>
          </w:tcPr>
          <w:p w:rsidR="00CE61E0" w:rsidRPr="000A3C73" w:rsidRDefault="00CE61E0" w:rsidP="008C2C67">
            <w:pPr>
              <w:jc w:val="right"/>
              <w:rPr>
                <w:rFonts w:ascii="Calibri" w:eastAsia="Arial Unicode MS" w:hAnsi="Calibri"/>
                <w:sz w:val="20"/>
                <w:szCs w:val="20"/>
              </w:rPr>
            </w:pPr>
            <w:r w:rsidRPr="000A3C73">
              <w:rPr>
                <w:rFonts w:ascii="Calibri" w:hAnsi="Calibri"/>
                <w:sz w:val="20"/>
                <w:szCs w:val="20"/>
              </w:rPr>
              <w:t>Other Partners involved:</w:t>
            </w:r>
          </w:p>
        </w:tc>
        <w:tc>
          <w:tcPr>
            <w:tcW w:w="1435" w:type="pct"/>
            <w:vMerge w:val="restart"/>
            <w:vAlign w:val="center"/>
          </w:tcPr>
          <w:p w:rsidR="00CE61E0" w:rsidRPr="000A3C73" w:rsidRDefault="00DB477B" w:rsidP="00DB477B">
            <w:pPr>
              <w:tabs>
                <w:tab w:val="right" w:pos="0"/>
              </w:tabs>
              <w:rPr>
                <w:rFonts w:ascii="Calibri" w:hAnsi="Calibri"/>
                <w:color w:val="000000"/>
                <w:sz w:val="20"/>
                <w:szCs w:val="20"/>
              </w:rPr>
            </w:pPr>
            <w:r w:rsidRPr="000A3C73">
              <w:rPr>
                <w:rFonts w:ascii="Calibri" w:hAnsi="Calibri"/>
                <w:sz w:val="20"/>
                <w:szCs w:val="20"/>
              </w:rPr>
              <w:t>Ministry of Environment Physical Planning and Public Works (Greece); Society for the Protection of Prespa (Greece); Municipality of Resen (Macedonia); Municipality of Prespa (Greece); Municipalities of Liqenas and Proger (Albania); various other stakeholders</w:t>
            </w:r>
          </w:p>
        </w:tc>
        <w:tc>
          <w:tcPr>
            <w:tcW w:w="1774" w:type="pct"/>
            <w:gridSpan w:val="3"/>
          </w:tcPr>
          <w:p w:rsidR="00CE61E0" w:rsidRPr="000A3C73" w:rsidRDefault="00CE61E0" w:rsidP="008C2C67">
            <w:pPr>
              <w:tabs>
                <w:tab w:val="right" w:pos="0"/>
              </w:tabs>
              <w:jc w:val="right"/>
              <w:rPr>
                <w:rFonts w:ascii="Calibri" w:hAnsi="Calibri"/>
                <w:sz w:val="20"/>
                <w:szCs w:val="20"/>
              </w:rPr>
            </w:pPr>
            <w:r w:rsidRPr="000A3C73">
              <w:rPr>
                <w:rFonts w:ascii="Calibri" w:hAnsi="Calibri"/>
                <w:color w:val="000000"/>
                <w:sz w:val="20"/>
                <w:szCs w:val="20"/>
              </w:rPr>
              <w:t xml:space="preserve">ProDoc Signature (date project began): </w:t>
            </w:r>
          </w:p>
        </w:tc>
        <w:tc>
          <w:tcPr>
            <w:tcW w:w="977" w:type="pct"/>
            <w:vAlign w:val="center"/>
          </w:tcPr>
          <w:p w:rsidR="00CE61E0" w:rsidRPr="000A3C73" w:rsidRDefault="00DB33E8" w:rsidP="00D558AD">
            <w:pPr>
              <w:tabs>
                <w:tab w:val="right" w:pos="0"/>
              </w:tabs>
              <w:rPr>
                <w:rFonts w:ascii="Calibri" w:hAnsi="Calibri"/>
                <w:sz w:val="20"/>
                <w:szCs w:val="20"/>
              </w:rPr>
            </w:pPr>
            <w:r w:rsidRPr="000A3C73">
              <w:rPr>
                <w:rFonts w:ascii="Calibri" w:hAnsi="Calibri"/>
                <w:sz w:val="20"/>
                <w:szCs w:val="20"/>
              </w:rPr>
              <w:t>April 17, 2006 (Macedonia</w:t>
            </w:r>
            <w:r w:rsidR="00D558AD" w:rsidRPr="000A3C73">
              <w:rPr>
                <w:rFonts w:ascii="Calibri" w:hAnsi="Calibri"/>
                <w:sz w:val="20"/>
                <w:szCs w:val="20"/>
              </w:rPr>
              <w:t xml:space="preserve"> and Transboundary</w:t>
            </w:r>
            <w:r w:rsidRPr="000A3C73">
              <w:rPr>
                <w:rFonts w:ascii="Calibri" w:hAnsi="Calibri"/>
                <w:sz w:val="20"/>
                <w:szCs w:val="20"/>
              </w:rPr>
              <w:t>), September 25, 2006 (Albania)</w:t>
            </w:r>
          </w:p>
        </w:tc>
      </w:tr>
      <w:tr w:rsidR="00AF0364" w:rsidRPr="000A3C73" w:rsidTr="00274CBA">
        <w:tblPrEx>
          <w:shd w:val="clear" w:color="auto" w:fill="auto"/>
        </w:tblPrEx>
        <w:trPr>
          <w:trHeight w:val="144"/>
        </w:trPr>
        <w:tc>
          <w:tcPr>
            <w:tcW w:w="813" w:type="pct"/>
            <w:vMerge/>
            <w:vAlign w:val="center"/>
          </w:tcPr>
          <w:p w:rsidR="00CE61E0" w:rsidRPr="000A3C73" w:rsidRDefault="00CE61E0" w:rsidP="008C2C67">
            <w:pPr>
              <w:rPr>
                <w:rFonts w:ascii="Calibri" w:eastAsia="Arial Unicode MS" w:hAnsi="Calibri"/>
                <w:sz w:val="20"/>
                <w:szCs w:val="20"/>
              </w:rPr>
            </w:pPr>
          </w:p>
        </w:tc>
        <w:tc>
          <w:tcPr>
            <w:tcW w:w="1435" w:type="pct"/>
            <w:vMerge/>
          </w:tcPr>
          <w:p w:rsidR="00CE61E0" w:rsidRPr="000A3C73" w:rsidRDefault="00CE61E0" w:rsidP="008C2C67">
            <w:pPr>
              <w:tabs>
                <w:tab w:val="right" w:pos="0"/>
              </w:tabs>
              <w:jc w:val="center"/>
              <w:rPr>
                <w:rFonts w:ascii="Calibri" w:hAnsi="Calibri"/>
                <w:sz w:val="20"/>
                <w:szCs w:val="20"/>
              </w:rPr>
            </w:pPr>
          </w:p>
        </w:tc>
        <w:tc>
          <w:tcPr>
            <w:tcW w:w="889" w:type="pct"/>
            <w:gridSpan w:val="2"/>
          </w:tcPr>
          <w:p w:rsidR="00CE61E0" w:rsidRPr="000A3C73" w:rsidRDefault="00CE61E0" w:rsidP="008C2C67">
            <w:pPr>
              <w:jc w:val="right"/>
              <w:rPr>
                <w:rFonts w:ascii="Calibri" w:eastAsia="Arial Unicode MS" w:hAnsi="Calibri"/>
                <w:color w:val="000000"/>
                <w:sz w:val="20"/>
                <w:szCs w:val="20"/>
              </w:rPr>
            </w:pPr>
            <w:r w:rsidRPr="000A3C73">
              <w:rPr>
                <w:rFonts w:ascii="Calibri" w:hAnsi="Calibri"/>
                <w:color w:val="000000"/>
                <w:sz w:val="20"/>
                <w:szCs w:val="20"/>
              </w:rPr>
              <w:t>(Operational) Closing Date:</w:t>
            </w:r>
          </w:p>
        </w:tc>
        <w:tc>
          <w:tcPr>
            <w:tcW w:w="886" w:type="pct"/>
          </w:tcPr>
          <w:p w:rsidR="00CE61E0" w:rsidRPr="000A3C73" w:rsidRDefault="00CE61E0" w:rsidP="008C2C67">
            <w:pPr>
              <w:tabs>
                <w:tab w:val="right" w:pos="0"/>
              </w:tabs>
              <w:rPr>
                <w:rFonts w:ascii="Calibri" w:hAnsi="Calibri"/>
                <w:color w:val="000000"/>
                <w:sz w:val="20"/>
                <w:szCs w:val="20"/>
              </w:rPr>
            </w:pPr>
            <w:r w:rsidRPr="000A3C73">
              <w:rPr>
                <w:rFonts w:ascii="Calibri" w:hAnsi="Calibri"/>
                <w:color w:val="000000"/>
                <w:sz w:val="20"/>
                <w:szCs w:val="20"/>
              </w:rPr>
              <w:t>Proposed:</w:t>
            </w:r>
          </w:p>
          <w:p w:rsidR="00CE61E0" w:rsidRPr="000A3C73" w:rsidRDefault="00D519AF" w:rsidP="008C2C67">
            <w:pPr>
              <w:tabs>
                <w:tab w:val="right" w:pos="0"/>
              </w:tabs>
              <w:rPr>
                <w:rFonts w:ascii="Calibri" w:hAnsi="Calibri"/>
                <w:color w:val="000000"/>
                <w:sz w:val="20"/>
                <w:szCs w:val="20"/>
              </w:rPr>
            </w:pPr>
            <w:r w:rsidRPr="000A3C73">
              <w:rPr>
                <w:rFonts w:ascii="Calibri" w:hAnsi="Calibri"/>
                <w:sz w:val="20"/>
                <w:szCs w:val="20"/>
              </w:rPr>
              <w:t>September</w:t>
            </w:r>
            <w:r w:rsidR="00DB33E8" w:rsidRPr="000A3C73">
              <w:rPr>
                <w:rFonts w:ascii="Calibri" w:hAnsi="Calibri"/>
                <w:sz w:val="20"/>
                <w:szCs w:val="20"/>
              </w:rPr>
              <w:t xml:space="preserve"> 2011</w:t>
            </w:r>
          </w:p>
        </w:tc>
        <w:tc>
          <w:tcPr>
            <w:tcW w:w="977" w:type="pct"/>
          </w:tcPr>
          <w:p w:rsidR="00CE61E0" w:rsidRPr="000A3C73" w:rsidRDefault="00CE61E0" w:rsidP="008C2C67">
            <w:pPr>
              <w:tabs>
                <w:tab w:val="right" w:pos="0"/>
              </w:tabs>
              <w:rPr>
                <w:rFonts w:ascii="Calibri" w:hAnsi="Calibri"/>
                <w:sz w:val="20"/>
                <w:szCs w:val="20"/>
              </w:rPr>
            </w:pPr>
            <w:r w:rsidRPr="000A3C73">
              <w:rPr>
                <w:rFonts w:ascii="Calibri" w:hAnsi="Calibri"/>
                <w:color w:val="000000"/>
                <w:sz w:val="20"/>
                <w:szCs w:val="20"/>
              </w:rPr>
              <w:t>Actual:</w:t>
            </w:r>
          </w:p>
          <w:p w:rsidR="00CE61E0" w:rsidRPr="000A3C73" w:rsidRDefault="00DB33E8" w:rsidP="008C2C67">
            <w:pPr>
              <w:tabs>
                <w:tab w:val="right" w:pos="0"/>
              </w:tabs>
              <w:rPr>
                <w:rFonts w:ascii="Calibri" w:hAnsi="Calibri"/>
                <w:color w:val="000000"/>
                <w:sz w:val="20"/>
                <w:szCs w:val="20"/>
              </w:rPr>
            </w:pPr>
            <w:r w:rsidRPr="000A3C73">
              <w:rPr>
                <w:rFonts w:ascii="Calibri" w:hAnsi="Calibri"/>
                <w:sz w:val="20"/>
                <w:szCs w:val="20"/>
              </w:rPr>
              <w:t>March 31, 2012 (Albania), June 30, 2012 (Macedonia, Transboundary)</w:t>
            </w:r>
          </w:p>
        </w:tc>
      </w:tr>
    </w:tbl>
    <w:p w:rsidR="00CE61E0" w:rsidRPr="000A3C73" w:rsidRDefault="00CE61E0" w:rsidP="00CE61E0">
      <w:pPr>
        <w:pStyle w:val="BodyText"/>
        <w:numPr>
          <w:ilvl w:val="0"/>
          <w:numId w:val="0"/>
        </w:numPr>
      </w:pPr>
    </w:p>
    <w:p w:rsidR="00036760" w:rsidRPr="00CD42DE" w:rsidRDefault="00036760" w:rsidP="00036760">
      <w:pPr>
        <w:pStyle w:val="BodyText"/>
      </w:pPr>
      <w:r w:rsidRPr="000A3C73">
        <w:t xml:space="preserve">The </w:t>
      </w:r>
      <w:r w:rsidR="006C758C" w:rsidRPr="000A3C73">
        <w:t xml:space="preserve">Prespa </w:t>
      </w:r>
      <w:r w:rsidR="00651359">
        <w:t>Integrated Ecosystem Management (</w:t>
      </w:r>
      <w:r w:rsidR="006C758C" w:rsidRPr="000A3C73">
        <w:t>IEM</w:t>
      </w:r>
      <w:r w:rsidR="00651359">
        <w:t>)</w:t>
      </w:r>
      <w:r w:rsidR="00D558AD" w:rsidRPr="000A3C73">
        <w:t xml:space="preserve"> </w:t>
      </w:r>
      <w:r w:rsidRPr="000A3C73">
        <w:t xml:space="preserve">project is classified as a </w:t>
      </w:r>
      <w:r w:rsidR="00257790" w:rsidRPr="000A3C73">
        <w:t xml:space="preserve">Global Environment Facility (GEF) </w:t>
      </w:r>
      <w:r w:rsidR="00233D1B" w:rsidRPr="000A3C73">
        <w:t>Full</w:t>
      </w:r>
      <w:r w:rsidR="00257790" w:rsidRPr="000A3C73">
        <w:t>-sized Project</w:t>
      </w:r>
      <w:r w:rsidR="00651359">
        <w:t xml:space="preserve"> </w:t>
      </w:r>
      <w:r w:rsidR="00257790" w:rsidRPr="000A3C73">
        <w:t>(</w:t>
      </w:r>
      <w:r w:rsidR="00233D1B" w:rsidRPr="000A3C73">
        <w:t>F</w:t>
      </w:r>
      <w:r w:rsidRPr="000A3C73">
        <w:t>SP</w:t>
      </w:r>
      <w:r w:rsidR="00257790" w:rsidRPr="000A3C73">
        <w:t>)</w:t>
      </w:r>
      <w:r w:rsidRPr="000A3C73">
        <w:t xml:space="preserve">, </w:t>
      </w:r>
      <w:r w:rsidR="00194ACD" w:rsidRPr="000A3C73">
        <w:t>with t</w:t>
      </w:r>
      <w:r w:rsidRPr="000A3C73">
        <w:t xml:space="preserve">otal </w:t>
      </w:r>
      <w:r w:rsidR="00BE4090" w:rsidRPr="000A3C73">
        <w:t xml:space="preserve">planned </w:t>
      </w:r>
      <w:r w:rsidRPr="000A3C73">
        <w:t xml:space="preserve">GEF support </w:t>
      </w:r>
      <w:r w:rsidR="00194ACD" w:rsidRPr="000A3C73">
        <w:t>of</w:t>
      </w:r>
      <w:r w:rsidR="00E82F2A" w:rsidRPr="000A3C73">
        <w:t xml:space="preserve"> </w:t>
      </w:r>
      <w:r w:rsidRPr="0089284E">
        <w:t>$</w:t>
      </w:r>
      <w:r w:rsidR="00233D1B" w:rsidRPr="0089284E">
        <w:t>4.14</w:t>
      </w:r>
      <w:r w:rsidRPr="0089284E">
        <w:t xml:space="preserve"> million</w:t>
      </w:r>
      <w:r w:rsidRPr="000A3C73">
        <w:t xml:space="preserve"> (not </w:t>
      </w:r>
      <w:r w:rsidRPr="00FC657B">
        <w:t xml:space="preserve">including </w:t>
      </w:r>
      <w:r w:rsidR="00A41332" w:rsidRPr="00FC657B">
        <w:t>$0.376</w:t>
      </w:r>
      <w:r w:rsidRPr="00FC657B">
        <w:t xml:space="preserve"> in</w:t>
      </w:r>
      <w:r w:rsidR="00651359">
        <w:t xml:space="preserve"> </w:t>
      </w:r>
      <w:r w:rsidR="00257790" w:rsidRPr="00D77DF1">
        <w:t>project development</w:t>
      </w:r>
      <w:r w:rsidRPr="00CD42DE">
        <w:t xml:space="preserve"> funding), and origin</w:t>
      </w:r>
      <w:r w:rsidR="00233D1B" w:rsidRPr="00CD42DE">
        <w:t xml:space="preserve">ally proposed co-financing is </w:t>
      </w:r>
      <w:r w:rsidR="00233D1B" w:rsidRPr="0089284E">
        <w:t>$8.64</w:t>
      </w:r>
      <w:r w:rsidRPr="000A3C73">
        <w:t xml:space="preserve"> million </w:t>
      </w:r>
      <w:r w:rsidR="007B5A4C" w:rsidRPr="00FC657B">
        <w:t>United States dollars (USD)</w:t>
      </w:r>
      <w:r w:rsidRPr="00FC657B">
        <w:t xml:space="preserve">, for a total </w:t>
      </w:r>
      <w:r w:rsidR="00BE4090" w:rsidRPr="00D77DF1">
        <w:t xml:space="preserve">planned </w:t>
      </w:r>
      <w:r w:rsidRPr="00CD42DE">
        <w:t xml:space="preserve">project budget of </w:t>
      </w:r>
      <w:r w:rsidRPr="0089284E">
        <w:t>$</w:t>
      </w:r>
      <w:r w:rsidR="00233D1B" w:rsidRPr="0089284E">
        <w:t>12.77</w:t>
      </w:r>
      <w:r w:rsidRPr="000A3C73">
        <w:t xml:space="preserve"> million USD. </w:t>
      </w:r>
      <w:r w:rsidR="00194ACD" w:rsidRPr="00FC657B">
        <w:t>The United Nations Development Programme (UNDP) is the GEF Agency, and t</w:t>
      </w:r>
      <w:r w:rsidRPr="00FC657B">
        <w:t xml:space="preserve">he project is executed </w:t>
      </w:r>
      <w:r w:rsidR="00BE4090" w:rsidRPr="00FC657B">
        <w:t xml:space="preserve">in three components, with the national Albania and Macedonia components </w:t>
      </w:r>
      <w:r w:rsidRPr="00D77DF1">
        <w:t>und</w:t>
      </w:r>
      <w:r w:rsidRPr="00CD42DE">
        <w:t xml:space="preserve">er UNDP’s </w:t>
      </w:r>
      <w:r w:rsidR="00BE4090" w:rsidRPr="00CD42DE">
        <w:t>National Execution (NEX) modality, and the transboundary component under the (DEX) modality.</w:t>
      </w:r>
    </w:p>
    <w:p w:rsidR="008117D7" w:rsidRPr="00FC657B" w:rsidRDefault="00036760" w:rsidP="008117D7">
      <w:pPr>
        <w:pStyle w:val="BodyText"/>
        <w:numPr>
          <w:ilvl w:val="0"/>
          <w:numId w:val="0"/>
        </w:numPr>
      </w:pPr>
      <w:r w:rsidRPr="00AA7D1F">
        <w:t xml:space="preserve">According to the project document, the overall project goal is </w:t>
      </w:r>
      <w:r w:rsidRPr="005E69C8">
        <w:rPr>
          <w:i/>
        </w:rPr>
        <w:t>“</w:t>
      </w:r>
      <w:r w:rsidR="0042661D" w:rsidRPr="0089284E">
        <w:rPr>
          <w:bCs/>
          <w:i/>
        </w:rPr>
        <w:t>The conservation and sustainable use of globally significant biological diversity and trans-boundary water resources of the Prespa lakes Basin</w:t>
      </w:r>
      <w:r w:rsidRPr="000A3C73">
        <w:rPr>
          <w:i/>
        </w:rPr>
        <w:t>.”</w:t>
      </w:r>
      <w:r w:rsidRPr="00FC657B">
        <w:t xml:space="preserve"> The project objective is </w:t>
      </w:r>
      <w:r w:rsidRPr="00FC657B">
        <w:rPr>
          <w:i/>
        </w:rPr>
        <w:t>“</w:t>
      </w:r>
      <w:r w:rsidR="0042661D" w:rsidRPr="0089284E">
        <w:rPr>
          <w:bCs/>
          <w:i/>
        </w:rPr>
        <w:t>To catalyse the adoption of integrated ecosystem management in the trans-boundary Prespa Lakes Basin of FYR-Macedonia, Albania, and Greece to conserve globally significant biodiversity, mitigate pollution of the trans-</w:t>
      </w:r>
      <w:r w:rsidR="0042661D" w:rsidRPr="0089284E">
        <w:rPr>
          <w:bCs/>
          <w:i/>
        </w:rPr>
        <w:lastRenderedPageBreak/>
        <w:t>boundary lakes, and provide a sustainable basis for the Basin’s further social and economic development.</w:t>
      </w:r>
      <w:r w:rsidRPr="000A3C73">
        <w:rPr>
          <w:bCs/>
          <w:i/>
        </w:rPr>
        <w:t>”</w:t>
      </w:r>
      <w:r w:rsidR="008117D7" w:rsidRPr="00FC657B">
        <w:rPr>
          <w:bCs/>
        </w:rPr>
        <w:t xml:space="preserve"> The project objective was to be achieve through five main outcomes:</w:t>
      </w:r>
    </w:p>
    <w:p w:rsidR="008117D7" w:rsidRPr="00CD42DE" w:rsidRDefault="008117D7" w:rsidP="008117D7">
      <w:pPr>
        <w:pStyle w:val="BodyText"/>
        <w:numPr>
          <w:ilvl w:val="0"/>
          <w:numId w:val="0"/>
        </w:numPr>
        <w:rPr>
          <w:b/>
          <w:u w:val="single"/>
        </w:rPr>
      </w:pPr>
      <w:r w:rsidRPr="00FC657B">
        <w:rPr>
          <w:b/>
          <w:u w:val="single"/>
        </w:rPr>
        <w:t>Outcome 1:</w:t>
      </w:r>
      <w:r w:rsidR="00EF0459">
        <w:rPr>
          <w:b/>
          <w:u w:val="single"/>
        </w:rPr>
        <w:t xml:space="preserve"> </w:t>
      </w:r>
      <w:r w:rsidRPr="00FC657B">
        <w:rPr>
          <w:bCs/>
        </w:rPr>
        <w:t>Stakeholders strengthe</w:t>
      </w:r>
      <w:r w:rsidRPr="00D77DF1">
        <w:rPr>
          <w:bCs/>
        </w:rPr>
        <w:t>n legal and regulatory enabling environment and establish land and water use management basis for maintaining and restoring ecosystem health in the Prespa Lakes Basin</w:t>
      </w:r>
    </w:p>
    <w:p w:rsidR="008117D7" w:rsidRPr="005E69C8" w:rsidRDefault="008117D7" w:rsidP="008117D7">
      <w:pPr>
        <w:pStyle w:val="BodyText"/>
        <w:numPr>
          <w:ilvl w:val="0"/>
          <w:numId w:val="0"/>
        </w:numPr>
        <w:rPr>
          <w:b/>
          <w:bCs/>
        </w:rPr>
      </w:pPr>
      <w:r w:rsidRPr="00CD42DE">
        <w:rPr>
          <w:b/>
          <w:u w:val="single"/>
        </w:rPr>
        <w:t>Outcome 2:</w:t>
      </w:r>
      <w:r w:rsidR="00EF0459">
        <w:rPr>
          <w:b/>
          <w:u w:val="single"/>
        </w:rPr>
        <w:t xml:space="preserve"> </w:t>
      </w:r>
      <w:r w:rsidRPr="00CD42DE">
        <w:rPr>
          <w:bCs/>
        </w:rPr>
        <w:t>Stakeholders modify productive sector resource management practices to reduce p</w:t>
      </w:r>
      <w:r w:rsidRPr="00AA7D1F">
        <w:rPr>
          <w:bCs/>
        </w:rPr>
        <w:t>esticide inputs, increase habitat heterogeneity, and improve the status of target species and communities within the national sectors of the Prespa Basin</w:t>
      </w:r>
    </w:p>
    <w:p w:rsidR="008117D7" w:rsidRPr="00B71D27" w:rsidRDefault="008117D7" w:rsidP="008117D7">
      <w:pPr>
        <w:pStyle w:val="BodyText"/>
        <w:numPr>
          <w:ilvl w:val="0"/>
          <w:numId w:val="0"/>
        </w:numPr>
        <w:rPr>
          <w:b/>
        </w:rPr>
      </w:pPr>
      <w:r w:rsidRPr="00850A96">
        <w:rPr>
          <w:b/>
          <w:u w:val="single"/>
        </w:rPr>
        <w:t xml:space="preserve">Outcome 3: </w:t>
      </w:r>
      <w:r w:rsidRPr="008B7E9A">
        <w:t>Stakeholders conserve priority biological diversity across the Prespa Basin and make key pr</w:t>
      </w:r>
      <w:r w:rsidRPr="000126EE">
        <w:t>otected areas in Prespa Basin (PNP, GNP, ENR, and PPA-GR) fully operational</w:t>
      </w:r>
    </w:p>
    <w:p w:rsidR="008117D7" w:rsidRPr="002A69B7" w:rsidRDefault="008117D7" w:rsidP="008117D7">
      <w:pPr>
        <w:pStyle w:val="BodyText"/>
        <w:numPr>
          <w:ilvl w:val="0"/>
          <w:numId w:val="0"/>
        </w:numPr>
      </w:pPr>
      <w:r w:rsidRPr="00595792">
        <w:rPr>
          <w:b/>
          <w:u w:val="single"/>
        </w:rPr>
        <w:t>Outcome 4:</w:t>
      </w:r>
      <w:r w:rsidR="00EF0459">
        <w:rPr>
          <w:b/>
          <w:u w:val="single"/>
        </w:rPr>
        <w:t xml:space="preserve"> </w:t>
      </w:r>
      <w:r w:rsidRPr="00602E30">
        <w:t>Stakeholders build upon ongoing trans-boundary cooperation in the Prespa Basin by strengthening the trans-boundary coordination mechanism and piloting trans-boundary cons</w:t>
      </w:r>
      <w:r w:rsidRPr="002A69B7">
        <w:t>ervation and water management</w:t>
      </w:r>
    </w:p>
    <w:p w:rsidR="008117D7" w:rsidRPr="002C744B" w:rsidRDefault="008117D7" w:rsidP="008117D7">
      <w:pPr>
        <w:pStyle w:val="BodyText"/>
        <w:numPr>
          <w:ilvl w:val="0"/>
          <w:numId w:val="0"/>
        </w:numPr>
      </w:pPr>
      <w:r w:rsidRPr="002C744B">
        <w:rPr>
          <w:b/>
          <w:u w:val="single"/>
        </w:rPr>
        <w:t>Outcome 5:</w:t>
      </w:r>
      <w:r w:rsidR="00EF0459">
        <w:rPr>
          <w:b/>
          <w:u w:val="single"/>
        </w:rPr>
        <w:t xml:space="preserve"> </w:t>
      </w:r>
      <w:r w:rsidRPr="002C744B">
        <w:t>Lessons learned and adaptive management of project</w:t>
      </w:r>
    </w:p>
    <w:p w:rsidR="008651A9" w:rsidRPr="000A3C73" w:rsidRDefault="008117D7" w:rsidP="008117D7">
      <w:pPr>
        <w:pStyle w:val="BodyText"/>
      </w:pPr>
      <w:r w:rsidRPr="00EE58B1">
        <w:rPr>
          <w:bCs/>
        </w:rPr>
        <w:t xml:space="preserve">Although the project is technically structured across five outcomes, in practice the project implementation arrangements, with three separate project </w:t>
      </w:r>
      <w:r w:rsidR="008651A9" w:rsidRPr="00C56966">
        <w:rPr>
          <w:bCs/>
        </w:rPr>
        <w:t>components (wit</w:t>
      </w:r>
      <w:r w:rsidR="008651A9" w:rsidRPr="002D3949">
        <w:rPr>
          <w:bCs/>
        </w:rPr>
        <w:t>h separate project management units, budgets, workplans, etc.)</w:t>
      </w:r>
      <w:r w:rsidRPr="000A3C73">
        <w:rPr>
          <w:bCs/>
        </w:rPr>
        <w:t xml:space="preserve"> meant that there were three individual sets of activities that were intended to contribute to the outcomes, rather than one set of activities for each outcome. Thus the project design represents a kind of 3x5 matrix intended to drive the project toward the overall objective. </w:t>
      </w:r>
      <w:r w:rsidRPr="000A3C73">
        <w:t xml:space="preserve">In addition, project activities were planned at local, regional, national and transboundary levels. </w:t>
      </w:r>
    </w:p>
    <w:p w:rsidR="00D44A82" w:rsidRPr="000A3C73" w:rsidRDefault="00C11235" w:rsidP="008117D7">
      <w:pPr>
        <w:pStyle w:val="BodyText"/>
      </w:pPr>
      <w:r w:rsidRPr="000A3C73">
        <w:t>According to GEF and UNDP evaluation policies, terminal evaluations are required practice for</w:t>
      </w:r>
      <w:r w:rsidR="008651A9" w:rsidRPr="000A3C73">
        <w:t xml:space="preserve"> GEF funded F</w:t>
      </w:r>
      <w:r w:rsidRPr="000A3C73">
        <w:t xml:space="preserve">SPs, and the terminal evaluation was a planned activity of the monitoring and evaluation plan of the </w:t>
      </w:r>
      <w:r w:rsidR="006C758C" w:rsidRPr="000A3C73">
        <w:t>Prespa IEM</w:t>
      </w:r>
      <w:r w:rsidRPr="000A3C73">
        <w:t xml:space="preserve"> project.</w:t>
      </w:r>
      <w:r w:rsidR="001054C9" w:rsidRPr="000A3C73">
        <w:t xml:space="preserve"> </w:t>
      </w:r>
      <w:r w:rsidR="002B0A40" w:rsidRPr="000A3C73">
        <w:rPr>
          <w:rFonts w:eastAsia="Cambria"/>
        </w:rPr>
        <w:t xml:space="preserve">This terminal evaluation reviews the actual performance and progress toward results of the project against the planned project activities and outputs, based on the standard evaluation criteria: relevance, efficiency, effectiveness, results and sustainability. The evaluation assesses project results based on expected outcomes and objectives, as well as any unanticipated results. The evaluation identifies relevant lessons for other similar projects in the future in </w:t>
      </w:r>
      <w:r w:rsidR="008651A9" w:rsidRPr="000A3C73">
        <w:rPr>
          <w:rFonts w:eastAsia="Cambria"/>
        </w:rPr>
        <w:t>the Prespa region</w:t>
      </w:r>
      <w:r w:rsidR="002B0A40" w:rsidRPr="000A3C73">
        <w:rPr>
          <w:rFonts w:eastAsia="Cambria"/>
        </w:rPr>
        <w:t xml:space="preserve"> and elsewhere, and provides recommendations as appropriate.</w:t>
      </w:r>
      <w:r w:rsidR="001054C9" w:rsidRPr="000A3C73">
        <w:rPr>
          <w:rFonts w:eastAsia="Cambria"/>
        </w:rPr>
        <w:t xml:space="preserve"> </w:t>
      </w:r>
      <w:r w:rsidR="002B0A40" w:rsidRPr="000A3C73">
        <w:rPr>
          <w:rFonts w:eastAsia="Cambria"/>
        </w:rPr>
        <w:t xml:space="preserve">The evaluation methodology was based on a participatory mixed-methods approach, which included three primary elements: a) a desk review of project documentation and other relevant documents; b) interviews with key project participants and stakeholders; and c) field visits to relevant project sites in </w:t>
      </w:r>
      <w:r w:rsidR="00992449" w:rsidRPr="000A3C73">
        <w:rPr>
          <w:rFonts w:eastAsia="Cambria"/>
        </w:rPr>
        <w:t>the Prespa region</w:t>
      </w:r>
      <w:r w:rsidR="002B0A40" w:rsidRPr="000A3C73">
        <w:rPr>
          <w:rFonts w:eastAsia="Cambria"/>
        </w:rPr>
        <w:t>. The evaluation is based on evaluative evidence from the start of project implementation (</w:t>
      </w:r>
      <w:r w:rsidR="00992449" w:rsidRPr="000A3C73">
        <w:rPr>
          <w:rFonts w:eastAsia="Cambria"/>
        </w:rPr>
        <w:t>2</w:t>
      </w:r>
      <w:r w:rsidR="00992449" w:rsidRPr="000A3C73">
        <w:rPr>
          <w:rFonts w:eastAsia="Cambria"/>
          <w:vertAlign w:val="superscript"/>
        </w:rPr>
        <w:t>nd</w:t>
      </w:r>
      <w:r w:rsidR="00992449" w:rsidRPr="000A3C73">
        <w:rPr>
          <w:rFonts w:eastAsia="Cambria"/>
        </w:rPr>
        <w:t xml:space="preserve"> quarter 2006</w:t>
      </w:r>
      <w:r w:rsidR="002B0A40" w:rsidRPr="000A3C73">
        <w:rPr>
          <w:rFonts w:eastAsia="Cambria"/>
        </w:rPr>
        <w:t xml:space="preserve">) through </w:t>
      </w:r>
      <w:r w:rsidR="00992449" w:rsidRPr="000A3C73">
        <w:rPr>
          <w:rFonts w:eastAsia="Cambria"/>
        </w:rPr>
        <w:t>July</w:t>
      </w:r>
      <w:r w:rsidR="002B0A40" w:rsidRPr="000A3C73">
        <w:rPr>
          <w:rFonts w:eastAsia="Cambria"/>
        </w:rPr>
        <w:t xml:space="preserve"> 2012 (with </w:t>
      </w:r>
      <w:r w:rsidR="00992449" w:rsidRPr="000A3C73">
        <w:rPr>
          <w:rFonts w:eastAsia="Cambria"/>
        </w:rPr>
        <w:t xml:space="preserve">project closure June 30, </w:t>
      </w:r>
      <w:r w:rsidR="002B0A40" w:rsidRPr="000A3C73">
        <w:rPr>
          <w:rFonts w:eastAsia="Cambria"/>
        </w:rPr>
        <w:t xml:space="preserve">2012). The desk review was begun in </w:t>
      </w:r>
      <w:r w:rsidR="00992449" w:rsidRPr="000A3C73">
        <w:rPr>
          <w:rFonts w:eastAsia="Cambria"/>
        </w:rPr>
        <w:t>May</w:t>
      </w:r>
      <w:r w:rsidR="002B0A40" w:rsidRPr="000A3C73">
        <w:rPr>
          <w:rFonts w:eastAsia="Cambria"/>
        </w:rPr>
        <w:t xml:space="preserve"> 2012, and the evaluation mission was carried out from </w:t>
      </w:r>
      <w:r w:rsidR="00992449" w:rsidRPr="000A3C73">
        <w:rPr>
          <w:rFonts w:eastAsia="Cambria"/>
        </w:rPr>
        <w:t>June</w:t>
      </w:r>
      <w:r w:rsidR="002B0A40" w:rsidRPr="000A3C73">
        <w:rPr>
          <w:rFonts w:eastAsia="Cambria"/>
        </w:rPr>
        <w:t xml:space="preserve"> 1</w:t>
      </w:r>
      <w:r w:rsidR="00992449" w:rsidRPr="000A3C73">
        <w:rPr>
          <w:rFonts w:eastAsia="Cambria"/>
        </w:rPr>
        <w:t>1</w:t>
      </w:r>
      <w:r w:rsidR="002B0A40" w:rsidRPr="000A3C73">
        <w:rPr>
          <w:rFonts w:eastAsia="Cambria"/>
        </w:rPr>
        <w:t xml:space="preserve"> –23, 2012.</w:t>
      </w:r>
    </w:p>
    <w:p w:rsidR="000740A5" w:rsidRPr="000A3C73" w:rsidRDefault="000740A5" w:rsidP="00C11235">
      <w:pPr>
        <w:pStyle w:val="BodyText"/>
      </w:pPr>
      <w:r w:rsidRPr="000A3C73">
        <w:t xml:space="preserve">The challenge for this evaluation in providing ratings on the Prespa IEM project is that there were three distinct components of one overall project. The three components were executed nearly as stand-alone projects. Yet, GEF and UNDP evaluation procedures require one rating – the project was conceived, developed, and approved, and funded as one project. While an overall project rating is provided for each of the required elements below and in the following ratings table, a rating is also given (where relevant) to each of the three components. </w:t>
      </w:r>
      <w:r w:rsidRPr="000A3C73">
        <w:lastRenderedPageBreak/>
        <w:t>This is in the interest of providing transparency for the overall rating, and recognizing the distinctions between the components, as appropriate.</w:t>
      </w:r>
    </w:p>
    <w:p w:rsidR="008D2E2F" w:rsidRPr="000A3C73" w:rsidRDefault="003C252B" w:rsidP="00C11235">
      <w:pPr>
        <w:pStyle w:val="BodyText"/>
      </w:pPr>
      <w:r w:rsidRPr="000A3C73">
        <w:rPr>
          <w:rFonts w:eastAsia="Cambria"/>
        </w:rPr>
        <w:t>Although the overall objective is not yet achieved (which is highly dependent on the transboundary aspect), under each of the project components broad and significant results were produced to support the achievement of the expected outcomes.</w:t>
      </w:r>
      <w:r w:rsidR="000740A5" w:rsidRPr="000A3C73">
        <w:rPr>
          <w:rFonts w:eastAsia="Cambria"/>
        </w:rPr>
        <w:t xml:space="preserve"> The Albania and Macedonia national components successfully achieved a majority of expected results. The trilateral agreement between the littoral states reached on February 2, 2010 was a landmark achievement toward legally binding transboundary management of the Prespa region. Unfortunately, little has happened since that time, and the ironic and unfortunate situation is that at the end of the project there is less active cooperation on transboundary management between the three countries than there was at the beginning of the project. This is primarily due to political and global economic circumstances, though multiple project-specific factors have contributed to a less than fully satisfactory outcome.</w:t>
      </w:r>
      <w:r w:rsidR="00EC2FC7" w:rsidRPr="000A3C73">
        <w:rPr>
          <w:rFonts w:eastAsia="Cambria"/>
        </w:rPr>
        <w:t xml:space="preserve"> </w:t>
      </w:r>
      <w:r w:rsidR="00461C58" w:rsidRPr="000A3C73">
        <w:rPr>
          <w:rFonts w:eastAsia="Cambria"/>
        </w:rPr>
        <w:t xml:space="preserve">The project’s </w:t>
      </w:r>
      <w:r w:rsidR="00461C58" w:rsidRPr="000A3C73">
        <w:rPr>
          <w:rFonts w:eastAsia="Cambria"/>
          <w:b/>
        </w:rPr>
        <w:t>Overall Achievement and Impact</w:t>
      </w:r>
      <w:r w:rsidR="00461C58" w:rsidRPr="000A3C73">
        <w:rPr>
          <w:rFonts w:eastAsia="Cambria"/>
        </w:rPr>
        <w:t xml:space="preserve"> is rated </w:t>
      </w:r>
      <w:r w:rsidR="007D3A28" w:rsidRPr="000A3C73">
        <w:rPr>
          <w:rFonts w:eastAsia="Cambria"/>
          <w:b/>
          <w:i/>
          <w:u w:val="single"/>
        </w:rPr>
        <w:t>moderately s</w:t>
      </w:r>
      <w:r w:rsidR="00461C58" w:rsidRPr="000A3C73">
        <w:rPr>
          <w:rFonts w:eastAsia="Cambria"/>
          <w:b/>
          <w:i/>
          <w:u w:val="single"/>
        </w:rPr>
        <w:t>atisfactory</w:t>
      </w:r>
      <w:r w:rsidR="00461C58" w:rsidRPr="000A3C73">
        <w:rPr>
          <w:rFonts w:eastAsia="Cambria"/>
        </w:rPr>
        <w:t xml:space="preserve">. </w:t>
      </w:r>
    </w:p>
    <w:p w:rsidR="00974AA6" w:rsidRPr="000A3C73" w:rsidRDefault="003C252B" w:rsidP="00C11235">
      <w:pPr>
        <w:pStyle w:val="BodyText"/>
      </w:pPr>
      <w:r w:rsidRPr="000A3C73">
        <w:rPr>
          <w:rFonts w:eastAsia="Cambria"/>
        </w:rPr>
        <w:t>The rating for p</w:t>
      </w:r>
      <w:r w:rsidR="00974AA6" w:rsidRPr="000A3C73">
        <w:rPr>
          <w:rFonts w:eastAsia="Cambria"/>
        </w:rPr>
        <w:t xml:space="preserve">roject </w:t>
      </w:r>
      <w:r w:rsidR="00974AA6" w:rsidRPr="000A3C73">
        <w:rPr>
          <w:rFonts w:eastAsia="Cambria"/>
          <w:b/>
        </w:rPr>
        <w:t>relevance</w:t>
      </w:r>
      <w:r w:rsidR="00974AA6" w:rsidRPr="000A3C73">
        <w:rPr>
          <w:rFonts w:eastAsia="Cambria"/>
        </w:rPr>
        <w:t xml:space="preserve"> is considered </w:t>
      </w:r>
      <w:r w:rsidRPr="000A3C73">
        <w:rPr>
          <w:rFonts w:eastAsia="Cambria"/>
          <w:b/>
          <w:i/>
          <w:u w:val="single"/>
        </w:rPr>
        <w:t>relevant</w:t>
      </w:r>
      <w:r w:rsidR="00974AA6" w:rsidRPr="000A3C73">
        <w:rPr>
          <w:rFonts w:eastAsia="Cambria"/>
        </w:rPr>
        <w:t xml:space="preserve">. </w:t>
      </w:r>
    </w:p>
    <w:p w:rsidR="000D21E3" w:rsidRPr="000A3C73" w:rsidRDefault="000D21E3" w:rsidP="00C11235">
      <w:pPr>
        <w:pStyle w:val="BodyText"/>
      </w:pPr>
      <w:r w:rsidRPr="000A3C73">
        <w:rPr>
          <w:rFonts w:eastAsia="Cambria"/>
        </w:rPr>
        <w:t xml:space="preserve">Based on all aspects of project implementation and financial management, project </w:t>
      </w:r>
      <w:r w:rsidRPr="000A3C73">
        <w:rPr>
          <w:rFonts w:eastAsia="Cambria"/>
          <w:b/>
        </w:rPr>
        <w:t>efficiency</w:t>
      </w:r>
      <w:r w:rsidRPr="000A3C73">
        <w:rPr>
          <w:rFonts w:eastAsia="Cambria"/>
        </w:rPr>
        <w:t xml:space="preserve"> is rated </w:t>
      </w:r>
      <w:r w:rsidR="003C252B" w:rsidRPr="000A3C73">
        <w:rPr>
          <w:rFonts w:eastAsia="Cambria"/>
          <w:b/>
          <w:i/>
          <w:u w:val="single"/>
        </w:rPr>
        <w:t>moderately</w:t>
      </w:r>
      <w:r w:rsidRPr="000A3C73">
        <w:rPr>
          <w:rFonts w:eastAsia="Cambria"/>
          <w:b/>
          <w:i/>
          <w:u w:val="single"/>
        </w:rPr>
        <w:t xml:space="preserve"> satisfactory</w:t>
      </w:r>
      <w:r w:rsidRPr="000A3C73">
        <w:rPr>
          <w:rFonts w:eastAsia="Cambria"/>
        </w:rPr>
        <w:t xml:space="preserve">. </w:t>
      </w:r>
      <w:r w:rsidR="003C252B" w:rsidRPr="000A3C73">
        <w:rPr>
          <w:rFonts w:eastAsia="Cambria"/>
        </w:rPr>
        <w:t>Initial delays, staff turnover, and various other issues have contributed to decreased efficiency of the transboundary component, which has been balanced somewhat by the national components. The cost-effectiveness of some results is also strongly linked to sustainability, i.e. whether many of the plans and outputs produced will be applied and implemented.</w:t>
      </w:r>
    </w:p>
    <w:p w:rsidR="00B21962" w:rsidRPr="000A3C73" w:rsidRDefault="00EF2EDD" w:rsidP="00C11235">
      <w:pPr>
        <w:pStyle w:val="BodyText"/>
      </w:pPr>
      <w:r w:rsidRPr="000A3C73">
        <w:rPr>
          <w:rFonts w:eastAsia="Cambria"/>
        </w:rPr>
        <w:t xml:space="preserve">Project </w:t>
      </w:r>
      <w:r w:rsidRPr="000A3C73">
        <w:rPr>
          <w:rFonts w:eastAsia="Cambria"/>
          <w:b/>
        </w:rPr>
        <w:t>effectiveness</w:t>
      </w:r>
      <w:r w:rsidRPr="000A3C73">
        <w:rPr>
          <w:rFonts w:eastAsia="Cambria"/>
        </w:rPr>
        <w:t xml:space="preserve"> is considered </w:t>
      </w:r>
      <w:r w:rsidR="003C252B" w:rsidRPr="000A3C73">
        <w:rPr>
          <w:rFonts w:eastAsia="Cambria"/>
          <w:b/>
          <w:i/>
          <w:u w:val="single"/>
        </w:rPr>
        <w:t>moderately</w:t>
      </w:r>
      <w:r w:rsidRPr="000A3C73">
        <w:rPr>
          <w:rFonts w:eastAsia="Cambria"/>
          <w:b/>
          <w:i/>
          <w:u w:val="single"/>
        </w:rPr>
        <w:t xml:space="preserve"> satisfactory</w:t>
      </w:r>
      <w:r w:rsidRPr="000A3C73">
        <w:rPr>
          <w:rFonts w:eastAsia="Cambria"/>
        </w:rPr>
        <w:t xml:space="preserve">. </w:t>
      </w:r>
    </w:p>
    <w:p w:rsidR="001017D6" w:rsidRPr="000A3C73" w:rsidRDefault="00851B63" w:rsidP="007B5A4C">
      <w:pPr>
        <w:pStyle w:val="BodyText"/>
      </w:pPr>
      <w:r w:rsidRPr="000A3C73">
        <w:t>O</w:t>
      </w:r>
      <w:r w:rsidR="00A04732" w:rsidRPr="000A3C73">
        <w:t xml:space="preserve">verall </w:t>
      </w:r>
      <w:r w:rsidR="00A04732" w:rsidRPr="000A3C73">
        <w:rPr>
          <w:b/>
        </w:rPr>
        <w:t>sustainability</w:t>
      </w:r>
      <w:r w:rsidR="00A04732" w:rsidRPr="000A3C73">
        <w:t xml:space="preserve"> is considered </w:t>
      </w:r>
      <w:r w:rsidR="00A04732" w:rsidRPr="000A3C73">
        <w:rPr>
          <w:b/>
          <w:i/>
          <w:u w:val="single"/>
        </w:rPr>
        <w:t>moderately likely</w:t>
      </w:r>
      <w:r w:rsidR="00A04732" w:rsidRPr="000A3C73">
        <w:t xml:space="preserve">. </w:t>
      </w:r>
    </w:p>
    <w:p w:rsidR="008B7528" w:rsidRPr="00FC657B" w:rsidRDefault="008A3F16" w:rsidP="000F5CAC">
      <w:pPr>
        <w:pStyle w:val="BodyText"/>
      </w:pPr>
      <w:r w:rsidRPr="000A3C73">
        <w:t>The following</w:t>
      </w:r>
      <w:r w:rsidR="00B24D55" w:rsidRPr="000A3C73">
        <w:t xml:space="preserve"> are the recommendations of this evalu</w:t>
      </w:r>
      <w:r w:rsidRPr="000A3C73">
        <w:t>ation report.</w:t>
      </w:r>
      <w:r w:rsidR="00394DA9" w:rsidRPr="000A3C73">
        <w:t xml:space="preserve"> Key lessons are also documented in the final section of the evaluation report</w:t>
      </w:r>
      <w:r w:rsidR="00394DA9" w:rsidRPr="00FC657B">
        <w:t xml:space="preserve">. </w:t>
      </w:r>
    </w:p>
    <w:p w:rsidR="000740A5" w:rsidRPr="00CD42DE" w:rsidRDefault="000740A5" w:rsidP="000740A5">
      <w:pPr>
        <w:pStyle w:val="BodyText"/>
        <w:rPr>
          <w:i/>
        </w:rPr>
      </w:pPr>
      <w:r w:rsidRPr="00FC657B">
        <w:rPr>
          <w:b/>
          <w:i/>
          <w:u w:val="single"/>
        </w:rPr>
        <w:t>Recommenda</w:t>
      </w:r>
      <w:r w:rsidRPr="00D77DF1">
        <w:rPr>
          <w:b/>
          <w:i/>
          <w:u w:val="single"/>
        </w:rPr>
        <w:t>tion 1</w:t>
      </w:r>
      <w:r w:rsidRPr="00FC657B">
        <w:rPr>
          <w:b/>
          <w:i/>
          <w:u w:val="single"/>
        </w:rPr>
        <w:t>:</w:t>
      </w:r>
      <w:r w:rsidR="00EF0459">
        <w:rPr>
          <w:b/>
          <w:i/>
          <w:u w:val="single"/>
        </w:rPr>
        <w:t xml:space="preserve"> </w:t>
      </w:r>
      <w:r w:rsidRPr="00FC657B">
        <w:t xml:space="preserve">The most urgent and significant recommendation that this evaluation can provide is that the three littoral states work together to find the political will and funding pathways to actively continue transboundary ecosystem management in the Prespa basin. Immediate priorities are the re-activation of the PPCC (in the present form of the PPMC under the 2010 agreement), implementation of the regional environmental monitoring program developed under the project, implementation of the species and habitat </w:t>
      </w:r>
      <w:r w:rsidRPr="00D77DF1">
        <w:t>conservation plans, implementation of the transboundary fisheries management plan, and implementation of the transboundary tourism strategy. [Government of Albania, Government of Greece, Government of FYR of Macedonia]</w:t>
      </w:r>
    </w:p>
    <w:p w:rsidR="000740A5" w:rsidRPr="00CD42DE" w:rsidRDefault="000740A5" w:rsidP="000740A5">
      <w:pPr>
        <w:pStyle w:val="BodyText"/>
      </w:pPr>
      <w:r w:rsidRPr="00CD42DE">
        <w:rPr>
          <w:b/>
          <w:i/>
          <w:u w:val="single"/>
        </w:rPr>
        <w:t>Recommendation 2</w:t>
      </w:r>
      <w:r w:rsidRPr="00FC657B">
        <w:rPr>
          <w:b/>
          <w:i/>
          <w:u w:val="single"/>
        </w:rPr>
        <w:t>:</w:t>
      </w:r>
      <w:r w:rsidRPr="00FC657B">
        <w:t xml:space="preserve">Although there is </w:t>
      </w:r>
      <w:r w:rsidR="00C93195" w:rsidRPr="00D77DF1">
        <w:t>as of June 2012</w:t>
      </w:r>
      <w:r w:rsidRPr="00CD42DE">
        <w:t xml:space="preserve"> no financing of transboundary activities in the region, the stakeholders involved in national activities ongoing in Albania (with KfW support), in Macedonia (with SDC support) and Greece (as supported by SPP, local government in Greek Prespa, and the Greek national government), should actively seek to communicate and collaborate on issues of common concern, building on the professional networks developed during the Prespa IEM project. [Prespa National Park – Albania, Municipality of Resen, SPP, Prespa National Park – Greece]</w:t>
      </w:r>
    </w:p>
    <w:p w:rsidR="000740A5" w:rsidRPr="00850A96" w:rsidRDefault="000740A5" w:rsidP="000740A5">
      <w:pPr>
        <w:pStyle w:val="BodyText"/>
      </w:pPr>
      <w:r w:rsidRPr="00AA7D1F">
        <w:rPr>
          <w:b/>
          <w:i/>
          <w:u w:val="single"/>
        </w:rPr>
        <w:lastRenderedPageBreak/>
        <w:t>Recommendation 3:</w:t>
      </w:r>
      <w:r w:rsidR="00EF0459">
        <w:rPr>
          <w:b/>
          <w:i/>
          <w:u w:val="single"/>
        </w:rPr>
        <w:t xml:space="preserve"> </w:t>
      </w:r>
      <w:r w:rsidRPr="005E69C8">
        <w:t>The Prespa IEM project resulted in a large number of positive and negative lessons. Other initiatives in the region, particularly the Drin Dialogue initiative currently being developed for possi</w:t>
      </w:r>
      <w:r w:rsidRPr="00850A96">
        <w:t>ble future GEF funding, should carefully heed these lessons, and ensure appropriate adjustments are made to future plans in the region. UNDP, as a GEF Agency, should pay particular attention to the incorporation of the lessons from the Prespa IEM project. [UNDP, Drin Dialogue partners)</w:t>
      </w:r>
    </w:p>
    <w:p w:rsidR="000740A5" w:rsidRPr="00602E30" w:rsidRDefault="000740A5" w:rsidP="000740A5">
      <w:pPr>
        <w:pStyle w:val="BodyText"/>
      </w:pPr>
      <w:r w:rsidRPr="008B7E9A">
        <w:rPr>
          <w:b/>
          <w:i/>
          <w:u w:val="single"/>
        </w:rPr>
        <w:t>Recommendation 4:</w:t>
      </w:r>
      <w:r w:rsidRPr="000126EE">
        <w:t xml:space="preserve"> There remains a need in the region for significant investment in capacity development related to technical aspects of environmental management, such as environmental monitoring. This is particularly importan</w:t>
      </w:r>
      <w:r w:rsidRPr="00B71D27">
        <w:t>t for the staff and authorities of protected areas that are responsible for land, water, and biodiversity conservation in significant portions of the Prespa basin, which are also the most environmentally intact areas of the watershed. However, numerous oth</w:t>
      </w:r>
      <w:r w:rsidRPr="00595792">
        <w:t>er organizations would continue to benefit from capacity development, such as the Macedonian Prespa Watershed Management Council, the resource users associations (e.g. fishermen’s associations), etc. In many cases, securing effective environmental manageme</w:t>
      </w:r>
      <w:r w:rsidRPr="00602E30">
        <w:t>nt is not simply a matter of policy and behavior changes; it requires significant technical knowledge and skills to implement, which are still currently underdeveloped in the Prespa region. [UNDP, SDC, KfW, GEF, international donor community]</w:t>
      </w:r>
    </w:p>
    <w:p w:rsidR="000740A5" w:rsidRPr="00EE58B1" w:rsidRDefault="000740A5" w:rsidP="000740A5">
      <w:pPr>
        <w:pStyle w:val="BodyText"/>
      </w:pPr>
      <w:r w:rsidRPr="002A69B7">
        <w:rPr>
          <w:b/>
          <w:i/>
          <w:u w:val="single"/>
        </w:rPr>
        <w:t>Recommendatio</w:t>
      </w:r>
      <w:r w:rsidRPr="002C744B">
        <w:rPr>
          <w:b/>
          <w:i/>
          <w:u w:val="single"/>
        </w:rPr>
        <w:t>n 5:</w:t>
      </w:r>
      <w:r w:rsidR="00EF0459">
        <w:rPr>
          <w:b/>
          <w:i/>
          <w:u w:val="single"/>
        </w:rPr>
        <w:t xml:space="preserve"> </w:t>
      </w:r>
      <w:r w:rsidRPr="002C744B">
        <w:t>In Albania there is a need for further reform of the protected area system, to take steps, for example, to make protected area administrations independent legal entities. As a major funder of protected areas globally, the GEF may be in a position to su</w:t>
      </w:r>
      <w:r w:rsidRPr="00EE58B1">
        <w:t>pport the Government of Albania to move in this direction over the medium-term. [UNDP, GEF Secretariat]</w:t>
      </w:r>
    </w:p>
    <w:p w:rsidR="000740A5" w:rsidRPr="000A3C73" w:rsidRDefault="000740A5" w:rsidP="000740A5">
      <w:pPr>
        <w:pStyle w:val="BodyText"/>
      </w:pPr>
      <w:r w:rsidRPr="00C56966">
        <w:rPr>
          <w:b/>
          <w:i/>
          <w:u w:val="single"/>
        </w:rPr>
        <w:t>Recommendation 6:</w:t>
      </w:r>
      <w:r w:rsidR="00EF0459">
        <w:rPr>
          <w:b/>
          <w:i/>
          <w:u w:val="single"/>
        </w:rPr>
        <w:t xml:space="preserve"> </w:t>
      </w:r>
      <w:r w:rsidRPr="002D3949">
        <w:t xml:space="preserve">The environmental education curriculum is under development in both Albania and Macedonia, and stakeholders working on this issue from </w:t>
      </w:r>
      <w:r w:rsidRPr="000A3C73">
        <w:t>both countries have been involved in the Prespa IEM project. There is an opportunity to use the experience of integrated ecosystem management in the transboundary Prespa basin as an input and example for development of the environmental education curriculum (particularly for application in the region) and the local Albanian and Prespa stakeholders, as well as the responsible central government authorities from both countries should work together on this issue. [local Albania and Macedonia Prespa stakeholders, education authorities in Albania and Macedonia]</w:t>
      </w:r>
    </w:p>
    <w:p w:rsidR="000740A5" w:rsidRPr="000A3C73" w:rsidRDefault="000740A5" w:rsidP="000740A5">
      <w:pPr>
        <w:pStyle w:val="BodyText"/>
      </w:pPr>
      <w:r w:rsidRPr="000A3C73">
        <w:rPr>
          <w:b/>
          <w:i/>
          <w:u w:val="single"/>
        </w:rPr>
        <w:t>Recommendation 7:</w:t>
      </w:r>
      <w:r w:rsidR="00EF0459">
        <w:rPr>
          <w:b/>
          <w:i/>
          <w:u w:val="single"/>
        </w:rPr>
        <w:t xml:space="preserve"> </w:t>
      </w:r>
      <w:r w:rsidRPr="000A3C73">
        <w:t xml:space="preserve">To further sustainably develop production landscapes in the Prespa basin (i.e. orchards, croplands, grazing lands) the Prespa stakeholders should prioritize the diversification of agricultural production, especially with respect to the apple orchards in Macedonian Prespa. Additional development of the agricultural sector in an environmentally responsible manner should include further exploration of organic production. To support this, the municipality of Resen, in partnership with the Ministry of Agriculture, could consider establishing a few hectares of organic orchards as a pilot activity to test factors such as yields relative to inputs, and the cost-effectiveness of organic production methods. Numerous technical factors would have to be considered – for example locating organic test plots in areas where they would not inadvertently benefit from pesticides applied to nearby conventional orchards. Nonetheless, taking some initial steps to further develop the organic market could help catalyze a long-term shift to environmentally sustainable production in the region. Other approaches could include sponsoring a visit by representatives of the farmer’s association to </w:t>
      </w:r>
      <w:r w:rsidRPr="000A3C73">
        <w:lastRenderedPageBreak/>
        <w:t>organic apple orchards in other countries in the region, and conducting a market feasibility study for organic production in the region. [UNDP-SDC Macedonia project team, municipality of Resen, Macedonia Ministry of Agriculture]</w:t>
      </w:r>
    </w:p>
    <w:p w:rsidR="000740A5" w:rsidRPr="000A3C73" w:rsidRDefault="000740A5" w:rsidP="000740A5">
      <w:pPr>
        <w:pStyle w:val="BodyText"/>
      </w:pPr>
      <w:r w:rsidRPr="000A3C73">
        <w:rPr>
          <w:b/>
          <w:i/>
          <w:u w:val="single"/>
        </w:rPr>
        <w:t>Recommendation 8:</w:t>
      </w:r>
      <w:r w:rsidRPr="000A3C73">
        <w:t>To further develop local level education and awareness activities in all three countries, while also increasing the availability of environmental monitoring data, stakeholders should work to institute a community-based water-monitoring program (e.g. waterkeeper programs, adopt-a-stream, etc.). Such programs are applied in many contexts around the world, and can contribute to a cost-effective environmental monitoring system.  Such programs also help increase community awareness and can be integrated with environmental education programs. [UNDP-SDC Macedonia project team, municipality of Resen]</w:t>
      </w:r>
    </w:p>
    <w:p w:rsidR="000740A5" w:rsidRPr="000A3C73" w:rsidRDefault="000740A5" w:rsidP="000740A5">
      <w:pPr>
        <w:pStyle w:val="BodyText"/>
      </w:pPr>
      <w:r w:rsidRPr="000A3C73">
        <w:rPr>
          <w:b/>
          <w:i/>
          <w:u w:val="single"/>
        </w:rPr>
        <w:t>Recommendation 9:</w:t>
      </w:r>
      <w:r w:rsidRPr="000A3C73">
        <w:t>The agricultural waste management practices in Macedonia initiated under the project have shown promise, but require additional resources for further implementation, institutionalization, and scaling up in the basin. The municipality of Resen and all other relevant stakeholders should prioritize support and seek additional financing for continuing and expanding agricultural waste management activities. [UNDP-SDC Macedonia project team, municipality of Resen, Macedonia government relevant authorities]</w:t>
      </w:r>
    </w:p>
    <w:p w:rsidR="005256AA" w:rsidRPr="000A3C73" w:rsidRDefault="005256AA" w:rsidP="005256AA">
      <w:pPr>
        <w:pStyle w:val="BodyText"/>
        <w:numPr>
          <w:ilvl w:val="0"/>
          <w:numId w:val="0"/>
        </w:numPr>
      </w:pPr>
    </w:p>
    <w:p w:rsidR="009E1153" w:rsidRPr="000A3C73" w:rsidRDefault="009E1153" w:rsidP="009E1153">
      <w:pPr>
        <w:pStyle w:val="BodyText"/>
      </w:pPr>
      <w:r w:rsidRPr="000A3C73">
        <w:t xml:space="preserve">The summary ratings table below includes the ratings for the main evaluation criteria, and for the GEF operational principles that are included in the required ratings table. A more extensive ratings table, with all UNDP-required ratings and brief explanations is included at the end of this evaluation report. </w:t>
      </w:r>
    </w:p>
    <w:p w:rsidR="009E1153" w:rsidRPr="000A3C73" w:rsidRDefault="009E1153" w:rsidP="009E1153">
      <w:pPr>
        <w:pStyle w:val="BodyText"/>
        <w:numPr>
          <w:ilvl w:val="0"/>
          <w:numId w:val="0"/>
        </w:numPr>
      </w:pPr>
      <w:r w:rsidRPr="000A3C73">
        <w:rPr>
          <w:b/>
        </w:rPr>
        <w:t xml:space="preserve">Prespa </w:t>
      </w:r>
      <w:r w:rsidR="00AB5820" w:rsidRPr="000A3C73">
        <w:rPr>
          <w:b/>
        </w:rPr>
        <w:t xml:space="preserve">IEM </w:t>
      </w:r>
      <w:r w:rsidRPr="000A3C73">
        <w:rPr>
          <w:b/>
        </w:rPr>
        <w:t>Project Terminal Evaluation Rating Summary</w:t>
      </w:r>
    </w:p>
    <w:tbl>
      <w:tblPr>
        <w:tblpPr w:leftFromText="187" w:rightFromText="187" w:vertAnchor="text" w:horzAnchor="margin" w:tblpY="1"/>
        <w:tblOverlap w:val="neve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38"/>
        <w:gridCol w:w="900"/>
        <w:gridCol w:w="540"/>
        <w:gridCol w:w="540"/>
        <w:gridCol w:w="540"/>
      </w:tblGrid>
      <w:tr w:rsidR="00ED4EC7" w:rsidRPr="000A3C73" w:rsidTr="00ED4EC7">
        <w:trPr>
          <w:cantSplit/>
          <w:trHeight w:val="74"/>
          <w:tblHeader/>
        </w:trPr>
        <w:tc>
          <w:tcPr>
            <w:tcW w:w="7038" w:type="dxa"/>
            <w:shd w:val="clear" w:color="auto" w:fill="000000" w:themeFill="text1"/>
          </w:tcPr>
          <w:p w:rsidR="00ED4EC7" w:rsidRPr="000A3C73" w:rsidRDefault="00ED4EC7" w:rsidP="00ED4EC7">
            <w:pPr>
              <w:pStyle w:val="Caption"/>
              <w:spacing w:after="0"/>
              <w:jc w:val="right"/>
              <w:rPr>
                <w:sz w:val="20"/>
              </w:rPr>
            </w:pPr>
            <w:r w:rsidRPr="000A3C73">
              <w:rPr>
                <w:sz w:val="20"/>
              </w:rPr>
              <w:t xml:space="preserve">Project Components </w:t>
            </w:r>
          </w:p>
        </w:tc>
        <w:tc>
          <w:tcPr>
            <w:tcW w:w="900" w:type="dxa"/>
            <w:shd w:val="clear" w:color="auto" w:fill="000000" w:themeFill="text1"/>
          </w:tcPr>
          <w:p w:rsidR="00ED4EC7" w:rsidRPr="000A3C73" w:rsidRDefault="00ED4EC7" w:rsidP="00ED4EC7">
            <w:pPr>
              <w:pStyle w:val="Caption"/>
              <w:spacing w:after="0"/>
              <w:jc w:val="center"/>
              <w:rPr>
                <w:sz w:val="20"/>
              </w:rPr>
            </w:pPr>
            <w:r w:rsidRPr="000A3C73">
              <w:rPr>
                <w:sz w:val="20"/>
              </w:rPr>
              <w:t>Overall</w:t>
            </w:r>
          </w:p>
        </w:tc>
        <w:tc>
          <w:tcPr>
            <w:tcW w:w="540" w:type="dxa"/>
            <w:shd w:val="clear" w:color="auto" w:fill="000000" w:themeFill="text1"/>
          </w:tcPr>
          <w:p w:rsidR="00ED4EC7" w:rsidRPr="000A3C73" w:rsidRDefault="00ED4EC7" w:rsidP="00ED4EC7">
            <w:pPr>
              <w:pStyle w:val="Caption"/>
              <w:spacing w:after="0"/>
              <w:jc w:val="center"/>
              <w:rPr>
                <w:sz w:val="20"/>
              </w:rPr>
            </w:pPr>
            <w:r w:rsidRPr="000A3C73">
              <w:rPr>
                <w:sz w:val="20"/>
              </w:rPr>
              <w:t>TB</w:t>
            </w:r>
          </w:p>
        </w:tc>
        <w:tc>
          <w:tcPr>
            <w:tcW w:w="540" w:type="dxa"/>
            <w:shd w:val="clear" w:color="auto" w:fill="000000" w:themeFill="text1"/>
          </w:tcPr>
          <w:p w:rsidR="00ED4EC7" w:rsidRPr="000A3C73" w:rsidRDefault="00ED4EC7" w:rsidP="00ED4EC7">
            <w:pPr>
              <w:pStyle w:val="Caption"/>
              <w:spacing w:after="0"/>
              <w:jc w:val="center"/>
              <w:rPr>
                <w:sz w:val="20"/>
              </w:rPr>
            </w:pPr>
            <w:r w:rsidRPr="000A3C73">
              <w:rPr>
                <w:sz w:val="20"/>
              </w:rPr>
              <w:t>MK</w:t>
            </w:r>
          </w:p>
        </w:tc>
        <w:tc>
          <w:tcPr>
            <w:tcW w:w="540" w:type="dxa"/>
            <w:shd w:val="clear" w:color="auto" w:fill="000000" w:themeFill="text1"/>
          </w:tcPr>
          <w:p w:rsidR="00ED4EC7" w:rsidRPr="000A3C73" w:rsidRDefault="00ED4EC7" w:rsidP="00ED4EC7">
            <w:pPr>
              <w:pStyle w:val="Caption"/>
              <w:spacing w:after="0"/>
              <w:jc w:val="center"/>
              <w:rPr>
                <w:sz w:val="20"/>
              </w:rPr>
            </w:pPr>
            <w:r w:rsidRPr="000A3C73">
              <w:rPr>
                <w:sz w:val="20"/>
              </w:rPr>
              <w:t>AL</w:t>
            </w:r>
          </w:p>
        </w:tc>
      </w:tr>
      <w:tr w:rsidR="00ED4EC7" w:rsidRPr="000A3C73" w:rsidTr="00ED4EC7">
        <w:tc>
          <w:tcPr>
            <w:tcW w:w="7038" w:type="dxa"/>
            <w:shd w:val="clear" w:color="auto" w:fill="BFBFBF" w:themeFill="background1" w:themeFillShade="BF"/>
          </w:tcPr>
          <w:p w:rsidR="00ED4EC7" w:rsidRPr="000A3C73" w:rsidRDefault="00ED4EC7" w:rsidP="00ED4EC7">
            <w:pPr>
              <w:contextualSpacing/>
              <w:jc w:val="right"/>
              <w:rPr>
                <w:rFonts w:asciiTheme="majorHAnsi" w:hAnsiTheme="majorHAnsi"/>
                <w:b/>
                <w:sz w:val="20"/>
              </w:rPr>
            </w:pPr>
            <w:r w:rsidRPr="000A3C73">
              <w:rPr>
                <w:rFonts w:asciiTheme="majorHAnsi" w:hAnsiTheme="majorHAnsi"/>
                <w:b/>
                <w:sz w:val="20"/>
              </w:rPr>
              <w:t>Project Formulation</w:t>
            </w:r>
          </w:p>
        </w:tc>
        <w:tc>
          <w:tcPr>
            <w:tcW w:w="900" w:type="dxa"/>
            <w:shd w:val="clear" w:color="auto" w:fill="BFBFBF" w:themeFill="background1" w:themeFillShade="BF"/>
          </w:tcPr>
          <w:p w:rsidR="00ED4EC7" w:rsidRPr="000A3C73" w:rsidRDefault="00ED4EC7" w:rsidP="00ED4EC7">
            <w:pPr>
              <w:rPr>
                <w:rFonts w:asciiTheme="majorHAnsi" w:hAnsiTheme="majorHAnsi"/>
                <w:b/>
                <w:sz w:val="20"/>
              </w:rPr>
            </w:pPr>
          </w:p>
        </w:tc>
        <w:tc>
          <w:tcPr>
            <w:tcW w:w="540" w:type="dxa"/>
            <w:shd w:val="clear" w:color="auto" w:fill="BFBFBF" w:themeFill="background1" w:themeFillShade="BF"/>
          </w:tcPr>
          <w:p w:rsidR="00ED4EC7" w:rsidRPr="000A3C73" w:rsidRDefault="00ED4EC7" w:rsidP="00ED4EC7">
            <w:pPr>
              <w:rPr>
                <w:rFonts w:asciiTheme="majorHAnsi" w:hAnsiTheme="majorHAnsi"/>
                <w:b/>
                <w:sz w:val="20"/>
              </w:rPr>
            </w:pPr>
          </w:p>
        </w:tc>
        <w:tc>
          <w:tcPr>
            <w:tcW w:w="540" w:type="dxa"/>
            <w:shd w:val="clear" w:color="auto" w:fill="BFBFBF" w:themeFill="background1" w:themeFillShade="BF"/>
          </w:tcPr>
          <w:p w:rsidR="00ED4EC7" w:rsidRPr="000A3C73" w:rsidRDefault="00ED4EC7" w:rsidP="00ED4EC7">
            <w:pPr>
              <w:rPr>
                <w:rFonts w:asciiTheme="majorHAnsi" w:hAnsiTheme="majorHAnsi"/>
                <w:b/>
                <w:sz w:val="20"/>
              </w:rPr>
            </w:pPr>
          </w:p>
        </w:tc>
        <w:tc>
          <w:tcPr>
            <w:tcW w:w="540" w:type="dxa"/>
            <w:shd w:val="clear" w:color="auto" w:fill="BFBFBF" w:themeFill="background1" w:themeFillShade="BF"/>
          </w:tcPr>
          <w:p w:rsidR="00ED4EC7" w:rsidRPr="000A3C73" w:rsidRDefault="00ED4EC7" w:rsidP="00ED4EC7">
            <w:pPr>
              <w:rPr>
                <w:rFonts w:asciiTheme="majorHAnsi" w:hAnsiTheme="majorHAnsi"/>
                <w:b/>
                <w:sz w:val="20"/>
              </w:rPr>
            </w:pPr>
          </w:p>
        </w:tc>
      </w:tr>
      <w:tr w:rsidR="00ED4EC7" w:rsidRPr="000A3C73" w:rsidTr="00ED4EC7">
        <w:tc>
          <w:tcPr>
            <w:tcW w:w="7038" w:type="dxa"/>
          </w:tcPr>
          <w:p w:rsidR="00ED4EC7" w:rsidRPr="000A3C73" w:rsidRDefault="00ED4EC7" w:rsidP="00ED4EC7">
            <w:pPr>
              <w:contextualSpacing/>
              <w:jc w:val="right"/>
              <w:rPr>
                <w:rFonts w:asciiTheme="majorHAnsi" w:hAnsiTheme="majorHAnsi"/>
                <w:b/>
                <w:sz w:val="20"/>
              </w:rPr>
            </w:pPr>
            <w:r w:rsidRPr="000A3C73">
              <w:rPr>
                <w:rFonts w:asciiTheme="majorHAnsi" w:hAnsiTheme="majorHAnsi"/>
                <w:b/>
                <w:sz w:val="20"/>
              </w:rPr>
              <w:t>Relevance</w:t>
            </w:r>
          </w:p>
        </w:tc>
        <w:tc>
          <w:tcPr>
            <w:tcW w:w="900" w:type="dxa"/>
          </w:tcPr>
          <w:p w:rsidR="00ED4EC7" w:rsidRPr="000A3C73" w:rsidRDefault="00ED4EC7" w:rsidP="00ED4EC7">
            <w:pPr>
              <w:rPr>
                <w:rFonts w:asciiTheme="majorHAnsi" w:hAnsiTheme="majorHAnsi"/>
                <w:sz w:val="20"/>
              </w:rPr>
            </w:pPr>
            <w:r w:rsidRPr="000A3C73">
              <w:rPr>
                <w:rFonts w:asciiTheme="majorHAnsi" w:hAnsiTheme="majorHAnsi"/>
                <w:sz w:val="20"/>
              </w:rPr>
              <w:t>R</w:t>
            </w:r>
          </w:p>
        </w:tc>
        <w:tc>
          <w:tcPr>
            <w:tcW w:w="540" w:type="dxa"/>
          </w:tcPr>
          <w:p w:rsidR="00ED4EC7" w:rsidRPr="000A3C73" w:rsidRDefault="00ED4EC7" w:rsidP="00ED4EC7">
            <w:pPr>
              <w:rPr>
                <w:rFonts w:asciiTheme="majorHAnsi" w:hAnsiTheme="majorHAnsi"/>
                <w:sz w:val="20"/>
              </w:rPr>
            </w:pPr>
            <w:r w:rsidRPr="000A3C73">
              <w:rPr>
                <w:rFonts w:asciiTheme="majorHAnsi" w:hAnsiTheme="majorHAnsi"/>
                <w:sz w:val="20"/>
              </w:rPr>
              <w:t>R</w:t>
            </w:r>
          </w:p>
        </w:tc>
        <w:tc>
          <w:tcPr>
            <w:tcW w:w="540" w:type="dxa"/>
          </w:tcPr>
          <w:p w:rsidR="00ED4EC7" w:rsidRPr="000A3C73" w:rsidRDefault="00ED4EC7" w:rsidP="00ED4EC7">
            <w:pPr>
              <w:rPr>
                <w:rFonts w:asciiTheme="majorHAnsi" w:hAnsiTheme="majorHAnsi"/>
                <w:sz w:val="20"/>
              </w:rPr>
            </w:pPr>
            <w:r w:rsidRPr="000A3C73">
              <w:rPr>
                <w:rFonts w:asciiTheme="majorHAnsi" w:hAnsiTheme="majorHAnsi"/>
                <w:sz w:val="20"/>
              </w:rPr>
              <w:t>R</w:t>
            </w:r>
          </w:p>
        </w:tc>
        <w:tc>
          <w:tcPr>
            <w:tcW w:w="540" w:type="dxa"/>
          </w:tcPr>
          <w:p w:rsidR="00ED4EC7" w:rsidRPr="000A3C73" w:rsidRDefault="00ED4EC7" w:rsidP="00ED4EC7">
            <w:pPr>
              <w:rPr>
                <w:rFonts w:asciiTheme="majorHAnsi" w:hAnsiTheme="majorHAnsi"/>
                <w:sz w:val="20"/>
              </w:rPr>
            </w:pPr>
            <w:r w:rsidRPr="000A3C73">
              <w:rPr>
                <w:rFonts w:asciiTheme="majorHAnsi" w:hAnsiTheme="majorHAnsi"/>
                <w:sz w:val="20"/>
              </w:rPr>
              <w:t>R</w:t>
            </w:r>
          </w:p>
        </w:tc>
      </w:tr>
      <w:tr w:rsidR="00ED4EC7" w:rsidRPr="000A3C73" w:rsidTr="00ED4EC7">
        <w:tc>
          <w:tcPr>
            <w:tcW w:w="7038" w:type="dxa"/>
          </w:tcPr>
          <w:p w:rsidR="00ED4EC7" w:rsidRPr="000A3C73" w:rsidRDefault="00ED4EC7" w:rsidP="00ED4EC7">
            <w:pPr>
              <w:contextualSpacing/>
              <w:jc w:val="right"/>
              <w:rPr>
                <w:rFonts w:asciiTheme="majorHAnsi" w:hAnsiTheme="majorHAnsi"/>
                <w:sz w:val="20"/>
              </w:rPr>
            </w:pPr>
            <w:r w:rsidRPr="000A3C73">
              <w:rPr>
                <w:rFonts w:asciiTheme="majorHAnsi" w:hAnsiTheme="majorHAnsi"/>
                <w:sz w:val="20"/>
              </w:rPr>
              <w:t>Country-drivenness</w:t>
            </w:r>
          </w:p>
        </w:tc>
        <w:tc>
          <w:tcPr>
            <w:tcW w:w="900" w:type="dxa"/>
          </w:tcPr>
          <w:p w:rsidR="00ED4EC7" w:rsidRPr="000A3C73" w:rsidRDefault="00ED4EC7" w:rsidP="00ED4EC7">
            <w:pPr>
              <w:contextualSpacing/>
              <w:rPr>
                <w:rFonts w:asciiTheme="majorHAnsi" w:hAnsiTheme="majorHAnsi"/>
                <w:sz w:val="20"/>
              </w:rPr>
            </w:pPr>
            <w:r w:rsidRPr="000A3C73">
              <w:rPr>
                <w:rFonts w:asciiTheme="majorHAnsi" w:hAnsiTheme="majorHAnsi"/>
                <w:sz w:val="20"/>
              </w:rPr>
              <w:t>MS</w:t>
            </w:r>
          </w:p>
        </w:tc>
        <w:tc>
          <w:tcPr>
            <w:tcW w:w="540" w:type="dxa"/>
          </w:tcPr>
          <w:p w:rsidR="00ED4EC7" w:rsidRPr="0089284E" w:rsidRDefault="00ED4EC7" w:rsidP="00ED4EC7">
            <w:pPr>
              <w:contextualSpacing/>
              <w:rPr>
                <w:rFonts w:asciiTheme="majorHAnsi" w:hAnsiTheme="majorHAnsi"/>
                <w:sz w:val="20"/>
              </w:rPr>
            </w:pPr>
            <w:r w:rsidRPr="0089284E">
              <w:rPr>
                <w:rFonts w:asciiTheme="majorHAnsi" w:hAnsiTheme="majorHAnsi"/>
                <w:sz w:val="20"/>
              </w:rPr>
              <w:t>N/A</w:t>
            </w:r>
          </w:p>
        </w:tc>
        <w:tc>
          <w:tcPr>
            <w:tcW w:w="540" w:type="dxa"/>
          </w:tcPr>
          <w:p w:rsidR="00ED4EC7" w:rsidRPr="0089284E" w:rsidRDefault="00ED4EC7" w:rsidP="00ED4EC7">
            <w:pPr>
              <w:contextualSpacing/>
              <w:rPr>
                <w:rFonts w:asciiTheme="majorHAnsi" w:hAnsiTheme="majorHAnsi"/>
                <w:sz w:val="20"/>
              </w:rPr>
            </w:pPr>
            <w:r w:rsidRPr="0089284E">
              <w:rPr>
                <w:rFonts w:asciiTheme="majorHAnsi" w:hAnsiTheme="majorHAnsi"/>
                <w:sz w:val="20"/>
              </w:rPr>
              <w:t>N/A</w:t>
            </w:r>
          </w:p>
        </w:tc>
        <w:tc>
          <w:tcPr>
            <w:tcW w:w="540" w:type="dxa"/>
          </w:tcPr>
          <w:p w:rsidR="00ED4EC7" w:rsidRPr="0089284E" w:rsidRDefault="00ED4EC7" w:rsidP="00ED4EC7">
            <w:pPr>
              <w:contextualSpacing/>
              <w:rPr>
                <w:rFonts w:asciiTheme="majorHAnsi" w:hAnsiTheme="majorHAnsi"/>
                <w:sz w:val="20"/>
              </w:rPr>
            </w:pPr>
            <w:r w:rsidRPr="0089284E">
              <w:rPr>
                <w:rFonts w:asciiTheme="majorHAnsi" w:hAnsiTheme="majorHAnsi"/>
                <w:sz w:val="20"/>
              </w:rPr>
              <w:t>N/A</w:t>
            </w:r>
          </w:p>
        </w:tc>
      </w:tr>
      <w:tr w:rsidR="00ED4EC7" w:rsidRPr="000A3C73" w:rsidTr="00ED4EC7">
        <w:tc>
          <w:tcPr>
            <w:tcW w:w="7038" w:type="dxa"/>
            <w:shd w:val="clear" w:color="auto" w:fill="BFBFBF"/>
          </w:tcPr>
          <w:p w:rsidR="00ED4EC7" w:rsidRPr="000A3C73" w:rsidRDefault="00ED4EC7" w:rsidP="00ED4EC7">
            <w:pPr>
              <w:contextualSpacing/>
              <w:rPr>
                <w:rFonts w:asciiTheme="majorHAnsi" w:hAnsiTheme="majorHAnsi"/>
                <w:b/>
                <w:sz w:val="20"/>
              </w:rPr>
            </w:pPr>
            <w:r w:rsidRPr="000A3C73">
              <w:rPr>
                <w:rFonts w:asciiTheme="majorHAnsi" w:hAnsiTheme="majorHAnsi"/>
                <w:b/>
                <w:sz w:val="20"/>
              </w:rPr>
              <w:t>Project Implementation</w:t>
            </w:r>
          </w:p>
        </w:tc>
        <w:tc>
          <w:tcPr>
            <w:tcW w:w="900" w:type="dxa"/>
            <w:shd w:val="clear" w:color="auto" w:fill="BFBFBF"/>
          </w:tcPr>
          <w:p w:rsidR="00ED4EC7" w:rsidRPr="000A3C73" w:rsidRDefault="00ED4EC7" w:rsidP="00ED4EC7">
            <w:pPr>
              <w:contextualSpacing/>
              <w:rPr>
                <w:rFonts w:asciiTheme="majorHAnsi" w:hAnsiTheme="majorHAnsi"/>
                <w:b/>
                <w:sz w:val="20"/>
              </w:rPr>
            </w:pPr>
          </w:p>
        </w:tc>
        <w:tc>
          <w:tcPr>
            <w:tcW w:w="540" w:type="dxa"/>
            <w:shd w:val="clear" w:color="auto" w:fill="BFBFBF"/>
          </w:tcPr>
          <w:p w:rsidR="00ED4EC7" w:rsidRPr="000A3C73" w:rsidRDefault="00ED4EC7" w:rsidP="00ED4EC7">
            <w:pPr>
              <w:contextualSpacing/>
              <w:rPr>
                <w:rFonts w:asciiTheme="majorHAnsi" w:hAnsiTheme="majorHAnsi"/>
                <w:b/>
                <w:sz w:val="20"/>
              </w:rPr>
            </w:pPr>
          </w:p>
        </w:tc>
        <w:tc>
          <w:tcPr>
            <w:tcW w:w="540" w:type="dxa"/>
            <w:shd w:val="clear" w:color="auto" w:fill="BFBFBF"/>
          </w:tcPr>
          <w:p w:rsidR="00ED4EC7" w:rsidRPr="000A3C73" w:rsidRDefault="00ED4EC7" w:rsidP="00ED4EC7">
            <w:pPr>
              <w:contextualSpacing/>
              <w:rPr>
                <w:rFonts w:asciiTheme="majorHAnsi" w:hAnsiTheme="majorHAnsi"/>
                <w:b/>
                <w:sz w:val="20"/>
              </w:rPr>
            </w:pPr>
          </w:p>
        </w:tc>
        <w:tc>
          <w:tcPr>
            <w:tcW w:w="540" w:type="dxa"/>
            <w:shd w:val="clear" w:color="auto" w:fill="BFBFBF"/>
          </w:tcPr>
          <w:p w:rsidR="00ED4EC7" w:rsidRPr="000A3C73" w:rsidRDefault="00ED4EC7" w:rsidP="00ED4EC7">
            <w:pPr>
              <w:contextualSpacing/>
              <w:rPr>
                <w:rFonts w:asciiTheme="majorHAnsi" w:hAnsiTheme="majorHAnsi"/>
                <w:b/>
                <w:sz w:val="20"/>
              </w:rPr>
            </w:pPr>
          </w:p>
        </w:tc>
      </w:tr>
      <w:tr w:rsidR="00ED4EC7" w:rsidRPr="000A3C73" w:rsidTr="00ED4EC7">
        <w:tc>
          <w:tcPr>
            <w:tcW w:w="7038" w:type="dxa"/>
          </w:tcPr>
          <w:p w:rsidR="00ED4EC7" w:rsidRPr="000A3C73" w:rsidRDefault="00ED4EC7" w:rsidP="00ED4EC7">
            <w:pPr>
              <w:contextualSpacing/>
              <w:rPr>
                <w:rFonts w:asciiTheme="majorHAnsi" w:hAnsiTheme="majorHAnsi"/>
                <w:b/>
                <w:sz w:val="20"/>
              </w:rPr>
            </w:pPr>
            <w:r w:rsidRPr="000A3C73">
              <w:rPr>
                <w:rFonts w:asciiTheme="majorHAnsi" w:hAnsiTheme="majorHAnsi"/>
                <w:b/>
                <w:sz w:val="20"/>
              </w:rPr>
              <w:t>Implementation Approach (Efficiency)</w:t>
            </w:r>
          </w:p>
        </w:tc>
        <w:tc>
          <w:tcPr>
            <w:tcW w:w="900" w:type="dxa"/>
          </w:tcPr>
          <w:p w:rsidR="00ED4EC7" w:rsidRPr="000A3C73" w:rsidRDefault="00ED4EC7" w:rsidP="00ED4EC7">
            <w:pPr>
              <w:contextualSpacing/>
              <w:rPr>
                <w:rFonts w:asciiTheme="majorHAnsi" w:hAnsiTheme="majorHAnsi"/>
                <w:sz w:val="20"/>
              </w:rPr>
            </w:pPr>
            <w:r w:rsidRPr="000A3C73">
              <w:rPr>
                <w:rFonts w:asciiTheme="majorHAnsi" w:hAnsiTheme="majorHAnsi"/>
                <w:sz w:val="20"/>
              </w:rPr>
              <w:t>MS</w:t>
            </w:r>
          </w:p>
        </w:tc>
        <w:tc>
          <w:tcPr>
            <w:tcW w:w="540" w:type="dxa"/>
          </w:tcPr>
          <w:p w:rsidR="00ED4EC7" w:rsidRPr="000A3C73" w:rsidRDefault="00ED4EC7" w:rsidP="00ED4EC7">
            <w:pPr>
              <w:contextualSpacing/>
              <w:rPr>
                <w:rFonts w:asciiTheme="majorHAnsi" w:hAnsiTheme="majorHAnsi"/>
                <w:sz w:val="20"/>
              </w:rPr>
            </w:pPr>
            <w:r w:rsidRPr="000A3C73">
              <w:rPr>
                <w:rFonts w:asciiTheme="majorHAnsi" w:hAnsiTheme="majorHAnsi"/>
                <w:sz w:val="20"/>
              </w:rPr>
              <w:t>MU</w:t>
            </w:r>
          </w:p>
        </w:tc>
        <w:tc>
          <w:tcPr>
            <w:tcW w:w="540" w:type="dxa"/>
          </w:tcPr>
          <w:p w:rsidR="00ED4EC7" w:rsidRPr="000A3C73" w:rsidRDefault="00ED4EC7" w:rsidP="00ED4EC7">
            <w:pPr>
              <w:contextualSpacing/>
              <w:rPr>
                <w:rFonts w:asciiTheme="majorHAnsi" w:hAnsiTheme="majorHAnsi"/>
                <w:sz w:val="20"/>
              </w:rPr>
            </w:pPr>
            <w:r w:rsidRPr="000A3C73">
              <w:rPr>
                <w:rFonts w:asciiTheme="majorHAnsi" w:hAnsiTheme="majorHAnsi"/>
                <w:sz w:val="20"/>
              </w:rPr>
              <w:t>S</w:t>
            </w:r>
          </w:p>
        </w:tc>
        <w:tc>
          <w:tcPr>
            <w:tcW w:w="540" w:type="dxa"/>
          </w:tcPr>
          <w:p w:rsidR="00ED4EC7" w:rsidRPr="000A3C73" w:rsidRDefault="00ED4EC7" w:rsidP="00ED4EC7">
            <w:pPr>
              <w:contextualSpacing/>
              <w:rPr>
                <w:rFonts w:asciiTheme="majorHAnsi" w:hAnsiTheme="majorHAnsi"/>
                <w:sz w:val="20"/>
              </w:rPr>
            </w:pPr>
            <w:r w:rsidRPr="000A3C73">
              <w:rPr>
                <w:rFonts w:asciiTheme="majorHAnsi" w:hAnsiTheme="majorHAnsi"/>
                <w:sz w:val="20"/>
              </w:rPr>
              <w:t>S</w:t>
            </w:r>
          </w:p>
        </w:tc>
      </w:tr>
      <w:tr w:rsidR="00ED4EC7" w:rsidRPr="000A3C73" w:rsidTr="00ED4EC7">
        <w:tc>
          <w:tcPr>
            <w:tcW w:w="7038" w:type="dxa"/>
          </w:tcPr>
          <w:p w:rsidR="00ED4EC7" w:rsidRPr="000A3C73" w:rsidRDefault="00ED4EC7" w:rsidP="00ED4EC7">
            <w:pPr>
              <w:contextualSpacing/>
              <w:jc w:val="right"/>
              <w:rPr>
                <w:rFonts w:asciiTheme="majorHAnsi" w:hAnsiTheme="majorHAnsi"/>
                <w:sz w:val="20"/>
              </w:rPr>
            </w:pPr>
            <w:r w:rsidRPr="000A3C73">
              <w:rPr>
                <w:rFonts w:asciiTheme="majorHAnsi" w:hAnsiTheme="majorHAnsi"/>
                <w:sz w:val="20"/>
              </w:rPr>
              <w:t>Adaptive management</w:t>
            </w:r>
          </w:p>
        </w:tc>
        <w:tc>
          <w:tcPr>
            <w:tcW w:w="900" w:type="dxa"/>
          </w:tcPr>
          <w:p w:rsidR="00ED4EC7" w:rsidRPr="000A3C73" w:rsidRDefault="00ED4EC7" w:rsidP="00ED4EC7">
            <w:pPr>
              <w:contextualSpacing/>
              <w:rPr>
                <w:rFonts w:asciiTheme="majorHAnsi" w:hAnsiTheme="majorHAnsi"/>
                <w:sz w:val="20"/>
              </w:rPr>
            </w:pPr>
            <w:r w:rsidRPr="000A3C73">
              <w:rPr>
                <w:rFonts w:asciiTheme="majorHAnsi" w:hAnsiTheme="majorHAnsi"/>
                <w:sz w:val="20"/>
              </w:rPr>
              <w:t>MS</w:t>
            </w:r>
          </w:p>
        </w:tc>
        <w:tc>
          <w:tcPr>
            <w:tcW w:w="540" w:type="dxa"/>
          </w:tcPr>
          <w:p w:rsidR="00ED4EC7" w:rsidRPr="000A3C73" w:rsidRDefault="00ED4EC7" w:rsidP="00ED4EC7">
            <w:pPr>
              <w:contextualSpacing/>
              <w:rPr>
                <w:rFonts w:asciiTheme="majorHAnsi" w:hAnsiTheme="majorHAnsi"/>
                <w:sz w:val="20"/>
              </w:rPr>
            </w:pPr>
            <w:r w:rsidRPr="000A3C73">
              <w:rPr>
                <w:rFonts w:asciiTheme="majorHAnsi" w:hAnsiTheme="majorHAnsi"/>
                <w:sz w:val="20"/>
              </w:rPr>
              <w:t>MU</w:t>
            </w:r>
          </w:p>
        </w:tc>
        <w:tc>
          <w:tcPr>
            <w:tcW w:w="540" w:type="dxa"/>
          </w:tcPr>
          <w:p w:rsidR="00ED4EC7" w:rsidRPr="000A3C73" w:rsidRDefault="00ED4EC7" w:rsidP="00ED4EC7">
            <w:pPr>
              <w:contextualSpacing/>
              <w:rPr>
                <w:rFonts w:asciiTheme="majorHAnsi" w:hAnsiTheme="majorHAnsi"/>
                <w:sz w:val="20"/>
              </w:rPr>
            </w:pPr>
            <w:r w:rsidRPr="000A3C73">
              <w:rPr>
                <w:rFonts w:asciiTheme="majorHAnsi" w:hAnsiTheme="majorHAnsi"/>
                <w:sz w:val="20"/>
              </w:rPr>
              <w:t>S</w:t>
            </w:r>
          </w:p>
        </w:tc>
        <w:tc>
          <w:tcPr>
            <w:tcW w:w="540" w:type="dxa"/>
          </w:tcPr>
          <w:p w:rsidR="00ED4EC7" w:rsidRPr="000A3C73" w:rsidRDefault="00ED4EC7" w:rsidP="00ED4EC7">
            <w:pPr>
              <w:contextualSpacing/>
              <w:rPr>
                <w:rFonts w:asciiTheme="majorHAnsi" w:hAnsiTheme="majorHAnsi"/>
                <w:sz w:val="20"/>
              </w:rPr>
            </w:pPr>
            <w:r w:rsidRPr="000A3C73">
              <w:rPr>
                <w:rFonts w:asciiTheme="majorHAnsi" w:hAnsiTheme="majorHAnsi"/>
                <w:sz w:val="20"/>
              </w:rPr>
              <w:t>S</w:t>
            </w:r>
          </w:p>
        </w:tc>
      </w:tr>
      <w:tr w:rsidR="00ED4EC7" w:rsidRPr="000A3C73" w:rsidTr="00ED4EC7">
        <w:tc>
          <w:tcPr>
            <w:tcW w:w="7038" w:type="dxa"/>
          </w:tcPr>
          <w:p w:rsidR="00ED4EC7" w:rsidRPr="000A3C73" w:rsidRDefault="00ED4EC7" w:rsidP="00ED4EC7">
            <w:pPr>
              <w:contextualSpacing/>
              <w:jc w:val="right"/>
              <w:rPr>
                <w:rFonts w:asciiTheme="majorHAnsi" w:hAnsiTheme="majorHAnsi"/>
                <w:sz w:val="20"/>
              </w:rPr>
            </w:pPr>
            <w:r w:rsidRPr="000A3C73">
              <w:rPr>
                <w:rFonts w:asciiTheme="majorHAnsi" w:hAnsiTheme="majorHAnsi"/>
                <w:sz w:val="20"/>
              </w:rPr>
              <w:t>UNDP supervision and support</w:t>
            </w:r>
          </w:p>
        </w:tc>
        <w:tc>
          <w:tcPr>
            <w:tcW w:w="900" w:type="dxa"/>
          </w:tcPr>
          <w:p w:rsidR="00ED4EC7" w:rsidRPr="000A3C73" w:rsidRDefault="00ED4EC7" w:rsidP="00ED4EC7">
            <w:pPr>
              <w:contextualSpacing/>
              <w:rPr>
                <w:rFonts w:asciiTheme="majorHAnsi" w:hAnsiTheme="majorHAnsi"/>
                <w:sz w:val="20"/>
              </w:rPr>
            </w:pPr>
            <w:r w:rsidRPr="000A3C73">
              <w:rPr>
                <w:rFonts w:asciiTheme="majorHAnsi" w:hAnsiTheme="majorHAnsi"/>
                <w:sz w:val="20"/>
              </w:rPr>
              <w:t>MS</w:t>
            </w:r>
          </w:p>
        </w:tc>
        <w:tc>
          <w:tcPr>
            <w:tcW w:w="540" w:type="dxa"/>
          </w:tcPr>
          <w:p w:rsidR="00ED4EC7" w:rsidRPr="000A3C73" w:rsidRDefault="00ED4EC7" w:rsidP="00ED4EC7">
            <w:pPr>
              <w:contextualSpacing/>
              <w:rPr>
                <w:rFonts w:asciiTheme="majorHAnsi" w:hAnsiTheme="majorHAnsi"/>
                <w:sz w:val="20"/>
              </w:rPr>
            </w:pPr>
            <w:r w:rsidRPr="0089284E">
              <w:rPr>
                <w:rFonts w:asciiTheme="majorHAnsi" w:hAnsiTheme="majorHAnsi"/>
                <w:sz w:val="20"/>
              </w:rPr>
              <w:t>MU</w:t>
            </w:r>
          </w:p>
        </w:tc>
        <w:tc>
          <w:tcPr>
            <w:tcW w:w="540" w:type="dxa"/>
          </w:tcPr>
          <w:p w:rsidR="00ED4EC7" w:rsidRPr="00FC657B" w:rsidRDefault="00ED4EC7" w:rsidP="00ED4EC7">
            <w:pPr>
              <w:contextualSpacing/>
              <w:rPr>
                <w:rFonts w:asciiTheme="majorHAnsi" w:hAnsiTheme="majorHAnsi"/>
                <w:sz w:val="20"/>
              </w:rPr>
            </w:pPr>
            <w:r w:rsidRPr="00FC657B">
              <w:rPr>
                <w:rFonts w:asciiTheme="majorHAnsi" w:hAnsiTheme="majorHAnsi"/>
                <w:sz w:val="20"/>
              </w:rPr>
              <w:t>S</w:t>
            </w:r>
          </w:p>
        </w:tc>
        <w:tc>
          <w:tcPr>
            <w:tcW w:w="540" w:type="dxa"/>
          </w:tcPr>
          <w:p w:rsidR="00ED4EC7" w:rsidRPr="00FC657B" w:rsidRDefault="00ED4EC7" w:rsidP="00ED4EC7">
            <w:pPr>
              <w:contextualSpacing/>
              <w:rPr>
                <w:rFonts w:asciiTheme="majorHAnsi" w:hAnsiTheme="majorHAnsi"/>
                <w:sz w:val="20"/>
              </w:rPr>
            </w:pPr>
            <w:r w:rsidRPr="00FC657B">
              <w:rPr>
                <w:rFonts w:asciiTheme="majorHAnsi" w:hAnsiTheme="majorHAnsi"/>
                <w:sz w:val="20"/>
              </w:rPr>
              <w:t>S</w:t>
            </w:r>
          </w:p>
        </w:tc>
      </w:tr>
      <w:tr w:rsidR="00ED4EC7" w:rsidRPr="000A3C73" w:rsidTr="00ED4EC7">
        <w:tc>
          <w:tcPr>
            <w:tcW w:w="7038" w:type="dxa"/>
          </w:tcPr>
          <w:p w:rsidR="00ED4EC7" w:rsidRPr="000A3C73" w:rsidRDefault="00ED4EC7" w:rsidP="00ED4EC7">
            <w:pPr>
              <w:contextualSpacing/>
              <w:rPr>
                <w:rFonts w:asciiTheme="majorHAnsi" w:hAnsiTheme="majorHAnsi"/>
                <w:b/>
                <w:sz w:val="20"/>
              </w:rPr>
            </w:pPr>
            <w:r w:rsidRPr="000A3C73">
              <w:rPr>
                <w:rFonts w:asciiTheme="majorHAnsi" w:hAnsiTheme="majorHAnsi"/>
                <w:b/>
                <w:sz w:val="20"/>
              </w:rPr>
              <w:t>Monitoring and Evaluation Overall Quality</w:t>
            </w:r>
          </w:p>
        </w:tc>
        <w:tc>
          <w:tcPr>
            <w:tcW w:w="900" w:type="dxa"/>
          </w:tcPr>
          <w:p w:rsidR="00ED4EC7" w:rsidRPr="000A3C73" w:rsidRDefault="00ED4EC7" w:rsidP="00ED4EC7">
            <w:pPr>
              <w:contextualSpacing/>
              <w:rPr>
                <w:rFonts w:asciiTheme="majorHAnsi" w:hAnsiTheme="majorHAnsi"/>
                <w:sz w:val="20"/>
              </w:rPr>
            </w:pPr>
            <w:r w:rsidRPr="000A3C73">
              <w:rPr>
                <w:rFonts w:asciiTheme="majorHAnsi" w:hAnsiTheme="majorHAnsi"/>
                <w:sz w:val="20"/>
              </w:rPr>
              <w:t>MS</w:t>
            </w:r>
          </w:p>
        </w:tc>
        <w:tc>
          <w:tcPr>
            <w:tcW w:w="540" w:type="dxa"/>
          </w:tcPr>
          <w:p w:rsidR="00ED4EC7" w:rsidRPr="0089284E" w:rsidRDefault="00ED4EC7" w:rsidP="00ED4EC7">
            <w:pPr>
              <w:contextualSpacing/>
              <w:rPr>
                <w:rFonts w:asciiTheme="majorHAnsi" w:hAnsiTheme="majorHAnsi"/>
                <w:sz w:val="20"/>
              </w:rPr>
            </w:pPr>
            <w:r w:rsidRPr="0089284E">
              <w:rPr>
                <w:rFonts w:asciiTheme="majorHAnsi" w:hAnsiTheme="majorHAnsi"/>
                <w:sz w:val="20"/>
              </w:rPr>
              <w:t>N/A</w:t>
            </w:r>
          </w:p>
        </w:tc>
        <w:tc>
          <w:tcPr>
            <w:tcW w:w="540" w:type="dxa"/>
          </w:tcPr>
          <w:p w:rsidR="00ED4EC7" w:rsidRPr="0089284E" w:rsidRDefault="00ED4EC7" w:rsidP="00ED4EC7">
            <w:pPr>
              <w:contextualSpacing/>
              <w:rPr>
                <w:rFonts w:asciiTheme="majorHAnsi" w:hAnsiTheme="majorHAnsi"/>
                <w:sz w:val="20"/>
              </w:rPr>
            </w:pPr>
            <w:r w:rsidRPr="0089284E">
              <w:rPr>
                <w:rFonts w:asciiTheme="majorHAnsi" w:hAnsiTheme="majorHAnsi"/>
                <w:sz w:val="20"/>
              </w:rPr>
              <w:t>N/A</w:t>
            </w:r>
          </w:p>
        </w:tc>
        <w:tc>
          <w:tcPr>
            <w:tcW w:w="540" w:type="dxa"/>
          </w:tcPr>
          <w:p w:rsidR="00ED4EC7" w:rsidRPr="0089284E" w:rsidRDefault="00ED4EC7" w:rsidP="00ED4EC7">
            <w:pPr>
              <w:contextualSpacing/>
              <w:rPr>
                <w:rFonts w:asciiTheme="majorHAnsi" w:hAnsiTheme="majorHAnsi"/>
                <w:sz w:val="20"/>
              </w:rPr>
            </w:pPr>
            <w:r w:rsidRPr="0089284E">
              <w:rPr>
                <w:rFonts w:asciiTheme="majorHAnsi" w:hAnsiTheme="majorHAnsi"/>
                <w:sz w:val="20"/>
              </w:rPr>
              <w:t>N/A</w:t>
            </w:r>
          </w:p>
        </w:tc>
      </w:tr>
      <w:tr w:rsidR="00ED4EC7" w:rsidRPr="000A3C73" w:rsidTr="00ED4EC7">
        <w:tc>
          <w:tcPr>
            <w:tcW w:w="7038" w:type="dxa"/>
          </w:tcPr>
          <w:p w:rsidR="00ED4EC7" w:rsidRPr="000A3C73" w:rsidRDefault="00ED4EC7" w:rsidP="00ED4EC7">
            <w:pPr>
              <w:contextualSpacing/>
              <w:rPr>
                <w:rFonts w:asciiTheme="majorHAnsi" w:hAnsiTheme="majorHAnsi"/>
                <w:b/>
                <w:sz w:val="20"/>
              </w:rPr>
            </w:pPr>
            <w:r w:rsidRPr="000A3C73">
              <w:rPr>
                <w:rFonts w:asciiTheme="majorHAnsi" w:hAnsiTheme="majorHAnsi"/>
                <w:b/>
                <w:sz w:val="20"/>
              </w:rPr>
              <w:t>Stakeholder Participation</w:t>
            </w:r>
          </w:p>
        </w:tc>
        <w:tc>
          <w:tcPr>
            <w:tcW w:w="900" w:type="dxa"/>
          </w:tcPr>
          <w:p w:rsidR="00ED4EC7" w:rsidRPr="000A3C73" w:rsidRDefault="005D0418" w:rsidP="00ED4EC7">
            <w:pPr>
              <w:contextualSpacing/>
              <w:rPr>
                <w:rFonts w:asciiTheme="majorHAnsi" w:hAnsiTheme="majorHAnsi"/>
                <w:sz w:val="20"/>
              </w:rPr>
            </w:pPr>
            <w:r w:rsidRPr="000A3C73">
              <w:rPr>
                <w:rFonts w:asciiTheme="majorHAnsi" w:hAnsiTheme="majorHAnsi"/>
                <w:sz w:val="20"/>
              </w:rPr>
              <w:t>MS</w:t>
            </w:r>
          </w:p>
        </w:tc>
        <w:tc>
          <w:tcPr>
            <w:tcW w:w="540" w:type="dxa"/>
          </w:tcPr>
          <w:p w:rsidR="00ED4EC7" w:rsidRPr="000A3C73" w:rsidRDefault="005D0418" w:rsidP="00ED4EC7">
            <w:pPr>
              <w:contextualSpacing/>
              <w:rPr>
                <w:rFonts w:asciiTheme="majorHAnsi" w:hAnsiTheme="majorHAnsi"/>
                <w:sz w:val="20"/>
              </w:rPr>
            </w:pPr>
            <w:r w:rsidRPr="000A3C73">
              <w:rPr>
                <w:rFonts w:asciiTheme="majorHAnsi" w:hAnsiTheme="majorHAnsi"/>
                <w:sz w:val="20"/>
              </w:rPr>
              <w:t>MU</w:t>
            </w:r>
          </w:p>
        </w:tc>
        <w:tc>
          <w:tcPr>
            <w:tcW w:w="540" w:type="dxa"/>
          </w:tcPr>
          <w:p w:rsidR="00ED4EC7" w:rsidRPr="000A3C73" w:rsidRDefault="005D0418" w:rsidP="00ED4EC7">
            <w:pPr>
              <w:contextualSpacing/>
              <w:rPr>
                <w:rFonts w:asciiTheme="majorHAnsi" w:hAnsiTheme="majorHAnsi"/>
                <w:sz w:val="20"/>
              </w:rPr>
            </w:pPr>
            <w:r w:rsidRPr="000A3C73">
              <w:rPr>
                <w:rFonts w:asciiTheme="majorHAnsi" w:hAnsiTheme="majorHAnsi"/>
                <w:sz w:val="20"/>
              </w:rPr>
              <w:t>HS</w:t>
            </w:r>
          </w:p>
        </w:tc>
        <w:tc>
          <w:tcPr>
            <w:tcW w:w="540" w:type="dxa"/>
          </w:tcPr>
          <w:p w:rsidR="00ED4EC7" w:rsidRPr="000A3C73" w:rsidRDefault="005D0418" w:rsidP="00ED4EC7">
            <w:pPr>
              <w:contextualSpacing/>
              <w:rPr>
                <w:rFonts w:asciiTheme="majorHAnsi" w:hAnsiTheme="majorHAnsi"/>
                <w:sz w:val="20"/>
              </w:rPr>
            </w:pPr>
            <w:r w:rsidRPr="000A3C73">
              <w:rPr>
                <w:rFonts w:asciiTheme="majorHAnsi" w:hAnsiTheme="majorHAnsi"/>
                <w:sz w:val="20"/>
              </w:rPr>
              <w:t>S</w:t>
            </w:r>
          </w:p>
        </w:tc>
      </w:tr>
      <w:tr w:rsidR="00ED4EC7" w:rsidRPr="000A3C73" w:rsidTr="00ED4EC7">
        <w:tc>
          <w:tcPr>
            <w:tcW w:w="7038" w:type="dxa"/>
            <w:shd w:val="clear" w:color="auto" w:fill="BFBFBF"/>
          </w:tcPr>
          <w:p w:rsidR="00ED4EC7" w:rsidRPr="000A3C73" w:rsidRDefault="00ED4EC7" w:rsidP="00ED4EC7">
            <w:pPr>
              <w:contextualSpacing/>
              <w:rPr>
                <w:rFonts w:asciiTheme="majorHAnsi" w:hAnsiTheme="majorHAnsi"/>
                <w:b/>
                <w:sz w:val="20"/>
              </w:rPr>
            </w:pPr>
            <w:r w:rsidRPr="000A3C73">
              <w:rPr>
                <w:rFonts w:asciiTheme="majorHAnsi" w:hAnsiTheme="majorHAnsi"/>
                <w:b/>
                <w:sz w:val="20"/>
              </w:rPr>
              <w:t>Project Results</w:t>
            </w:r>
          </w:p>
        </w:tc>
        <w:tc>
          <w:tcPr>
            <w:tcW w:w="900" w:type="dxa"/>
            <w:shd w:val="clear" w:color="auto" w:fill="BFBFBF"/>
          </w:tcPr>
          <w:p w:rsidR="00ED4EC7" w:rsidRPr="000A3C73" w:rsidRDefault="00ED4EC7" w:rsidP="00ED4EC7">
            <w:pPr>
              <w:contextualSpacing/>
              <w:rPr>
                <w:rFonts w:asciiTheme="majorHAnsi" w:hAnsiTheme="majorHAnsi"/>
                <w:b/>
                <w:sz w:val="20"/>
              </w:rPr>
            </w:pPr>
          </w:p>
        </w:tc>
        <w:tc>
          <w:tcPr>
            <w:tcW w:w="540" w:type="dxa"/>
            <w:shd w:val="clear" w:color="auto" w:fill="BFBFBF"/>
          </w:tcPr>
          <w:p w:rsidR="00ED4EC7" w:rsidRPr="000A3C73" w:rsidRDefault="00ED4EC7" w:rsidP="00ED4EC7">
            <w:pPr>
              <w:contextualSpacing/>
              <w:rPr>
                <w:rFonts w:asciiTheme="majorHAnsi" w:hAnsiTheme="majorHAnsi"/>
                <w:b/>
                <w:sz w:val="20"/>
              </w:rPr>
            </w:pPr>
          </w:p>
        </w:tc>
        <w:tc>
          <w:tcPr>
            <w:tcW w:w="540" w:type="dxa"/>
            <w:shd w:val="clear" w:color="auto" w:fill="BFBFBF"/>
          </w:tcPr>
          <w:p w:rsidR="00ED4EC7" w:rsidRPr="000A3C73" w:rsidRDefault="00ED4EC7" w:rsidP="00ED4EC7">
            <w:pPr>
              <w:contextualSpacing/>
              <w:rPr>
                <w:rFonts w:asciiTheme="majorHAnsi" w:hAnsiTheme="majorHAnsi"/>
                <w:b/>
                <w:sz w:val="20"/>
              </w:rPr>
            </w:pPr>
          </w:p>
        </w:tc>
        <w:tc>
          <w:tcPr>
            <w:tcW w:w="540" w:type="dxa"/>
            <w:shd w:val="clear" w:color="auto" w:fill="BFBFBF"/>
          </w:tcPr>
          <w:p w:rsidR="00ED4EC7" w:rsidRPr="000A3C73" w:rsidRDefault="00ED4EC7" w:rsidP="00ED4EC7">
            <w:pPr>
              <w:contextualSpacing/>
              <w:rPr>
                <w:rFonts w:asciiTheme="majorHAnsi" w:hAnsiTheme="majorHAnsi"/>
                <w:b/>
                <w:sz w:val="20"/>
              </w:rPr>
            </w:pPr>
          </w:p>
        </w:tc>
      </w:tr>
      <w:tr w:rsidR="00ED4EC7" w:rsidRPr="000A3C73" w:rsidTr="00ED4EC7">
        <w:tc>
          <w:tcPr>
            <w:tcW w:w="7038" w:type="dxa"/>
          </w:tcPr>
          <w:p w:rsidR="00ED4EC7" w:rsidRPr="000A3C73" w:rsidRDefault="00ED4EC7" w:rsidP="00ED4EC7">
            <w:pPr>
              <w:contextualSpacing/>
              <w:rPr>
                <w:rFonts w:asciiTheme="majorHAnsi" w:hAnsiTheme="majorHAnsi"/>
                <w:b/>
                <w:sz w:val="20"/>
              </w:rPr>
            </w:pPr>
            <w:r w:rsidRPr="000A3C73">
              <w:rPr>
                <w:rFonts w:asciiTheme="majorHAnsi" w:hAnsiTheme="majorHAnsi"/>
                <w:b/>
                <w:sz w:val="20"/>
              </w:rPr>
              <w:t>Overall Achievement of Objective and Outcomes (Effectiveness)</w:t>
            </w:r>
          </w:p>
        </w:tc>
        <w:tc>
          <w:tcPr>
            <w:tcW w:w="900" w:type="dxa"/>
          </w:tcPr>
          <w:p w:rsidR="00ED4EC7" w:rsidRPr="000A3C73" w:rsidRDefault="00ED4EC7" w:rsidP="00ED4EC7">
            <w:pPr>
              <w:contextualSpacing/>
              <w:rPr>
                <w:rFonts w:asciiTheme="majorHAnsi" w:hAnsiTheme="majorHAnsi"/>
                <w:sz w:val="20"/>
              </w:rPr>
            </w:pPr>
            <w:r w:rsidRPr="000A3C73">
              <w:rPr>
                <w:rFonts w:asciiTheme="majorHAnsi" w:hAnsiTheme="majorHAnsi"/>
                <w:sz w:val="20"/>
              </w:rPr>
              <w:t>MS</w:t>
            </w:r>
          </w:p>
        </w:tc>
        <w:tc>
          <w:tcPr>
            <w:tcW w:w="540" w:type="dxa"/>
          </w:tcPr>
          <w:p w:rsidR="00ED4EC7" w:rsidRPr="000A3C73" w:rsidRDefault="00ED4EC7" w:rsidP="00ED4EC7">
            <w:pPr>
              <w:contextualSpacing/>
              <w:rPr>
                <w:rFonts w:asciiTheme="majorHAnsi" w:hAnsiTheme="majorHAnsi"/>
                <w:sz w:val="20"/>
              </w:rPr>
            </w:pPr>
            <w:r w:rsidRPr="000A3C73">
              <w:rPr>
                <w:rFonts w:asciiTheme="majorHAnsi" w:hAnsiTheme="majorHAnsi"/>
                <w:sz w:val="20"/>
              </w:rPr>
              <w:t>MU</w:t>
            </w:r>
          </w:p>
        </w:tc>
        <w:tc>
          <w:tcPr>
            <w:tcW w:w="540" w:type="dxa"/>
          </w:tcPr>
          <w:p w:rsidR="00ED4EC7" w:rsidRPr="000A3C73" w:rsidRDefault="00ED4EC7" w:rsidP="00ED4EC7">
            <w:pPr>
              <w:contextualSpacing/>
              <w:rPr>
                <w:rFonts w:asciiTheme="majorHAnsi" w:hAnsiTheme="majorHAnsi"/>
                <w:sz w:val="20"/>
              </w:rPr>
            </w:pPr>
            <w:r w:rsidRPr="000A3C73">
              <w:rPr>
                <w:rFonts w:asciiTheme="majorHAnsi" w:hAnsiTheme="majorHAnsi"/>
                <w:sz w:val="20"/>
              </w:rPr>
              <w:t>S</w:t>
            </w:r>
          </w:p>
        </w:tc>
        <w:tc>
          <w:tcPr>
            <w:tcW w:w="540" w:type="dxa"/>
          </w:tcPr>
          <w:p w:rsidR="00ED4EC7" w:rsidRPr="000A3C73" w:rsidRDefault="00ED4EC7" w:rsidP="00ED4EC7">
            <w:pPr>
              <w:contextualSpacing/>
              <w:rPr>
                <w:rFonts w:asciiTheme="majorHAnsi" w:hAnsiTheme="majorHAnsi"/>
                <w:sz w:val="20"/>
              </w:rPr>
            </w:pPr>
            <w:r w:rsidRPr="000A3C73">
              <w:rPr>
                <w:rFonts w:asciiTheme="majorHAnsi" w:hAnsiTheme="majorHAnsi"/>
                <w:sz w:val="20"/>
              </w:rPr>
              <w:t>S</w:t>
            </w:r>
          </w:p>
        </w:tc>
      </w:tr>
      <w:tr w:rsidR="00ED4EC7" w:rsidRPr="000A3C73" w:rsidTr="00ED4EC7">
        <w:tc>
          <w:tcPr>
            <w:tcW w:w="7038" w:type="dxa"/>
          </w:tcPr>
          <w:p w:rsidR="00ED4EC7" w:rsidRPr="000A3C73" w:rsidRDefault="00ED4EC7" w:rsidP="00ED4EC7">
            <w:pPr>
              <w:pStyle w:val="BodyText"/>
              <w:numPr>
                <w:ilvl w:val="0"/>
                <w:numId w:val="0"/>
              </w:numPr>
              <w:spacing w:after="0"/>
              <w:contextualSpacing/>
              <w:jc w:val="right"/>
              <w:rPr>
                <w:rFonts w:asciiTheme="majorHAnsi" w:hAnsiTheme="majorHAnsi"/>
                <w:sz w:val="20"/>
              </w:rPr>
            </w:pPr>
            <w:r w:rsidRPr="000A3C73">
              <w:rPr>
                <w:rFonts w:asciiTheme="majorHAnsi" w:hAnsiTheme="majorHAnsi"/>
                <w:b/>
                <w:sz w:val="20"/>
              </w:rPr>
              <w:t>Objective</w:t>
            </w:r>
            <w:r w:rsidRPr="000A3C73">
              <w:rPr>
                <w:rFonts w:asciiTheme="majorHAnsi" w:hAnsiTheme="majorHAnsi"/>
                <w:sz w:val="20"/>
              </w:rPr>
              <w:t xml:space="preserve">: To catalyse the adoption of integrated ecosystem management (IEM) in the trans-boundary Prespa Lakes Basin of FYR-Macedonia, Albania, and Greece to conserve globally significant biodiversity, mitigate pollution of the trans-boundary lakes, and provide a sustainable basis for the Basin’s further social and economic development.   </w:t>
            </w:r>
          </w:p>
        </w:tc>
        <w:tc>
          <w:tcPr>
            <w:tcW w:w="900" w:type="dxa"/>
          </w:tcPr>
          <w:p w:rsidR="00ED4EC7" w:rsidRPr="0089284E" w:rsidRDefault="00ED4EC7" w:rsidP="00ED4EC7">
            <w:pPr>
              <w:contextualSpacing/>
              <w:rPr>
                <w:rFonts w:asciiTheme="majorHAnsi" w:hAnsiTheme="majorHAnsi"/>
                <w:sz w:val="20"/>
              </w:rPr>
            </w:pPr>
            <w:r w:rsidRPr="0089284E">
              <w:rPr>
                <w:rFonts w:asciiTheme="majorHAnsi" w:hAnsiTheme="majorHAnsi"/>
                <w:sz w:val="20"/>
              </w:rPr>
              <w:t>MU</w:t>
            </w:r>
          </w:p>
        </w:tc>
        <w:tc>
          <w:tcPr>
            <w:tcW w:w="540" w:type="dxa"/>
          </w:tcPr>
          <w:p w:rsidR="00ED4EC7" w:rsidRPr="0089284E" w:rsidRDefault="00ED4EC7" w:rsidP="00ED4EC7">
            <w:pPr>
              <w:contextualSpacing/>
              <w:rPr>
                <w:rFonts w:asciiTheme="majorHAnsi" w:hAnsiTheme="majorHAnsi"/>
                <w:sz w:val="20"/>
              </w:rPr>
            </w:pPr>
            <w:r w:rsidRPr="0089284E">
              <w:rPr>
                <w:rFonts w:asciiTheme="majorHAnsi" w:hAnsiTheme="majorHAnsi"/>
                <w:sz w:val="20"/>
              </w:rPr>
              <w:t>MU</w:t>
            </w:r>
          </w:p>
        </w:tc>
        <w:tc>
          <w:tcPr>
            <w:tcW w:w="540" w:type="dxa"/>
          </w:tcPr>
          <w:p w:rsidR="00ED4EC7" w:rsidRPr="000A3C73" w:rsidRDefault="00ED4EC7" w:rsidP="00ED4EC7">
            <w:pPr>
              <w:contextualSpacing/>
              <w:rPr>
                <w:rFonts w:asciiTheme="majorHAnsi" w:hAnsiTheme="majorHAnsi"/>
                <w:sz w:val="20"/>
              </w:rPr>
            </w:pPr>
            <w:r w:rsidRPr="000A3C73">
              <w:rPr>
                <w:rFonts w:asciiTheme="majorHAnsi" w:hAnsiTheme="majorHAnsi"/>
                <w:sz w:val="20"/>
              </w:rPr>
              <w:t>S</w:t>
            </w:r>
          </w:p>
        </w:tc>
        <w:tc>
          <w:tcPr>
            <w:tcW w:w="540" w:type="dxa"/>
          </w:tcPr>
          <w:p w:rsidR="00ED4EC7" w:rsidRPr="00FC657B" w:rsidRDefault="00ED4EC7" w:rsidP="00ED4EC7">
            <w:pPr>
              <w:contextualSpacing/>
              <w:rPr>
                <w:rFonts w:asciiTheme="majorHAnsi" w:hAnsiTheme="majorHAnsi"/>
                <w:sz w:val="20"/>
              </w:rPr>
            </w:pPr>
            <w:r w:rsidRPr="00FC657B">
              <w:rPr>
                <w:rFonts w:asciiTheme="majorHAnsi" w:hAnsiTheme="majorHAnsi"/>
                <w:sz w:val="20"/>
              </w:rPr>
              <w:t>S</w:t>
            </w:r>
          </w:p>
        </w:tc>
      </w:tr>
      <w:tr w:rsidR="00ED4EC7" w:rsidRPr="000A3C73" w:rsidTr="00ED4EC7">
        <w:tc>
          <w:tcPr>
            <w:tcW w:w="7038" w:type="dxa"/>
          </w:tcPr>
          <w:p w:rsidR="00ED4EC7" w:rsidRPr="000A3C73" w:rsidRDefault="00ED4EC7" w:rsidP="00ED4EC7">
            <w:pPr>
              <w:pStyle w:val="BodyText"/>
              <w:numPr>
                <w:ilvl w:val="0"/>
                <w:numId w:val="0"/>
              </w:numPr>
              <w:spacing w:after="0"/>
              <w:contextualSpacing/>
              <w:jc w:val="right"/>
              <w:rPr>
                <w:rFonts w:asciiTheme="majorHAnsi" w:hAnsiTheme="majorHAnsi"/>
                <w:sz w:val="20"/>
              </w:rPr>
            </w:pPr>
            <w:r w:rsidRPr="000A3C73">
              <w:rPr>
                <w:rFonts w:asciiTheme="majorHAnsi" w:hAnsiTheme="majorHAnsi"/>
                <w:b/>
                <w:sz w:val="20"/>
              </w:rPr>
              <w:t>Outcome 1:</w:t>
            </w:r>
            <w:r w:rsidRPr="0089284E">
              <w:rPr>
                <w:rFonts w:asciiTheme="majorHAnsi" w:hAnsiTheme="majorHAnsi"/>
                <w:bCs/>
                <w:sz w:val="20"/>
              </w:rPr>
              <w:t>Stakeholders strengthen legal and regulatory enabling environment and establish land and water use management basis for maintaining and restoring ecosystem health in the Prespa Lakes Basin</w:t>
            </w:r>
          </w:p>
        </w:tc>
        <w:tc>
          <w:tcPr>
            <w:tcW w:w="900" w:type="dxa"/>
          </w:tcPr>
          <w:p w:rsidR="00ED4EC7" w:rsidRPr="00FC657B" w:rsidRDefault="00ED4EC7" w:rsidP="00ED4EC7">
            <w:pPr>
              <w:contextualSpacing/>
              <w:rPr>
                <w:rFonts w:asciiTheme="majorHAnsi" w:hAnsiTheme="majorHAnsi"/>
                <w:sz w:val="20"/>
              </w:rPr>
            </w:pPr>
            <w:r w:rsidRPr="00FC657B">
              <w:rPr>
                <w:rFonts w:asciiTheme="majorHAnsi" w:hAnsiTheme="majorHAnsi"/>
                <w:sz w:val="20"/>
              </w:rPr>
              <w:t>HS</w:t>
            </w:r>
          </w:p>
        </w:tc>
        <w:tc>
          <w:tcPr>
            <w:tcW w:w="540" w:type="dxa"/>
          </w:tcPr>
          <w:p w:rsidR="00ED4EC7" w:rsidRPr="00D77DF1" w:rsidRDefault="00ED4EC7" w:rsidP="00ED4EC7">
            <w:pPr>
              <w:contextualSpacing/>
              <w:rPr>
                <w:rFonts w:asciiTheme="majorHAnsi" w:hAnsiTheme="majorHAnsi"/>
                <w:sz w:val="20"/>
              </w:rPr>
            </w:pPr>
            <w:r w:rsidRPr="00FC657B">
              <w:rPr>
                <w:rFonts w:asciiTheme="majorHAnsi" w:hAnsiTheme="majorHAnsi"/>
                <w:sz w:val="20"/>
              </w:rPr>
              <w:t>N/A</w:t>
            </w:r>
          </w:p>
        </w:tc>
        <w:tc>
          <w:tcPr>
            <w:tcW w:w="540" w:type="dxa"/>
          </w:tcPr>
          <w:p w:rsidR="00ED4EC7" w:rsidRPr="00CD42DE" w:rsidRDefault="00ED4EC7" w:rsidP="00ED4EC7">
            <w:pPr>
              <w:contextualSpacing/>
              <w:rPr>
                <w:rFonts w:asciiTheme="majorHAnsi" w:hAnsiTheme="majorHAnsi"/>
                <w:sz w:val="20"/>
              </w:rPr>
            </w:pPr>
            <w:r w:rsidRPr="00CD42DE">
              <w:rPr>
                <w:rFonts w:asciiTheme="majorHAnsi" w:hAnsiTheme="majorHAnsi"/>
                <w:sz w:val="20"/>
              </w:rPr>
              <w:t>HS</w:t>
            </w:r>
          </w:p>
        </w:tc>
        <w:tc>
          <w:tcPr>
            <w:tcW w:w="540" w:type="dxa"/>
          </w:tcPr>
          <w:p w:rsidR="00ED4EC7" w:rsidRPr="00CD42DE" w:rsidRDefault="00ED4EC7" w:rsidP="00ED4EC7">
            <w:pPr>
              <w:contextualSpacing/>
              <w:rPr>
                <w:rFonts w:asciiTheme="majorHAnsi" w:hAnsiTheme="majorHAnsi"/>
                <w:sz w:val="20"/>
              </w:rPr>
            </w:pPr>
            <w:r w:rsidRPr="00CD42DE">
              <w:rPr>
                <w:rFonts w:asciiTheme="majorHAnsi" w:hAnsiTheme="majorHAnsi"/>
                <w:sz w:val="20"/>
              </w:rPr>
              <w:t>HS</w:t>
            </w:r>
          </w:p>
        </w:tc>
      </w:tr>
      <w:tr w:rsidR="00ED4EC7" w:rsidRPr="000A3C73" w:rsidTr="00ED4EC7">
        <w:tc>
          <w:tcPr>
            <w:tcW w:w="7038" w:type="dxa"/>
          </w:tcPr>
          <w:p w:rsidR="00ED4EC7" w:rsidRPr="000A3C73" w:rsidRDefault="00ED4EC7" w:rsidP="00ED4EC7">
            <w:pPr>
              <w:pStyle w:val="BodyText"/>
              <w:numPr>
                <w:ilvl w:val="0"/>
                <w:numId w:val="0"/>
              </w:numPr>
              <w:spacing w:after="0"/>
              <w:contextualSpacing/>
              <w:jc w:val="right"/>
              <w:rPr>
                <w:rFonts w:asciiTheme="majorHAnsi" w:hAnsiTheme="majorHAnsi"/>
                <w:sz w:val="20"/>
              </w:rPr>
            </w:pPr>
            <w:r w:rsidRPr="000A3C73">
              <w:rPr>
                <w:rFonts w:asciiTheme="majorHAnsi" w:hAnsiTheme="majorHAnsi"/>
                <w:b/>
                <w:sz w:val="20"/>
              </w:rPr>
              <w:t>Outcome 2:</w:t>
            </w:r>
            <w:r w:rsidRPr="0089284E">
              <w:rPr>
                <w:rFonts w:asciiTheme="majorHAnsi" w:hAnsiTheme="majorHAnsi"/>
                <w:sz w:val="20"/>
              </w:rPr>
              <w:t>Stakeholders modify productive sector resource management practices to reduce pesticide inputs, increase habitat heterogeneity, and improve the status of target species and communities within the national sectors of the Prespa Basin</w:t>
            </w:r>
          </w:p>
        </w:tc>
        <w:tc>
          <w:tcPr>
            <w:tcW w:w="900" w:type="dxa"/>
          </w:tcPr>
          <w:p w:rsidR="00ED4EC7" w:rsidRPr="00FC657B" w:rsidRDefault="00ED4EC7" w:rsidP="00ED4EC7">
            <w:pPr>
              <w:contextualSpacing/>
              <w:rPr>
                <w:rFonts w:asciiTheme="majorHAnsi" w:hAnsiTheme="majorHAnsi"/>
                <w:sz w:val="20"/>
              </w:rPr>
            </w:pPr>
            <w:r w:rsidRPr="00FC657B">
              <w:rPr>
                <w:rFonts w:asciiTheme="majorHAnsi" w:hAnsiTheme="majorHAnsi"/>
                <w:sz w:val="20"/>
              </w:rPr>
              <w:t>MS</w:t>
            </w:r>
          </w:p>
        </w:tc>
        <w:tc>
          <w:tcPr>
            <w:tcW w:w="540" w:type="dxa"/>
          </w:tcPr>
          <w:p w:rsidR="00ED4EC7" w:rsidRPr="00D77DF1" w:rsidRDefault="00ED4EC7" w:rsidP="00ED4EC7">
            <w:pPr>
              <w:contextualSpacing/>
              <w:rPr>
                <w:rFonts w:asciiTheme="majorHAnsi" w:hAnsiTheme="majorHAnsi"/>
                <w:sz w:val="20"/>
              </w:rPr>
            </w:pPr>
            <w:r w:rsidRPr="00FC657B">
              <w:rPr>
                <w:rFonts w:asciiTheme="majorHAnsi" w:hAnsiTheme="majorHAnsi"/>
                <w:sz w:val="20"/>
              </w:rPr>
              <w:t>N/A</w:t>
            </w:r>
          </w:p>
        </w:tc>
        <w:tc>
          <w:tcPr>
            <w:tcW w:w="540" w:type="dxa"/>
          </w:tcPr>
          <w:p w:rsidR="00ED4EC7" w:rsidRPr="00CD42DE" w:rsidRDefault="00ED4EC7" w:rsidP="00ED4EC7">
            <w:pPr>
              <w:contextualSpacing/>
              <w:rPr>
                <w:rFonts w:asciiTheme="majorHAnsi" w:hAnsiTheme="majorHAnsi"/>
                <w:sz w:val="20"/>
              </w:rPr>
            </w:pPr>
            <w:r w:rsidRPr="00CD42DE">
              <w:rPr>
                <w:rFonts w:asciiTheme="majorHAnsi" w:hAnsiTheme="majorHAnsi"/>
                <w:sz w:val="20"/>
              </w:rPr>
              <w:t>S</w:t>
            </w:r>
          </w:p>
        </w:tc>
        <w:tc>
          <w:tcPr>
            <w:tcW w:w="540" w:type="dxa"/>
          </w:tcPr>
          <w:p w:rsidR="00ED4EC7" w:rsidRPr="00CD42DE" w:rsidRDefault="00ED4EC7" w:rsidP="00ED4EC7">
            <w:pPr>
              <w:contextualSpacing/>
              <w:rPr>
                <w:rFonts w:asciiTheme="majorHAnsi" w:hAnsiTheme="majorHAnsi"/>
                <w:sz w:val="20"/>
              </w:rPr>
            </w:pPr>
            <w:r w:rsidRPr="00CD42DE">
              <w:rPr>
                <w:rFonts w:asciiTheme="majorHAnsi" w:hAnsiTheme="majorHAnsi"/>
                <w:sz w:val="20"/>
              </w:rPr>
              <w:t>MS</w:t>
            </w:r>
          </w:p>
        </w:tc>
      </w:tr>
      <w:tr w:rsidR="00ED4EC7" w:rsidRPr="000A3C73" w:rsidTr="00ED4EC7">
        <w:tc>
          <w:tcPr>
            <w:tcW w:w="7038" w:type="dxa"/>
          </w:tcPr>
          <w:p w:rsidR="00ED4EC7" w:rsidRPr="000A3C73" w:rsidRDefault="00ED4EC7" w:rsidP="00ED4EC7">
            <w:pPr>
              <w:pStyle w:val="BodyText"/>
              <w:numPr>
                <w:ilvl w:val="0"/>
                <w:numId w:val="0"/>
              </w:numPr>
              <w:spacing w:after="0"/>
              <w:contextualSpacing/>
              <w:jc w:val="right"/>
              <w:rPr>
                <w:rFonts w:asciiTheme="majorHAnsi" w:hAnsiTheme="majorHAnsi"/>
                <w:b/>
                <w:sz w:val="20"/>
              </w:rPr>
            </w:pPr>
            <w:r w:rsidRPr="000A3C73">
              <w:rPr>
                <w:rFonts w:asciiTheme="majorHAnsi" w:hAnsiTheme="majorHAnsi"/>
                <w:b/>
                <w:sz w:val="20"/>
              </w:rPr>
              <w:lastRenderedPageBreak/>
              <w:t xml:space="preserve">Outcome 3: </w:t>
            </w:r>
            <w:r w:rsidRPr="0089284E">
              <w:rPr>
                <w:rFonts w:asciiTheme="majorHAnsi" w:hAnsiTheme="majorHAnsi"/>
                <w:sz w:val="20"/>
              </w:rPr>
              <w:t>Stakeholders conserve priority biological diversity across the Prespa Basin and make key protected areas in Prespa Basin (PNP, GNP, ENR, and PPA-GR) fully operational</w:t>
            </w:r>
          </w:p>
        </w:tc>
        <w:tc>
          <w:tcPr>
            <w:tcW w:w="900" w:type="dxa"/>
          </w:tcPr>
          <w:p w:rsidR="00ED4EC7" w:rsidRPr="00FC657B" w:rsidRDefault="00ED4EC7" w:rsidP="00ED4EC7">
            <w:pPr>
              <w:contextualSpacing/>
              <w:rPr>
                <w:rFonts w:asciiTheme="majorHAnsi" w:hAnsiTheme="majorHAnsi"/>
                <w:sz w:val="20"/>
              </w:rPr>
            </w:pPr>
            <w:r w:rsidRPr="00FC657B">
              <w:rPr>
                <w:rFonts w:asciiTheme="majorHAnsi" w:hAnsiTheme="majorHAnsi"/>
                <w:sz w:val="20"/>
              </w:rPr>
              <w:t>MS</w:t>
            </w:r>
          </w:p>
        </w:tc>
        <w:tc>
          <w:tcPr>
            <w:tcW w:w="540" w:type="dxa"/>
          </w:tcPr>
          <w:p w:rsidR="00ED4EC7" w:rsidRPr="00D77DF1" w:rsidRDefault="00ED4EC7" w:rsidP="00ED4EC7">
            <w:pPr>
              <w:contextualSpacing/>
              <w:rPr>
                <w:rFonts w:asciiTheme="majorHAnsi" w:hAnsiTheme="majorHAnsi"/>
                <w:sz w:val="20"/>
              </w:rPr>
            </w:pPr>
            <w:r w:rsidRPr="00FC657B">
              <w:rPr>
                <w:rFonts w:asciiTheme="majorHAnsi" w:hAnsiTheme="majorHAnsi"/>
                <w:sz w:val="20"/>
              </w:rPr>
              <w:t>MS</w:t>
            </w:r>
          </w:p>
        </w:tc>
        <w:tc>
          <w:tcPr>
            <w:tcW w:w="540" w:type="dxa"/>
          </w:tcPr>
          <w:p w:rsidR="00ED4EC7" w:rsidRPr="00CD42DE" w:rsidRDefault="00ED4EC7" w:rsidP="00ED4EC7">
            <w:pPr>
              <w:contextualSpacing/>
              <w:rPr>
                <w:rFonts w:asciiTheme="majorHAnsi" w:hAnsiTheme="majorHAnsi"/>
                <w:sz w:val="20"/>
              </w:rPr>
            </w:pPr>
            <w:r w:rsidRPr="00CD42DE">
              <w:rPr>
                <w:rFonts w:asciiTheme="majorHAnsi" w:hAnsiTheme="majorHAnsi"/>
                <w:sz w:val="20"/>
              </w:rPr>
              <w:t>HS</w:t>
            </w:r>
          </w:p>
        </w:tc>
        <w:tc>
          <w:tcPr>
            <w:tcW w:w="540" w:type="dxa"/>
          </w:tcPr>
          <w:p w:rsidR="00ED4EC7" w:rsidRPr="00CD42DE" w:rsidRDefault="00ED4EC7" w:rsidP="00ED4EC7">
            <w:pPr>
              <w:contextualSpacing/>
              <w:rPr>
                <w:rFonts w:asciiTheme="majorHAnsi" w:hAnsiTheme="majorHAnsi"/>
                <w:sz w:val="20"/>
              </w:rPr>
            </w:pPr>
            <w:r w:rsidRPr="00CD42DE">
              <w:rPr>
                <w:rFonts w:asciiTheme="majorHAnsi" w:hAnsiTheme="majorHAnsi"/>
                <w:sz w:val="20"/>
              </w:rPr>
              <w:t>MS</w:t>
            </w:r>
          </w:p>
        </w:tc>
      </w:tr>
      <w:tr w:rsidR="00ED4EC7" w:rsidRPr="000A3C73" w:rsidTr="00ED4EC7">
        <w:tc>
          <w:tcPr>
            <w:tcW w:w="7038" w:type="dxa"/>
          </w:tcPr>
          <w:p w:rsidR="00ED4EC7" w:rsidRPr="000A3C73" w:rsidRDefault="00ED4EC7" w:rsidP="00ED4EC7">
            <w:pPr>
              <w:pStyle w:val="BodyText"/>
              <w:numPr>
                <w:ilvl w:val="0"/>
                <w:numId w:val="0"/>
              </w:numPr>
              <w:spacing w:after="0"/>
              <w:contextualSpacing/>
              <w:jc w:val="right"/>
              <w:rPr>
                <w:rFonts w:asciiTheme="majorHAnsi" w:hAnsiTheme="majorHAnsi"/>
                <w:b/>
                <w:sz w:val="20"/>
              </w:rPr>
            </w:pPr>
            <w:r w:rsidRPr="000A3C73">
              <w:rPr>
                <w:rFonts w:asciiTheme="majorHAnsi" w:hAnsiTheme="majorHAnsi"/>
                <w:b/>
                <w:sz w:val="20"/>
              </w:rPr>
              <w:t xml:space="preserve">Outcome 4: </w:t>
            </w:r>
            <w:r w:rsidRPr="0089284E">
              <w:rPr>
                <w:rFonts w:asciiTheme="majorHAnsi" w:hAnsiTheme="majorHAnsi"/>
                <w:sz w:val="20"/>
              </w:rPr>
              <w:t>Stakeholders build upon on-going trans-boundary cooperation in the Prespa Basin by strengthening the trans-boundary coordination mechanism and piloting trans-boundary conservation and water management</w:t>
            </w:r>
          </w:p>
        </w:tc>
        <w:tc>
          <w:tcPr>
            <w:tcW w:w="900" w:type="dxa"/>
          </w:tcPr>
          <w:p w:rsidR="00ED4EC7" w:rsidRPr="00FC657B" w:rsidRDefault="00ED4EC7" w:rsidP="00ED4EC7">
            <w:pPr>
              <w:contextualSpacing/>
              <w:rPr>
                <w:rFonts w:asciiTheme="majorHAnsi" w:hAnsiTheme="majorHAnsi"/>
                <w:sz w:val="20"/>
              </w:rPr>
            </w:pPr>
            <w:r w:rsidRPr="00FC657B">
              <w:rPr>
                <w:rFonts w:asciiTheme="majorHAnsi" w:hAnsiTheme="majorHAnsi"/>
                <w:sz w:val="20"/>
              </w:rPr>
              <w:t>MS</w:t>
            </w:r>
          </w:p>
        </w:tc>
        <w:tc>
          <w:tcPr>
            <w:tcW w:w="540" w:type="dxa"/>
          </w:tcPr>
          <w:p w:rsidR="00ED4EC7" w:rsidRPr="000A3C73" w:rsidRDefault="00ED4EC7" w:rsidP="00ED4EC7">
            <w:pPr>
              <w:contextualSpacing/>
              <w:rPr>
                <w:rFonts w:asciiTheme="majorHAnsi" w:hAnsiTheme="majorHAnsi"/>
                <w:sz w:val="20"/>
              </w:rPr>
            </w:pPr>
            <w:r w:rsidRPr="0089284E">
              <w:rPr>
                <w:rFonts w:asciiTheme="majorHAnsi" w:hAnsiTheme="majorHAnsi"/>
                <w:sz w:val="20"/>
              </w:rPr>
              <w:t>MU</w:t>
            </w:r>
          </w:p>
        </w:tc>
        <w:tc>
          <w:tcPr>
            <w:tcW w:w="540" w:type="dxa"/>
          </w:tcPr>
          <w:p w:rsidR="00ED4EC7" w:rsidRPr="00FC657B" w:rsidRDefault="00ED4EC7" w:rsidP="00ED4EC7">
            <w:pPr>
              <w:contextualSpacing/>
              <w:rPr>
                <w:rFonts w:asciiTheme="majorHAnsi" w:hAnsiTheme="majorHAnsi"/>
                <w:sz w:val="20"/>
              </w:rPr>
            </w:pPr>
            <w:r w:rsidRPr="00FC657B">
              <w:rPr>
                <w:rFonts w:asciiTheme="majorHAnsi" w:hAnsiTheme="majorHAnsi"/>
                <w:sz w:val="20"/>
              </w:rPr>
              <w:t>S</w:t>
            </w:r>
          </w:p>
        </w:tc>
        <w:tc>
          <w:tcPr>
            <w:tcW w:w="540" w:type="dxa"/>
          </w:tcPr>
          <w:p w:rsidR="00ED4EC7" w:rsidRPr="00D77DF1" w:rsidRDefault="00ED4EC7" w:rsidP="00ED4EC7">
            <w:pPr>
              <w:contextualSpacing/>
              <w:rPr>
                <w:rFonts w:asciiTheme="majorHAnsi" w:hAnsiTheme="majorHAnsi"/>
                <w:sz w:val="20"/>
              </w:rPr>
            </w:pPr>
            <w:r w:rsidRPr="00FC657B">
              <w:rPr>
                <w:rFonts w:asciiTheme="majorHAnsi" w:hAnsiTheme="majorHAnsi"/>
                <w:sz w:val="20"/>
              </w:rPr>
              <w:t>S</w:t>
            </w:r>
          </w:p>
        </w:tc>
      </w:tr>
      <w:tr w:rsidR="00ED4EC7" w:rsidRPr="000A3C73" w:rsidTr="00ED4EC7">
        <w:tc>
          <w:tcPr>
            <w:tcW w:w="7038" w:type="dxa"/>
          </w:tcPr>
          <w:p w:rsidR="00ED4EC7" w:rsidRPr="000A3C73" w:rsidRDefault="00ED4EC7" w:rsidP="00ED4EC7">
            <w:pPr>
              <w:pStyle w:val="BodyText"/>
              <w:numPr>
                <w:ilvl w:val="0"/>
                <w:numId w:val="0"/>
              </w:numPr>
              <w:spacing w:after="0"/>
              <w:contextualSpacing/>
              <w:jc w:val="right"/>
              <w:rPr>
                <w:rFonts w:asciiTheme="majorHAnsi" w:hAnsiTheme="majorHAnsi"/>
                <w:b/>
                <w:sz w:val="20"/>
              </w:rPr>
            </w:pPr>
            <w:r w:rsidRPr="000A3C73">
              <w:rPr>
                <w:rFonts w:asciiTheme="majorHAnsi" w:hAnsiTheme="majorHAnsi"/>
                <w:b/>
                <w:sz w:val="20"/>
              </w:rPr>
              <w:t xml:space="preserve">Outcome 5: </w:t>
            </w:r>
            <w:r w:rsidRPr="000A3C73">
              <w:rPr>
                <w:rFonts w:asciiTheme="majorHAnsi" w:hAnsiTheme="majorHAnsi"/>
                <w:sz w:val="20"/>
              </w:rPr>
              <w:t>Lessons learned and adaptive management of project</w:t>
            </w:r>
          </w:p>
        </w:tc>
        <w:tc>
          <w:tcPr>
            <w:tcW w:w="900" w:type="dxa"/>
          </w:tcPr>
          <w:p w:rsidR="00ED4EC7" w:rsidRPr="000A3C73" w:rsidRDefault="00ED4EC7" w:rsidP="00ED4EC7">
            <w:pPr>
              <w:contextualSpacing/>
              <w:rPr>
                <w:rFonts w:asciiTheme="majorHAnsi" w:hAnsiTheme="majorHAnsi"/>
                <w:sz w:val="20"/>
              </w:rPr>
            </w:pPr>
            <w:r w:rsidRPr="000A3C73">
              <w:rPr>
                <w:rFonts w:asciiTheme="majorHAnsi" w:hAnsiTheme="majorHAnsi"/>
                <w:sz w:val="20"/>
              </w:rPr>
              <w:t>S</w:t>
            </w:r>
          </w:p>
        </w:tc>
        <w:tc>
          <w:tcPr>
            <w:tcW w:w="540" w:type="dxa"/>
          </w:tcPr>
          <w:p w:rsidR="00ED4EC7" w:rsidRPr="000A3C73" w:rsidRDefault="00ED4EC7" w:rsidP="00ED4EC7">
            <w:pPr>
              <w:contextualSpacing/>
              <w:rPr>
                <w:rFonts w:asciiTheme="majorHAnsi" w:hAnsiTheme="majorHAnsi"/>
                <w:sz w:val="20"/>
              </w:rPr>
            </w:pPr>
            <w:r w:rsidRPr="000A3C73">
              <w:rPr>
                <w:rFonts w:asciiTheme="majorHAnsi" w:hAnsiTheme="majorHAnsi"/>
                <w:sz w:val="20"/>
              </w:rPr>
              <w:t>MS</w:t>
            </w:r>
          </w:p>
        </w:tc>
        <w:tc>
          <w:tcPr>
            <w:tcW w:w="540" w:type="dxa"/>
          </w:tcPr>
          <w:p w:rsidR="00ED4EC7" w:rsidRPr="000A3C73" w:rsidRDefault="00ED4EC7" w:rsidP="00ED4EC7">
            <w:pPr>
              <w:contextualSpacing/>
              <w:rPr>
                <w:rFonts w:asciiTheme="majorHAnsi" w:hAnsiTheme="majorHAnsi"/>
                <w:sz w:val="20"/>
              </w:rPr>
            </w:pPr>
            <w:r w:rsidRPr="000A3C73">
              <w:rPr>
                <w:rFonts w:asciiTheme="majorHAnsi" w:hAnsiTheme="majorHAnsi"/>
                <w:sz w:val="20"/>
              </w:rPr>
              <w:t>S</w:t>
            </w:r>
          </w:p>
        </w:tc>
        <w:tc>
          <w:tcPr>
            <w:tcW w:w="540" w:type="dxa"/>
          </w:tcPr>
          <w:p w:rsidR="00ED4EC7" w:rsidRPr="000A3C73" w:rsidRDefault="00ED4EC7" w:rsidP="00ED4EC7">
            <w:pPr>
              <w:contextualSpacing/>
              <w:rPr>
                <w:rFonts w:asciiTheme="majorHAnsi" w:hAnsiTheme="majorHAnsi"/>
                <w:sz w:val="20"/>
              </w:rPr>
            </w:pPr>
            <w:r w:rsidRPr="000A3C73">
              <w:rPr>
                <w:rFonts w:asciiTheme="majorHAnsi" w:hAnsiTheme="majorHAnsi"/>
                <w:sz w:val="20"/>
              </w:rPr>
              <w:t>S</w:t>
            </w:r>
          </w:p>
        </w:tc>
      </w:tr>
      <w:tr w:rsidR="00ED4EC7" w:rsidRPr="000A3C73" w:rsidTr="00ED4EC7">
        <w:tc>
          <w:tcPr>
            <w:tcW w:w="7038" w:type="dxa"/>
          </w:tcPr>
          <w:p w:rsidR="00ED4EC7" w:rsidRPr="000A3C73" w:rsidRDefault="00ED4EC7" w:rsidP="00ED4EC7">
            <w:pPr>
              <w:pStyle w:val="BodyText"/>
              <w:numPr>
                <w:ilvl w:val="0"/>
                <w:numId w:val="0"/>
              </w:numPr>
              <w:spacing w:after="0"/>
              <w:contextualSpacing/>
              <w:jc w:val="right"/>
              <w:rPr>
                <w:rFonts w:asciiTheme="majorHAnsi" w:hAnsiTheme="majorHAnsi"/>
                <w:b/>
                <w:sz w:val="20"/>
              </w:rPr>
            </w:pPr>
            <w:r w:rsidRPr="000A3C73">
              <w:rPr>
                <w:rFonts w:asciiTheme="majorHAnsi" w:hAnsiTheme="majorHAnsi"/>
                <w:b/>
                <w:sz w:val="20"/>
              </w:rPr>
              <w:t>Overall Outcomes</w:t>
            </w:r>
          </w:p>
        </w:tc>
        <w:tc>
          <w:tcPr>
            <w:tcW w:w="900" w:type="dxa"/>
          </w:tcPr>
          <w:p w:rsidR="00ED4EC7" w:rsidRPr="000A3C73" w:rsidRDefault="00ED4EC7" w:rsidP="00ED4EC7">
            <w:pPr>
              <w:contextualSpacing/>
              <w:rPr>
                <w:rFonts w:asciiTheme="majorHAnsi" w:hAnsiTheme="majorHAnsi"/>
                <w:sz w:val="20"/>
              </w:rPr>
            </w:pPr>
            <w:r w:rsidRPr="000A3C73">
              <w:rPr>
                <w:rFonts w:asciiTheme="majorHAnsi" w:hAnsiTheme="majorHAnsi"/>
                <w:sz w:val="20"/>
              </w:rPr>
              <w:t>MS</w:t>
            </w:r>
          </w:p>
        </w:tc>
        <w:tc>
          <w:tcPr>
            <w:tcW w:w="540" w:type="dxa"/>
          </w:tcPr>
          <w:p w:rsidR="00ED4EC7" w:rsidRPr="000A3C73" w:rsidRDefault="00ED4EC7" w:rsidP="00ED4EC7">
            <w:pPr>
              <w:contextualSpacing/>
              <w:rPr>
                <w:rFonts w:asciiTheme="majorHAnsi" w:hAnsiTheme="majorHAnsi"/>
                <w:sz w:val="20"/>
              </w:rPr>
            </w:pPr>
            <w:r w:rsidRPr="0089284E">
              <w:rPr>
                <w:rFonts w:asciiTheme="majorHAnsi" w:hAnsiTheme="majorHAnsi"/>
                <w:sz w:val="20"/>
              </w:rPr>
              <w:t>MU</w:t>
            </w:r>
          </w:p>
        </w:tc>
        <w:tc>
          <w:tcPr>
            <w:tcW w:w="540" w:type="dxa"/>
          </w:tcPr>
          <w:p w:rsidR="00ED4EC7" w:rsidRPr="00FC657B" w:rsidRDefault="00ED4EC7" w:rsidP="00ED4EC7">
            <w:pPr>
              <w:contextualSpacing/>
              <w:rPr>
                <w:rFonts w:asciiTheme="majorHAnsi" w:hAnsiTheme="majorHAnsi"/>
                <w:sz w:val="20"/>
              </w:rPr>
            </w:pPr>
            <w:r w:rsidRPr="00FC657B">
              <w:rPr>
                <w:rFonts w:asciiTheme="majorHAnsi" w:hAnsiTheme="majorHAnsi"/>
                <w:sz w:val="20"/>
              </w:rPr>
              <w:t>S</w:t>
            </w:r>
          </w:p>
        </w:tc>
        <w:tc>
          <w:tcPr>
            <w:tcW w:w="540" w:type="dxa"/>
          </w:tcPr>
          <w:p w:rsidR="00ED4EC7" w:rsidRPr="00FC657B" w:rsidRDefault="00ED4EC7" w:rsidP="00ED4EC7">
            <w:pPr>
              <w:contextualSpacing/>
              <w:rPr>
                <w:rFonts w:asciiTheme="majorHAnsi" w:hAnsiTheme="majorHAnsi"/>
                <w:sz w:val="20"/>
              </w:rPr>
            </w:pPr>
            <w:r w:rsidRPr="00FC657B">
              <w:rPr>
                <w:rFonts w:asciiTheme="majorHAnsi" w:hAnsiTheme="majorHAnsi"/>
                <w:sz w:val="20"/>
              </w:rPr>
              <w:t>S</w:t>
            </w:r>
          </w:p>
        </w:tc>
      </w:tr>
      <w:tr w:rsidR="00ED4EC7" w:rsidRPr="000A3C73" w:rsidTr="00ED4EC7">
        <w:tc>
          <w:tcPr>
            <w:tcW w:w="7038" w:type="dxa"/>
          </w:tcPr>
          <w:p w:rsidR="00ED4EC7" w:rsidRPr="000A3C73" w:rsidRDefault="00ED4EC7" w:rsidP="00ED4EC7">
            <w:pPr>
              <w:pStyle w:val="BodyText"/>
              <w:numPr>
                <w:ilvl w:val="0"/>
                <w:numId w:val="0"/>
              </w:numPr>
              <w:spacing w:after="0"/>
              <w:contextualSpacing/>
              <w:jc w:val="right"/>
              <w:rPr>
                <w:rFonts w:asciiTheme="majorHAnsi" w:hAnsiTheme="majorHAnsi"/>
                <w:b/>
                <w:sz w:val="20"/>
              </w:rPr>
            </w:pPr>
            <w:r w:rsidRPr="000A3C73">
              <w:rPr>
                <w:rFonts w:asciiTheme="majorHAnsi" w:hAnsiTheme="majorHAnsi"/>
                <w:b/>
                <w:sz w:val="20"/>
              </w:rPr>
              <w:t xml:space="preserve">Impact </w:t>
            </w:r>
          </w:p>
        </w:tc>
        <w:tc>
          <w:tcPr>
            <w:tcW w:w="900" w:type="dxa"/>
          </w:tcPr>
          <w:p w:rsidR="00ED4EC7" w:rsidRPr="0089284E" w:rsidRDefault="00ED4EC7" w:rsidP="00ED4EC7">
            <w:pPr>
              <w:contextualSpacing/>
              <w:rPr>
                <w:rFonts w:asciiTheme="majorHAnsi" w:hAnsiTheme="majorHAnsi"/>
                <w:sz w:val="20"/>
              </w:rPr>
            </w:pPr>
            <w:r w:rsidRPr="0089284E">
              <w:rPr>
                <w:rFonts w:asciiTheme="majorHAnsi" w:hAnsiTheme="majorHAnsi"/>
                <w:sz w:val="20"/>
              </w:rPr>
              <w:t>N</w:t>
            </w:r>
          </w:p>
        </w:tc>
        <w:tc>
          <w:tcPr>
            <w:tcW w:w="540" w:type="dxa"/>
          </w:tcPr>
          <w:p w:rsidR="00ED4EC7" w:rsidRPr="0089284E" w:rsidRDefault="00ED4EC7" w:rsidP="00ED4EC7">
            <w:pPr>
              <w:contextualSpacing/>
              <w:rPr>
                <w:rFonts w:asciiTheme="majorHAnsi" w:hAnsiTheme="majorHAnsi"/>
                <w:sz w:val="20"/>
              </w:rPr>
            </w:pPr>
            <w:r w:rsidRPr="0089284E">
              <w:rPr>
                <w:rFonts w:asciiTheme="majorHAnsi" w:hAnsiTheme="majorHAnsi"/>
                <w:sz w:val="20"/>
              </w:rPr>
              <w:t>N</w:t>
            </w:r>
          </w:p>
        </w:tc>
        <w:tc>
          <w:tcPr>
            <w:tcW w:w="540" w:type="dxa"/>
          </w:tcPr>
          <w:p w:rsidR="00ED4EC7" w:rsidRPr="000A3C73" w:rsidRDefault="00ED4EC7" w:rsidP="00ED4EC7">
            <w:pPr>
              <w:contextualSpacing/>
              <w:rPr>
                <w:rFonts w:asciiTheme="majorHAnsi" w:hAnsiTheme="majorHAnsi"/>
                <w:sz w:val="20"/>
              </w:rPr>
            </w:pPr>
            <w:r w:rsidRPr="000A3C73">
              <w:rPr>
                <w:rFonts w:asciiTheme="majorHAnsi" w:hAnsiTheme="majorHAnsi"/>
                <w:sz w:val="20"/>
              </w:rPr>
              <w:t>M</w:t>
            </w:r>
          </w:p>
        </w:tc>
        <w:tc>
          <w:tcPr>
            <w:tcW w:w="540" w:type="dxa"/>
          </w:tcPr>
          <w:p w:rsidR="00ED4EC7" w:rsidRPr="00FC657B" w:rsidRDefault="00ED4EC7" w:rsidP="00ED4EC7">
            <w:pPr>
              <w:contextualSpacing/>
              <w:rPr>
                <w:rFonts w:asciiTheme="majorHAnsi" w:hAnsiTheme="majorHAnsi"/>
                <w:sz w:val="20"/>
              </w:rPr>
            </w:pPr>
            <w:r w:rsidRPr="00FC657B">
              <w:rPr>
                <w:rFonts w:asciiTheme="majorHAnsi" w:hAnsiTheme="majorHAnsi"/>
                <w:sz w:val="20"/>
              </w:rPr>
              <w:t>N</w:t>
            </w:r>
          </w:p>
        </w:tc>
      </w:tr>
      <w:tr w:rsidR="00ED4EC7" w:rsidRPr="000A3C73" w:rsidTr="00ED4EC7">
        <w:tc>
          <w:tcPr>
            <w:tcW w:w="7038" w:type="dxa"/>
            <w:shd w:val="clear" w:color="auto" w:fill="BFBFBF"/>
          </w:tcPr>
          <w:p w:rsidR="00ED4EC7" w:rsidRPr="000A3C73" w:rsidRDefault="00ED4EC7" w:rsidP="00ED4EC7">
            <w:pPr>
              <w:contextualSpacing/>
              <w:jc w:val="right"/>
              <w:rPr>
                <w:rFonts w:asciiTheme="majorHAnsi" w:hAnsiTheme="majorHAnsi"/>
                <w:sz w:val="20"/>
              </w:rPr>
            </w:pPr>
            <w:r w:rsidRPr="000A3C73">
              <w:rPr>
                <w:rFonts w:asciiTheme="majorHAnsi" w:hAnsiTheme="majorHAnsi"/>
                <w:b/>
                <w:sz w:val="20"/>
              </w:rPr>
              <w:t>Sustainability</w:t>
            </w:r>
          </w:p>
        </w:tc>
        <w:tc>
          <w:tcPr>
            <w:tcW w:w="900" w:type="dxa"/>
            <w:shd w:val="clear" w:color="auto" w:fill="BFBFBF"/>
          </w:tcPr>
          <w:p w:rsidR="00ED4EC7" w:rsidRPr="000A3C73" w:rsidRDefault="00ED4EC7" w:rsidP="00ED4EC7">
            <w:pPr>
              <w:contextualSpacing/>
              <w:rPr>
                <w:rFonts w:asciiTheme="majorHAnsi" w:hAnsiTheme="majorHAnsi"/>
                <w:sz w:val="20"/>
              </w:rPr>
            </w:pPr>
          </w:p>
        </w:tc>
        <w:tc>
          <w:tcPr>
            <w:tcW w:w="540" w:type="dxa"/>
            <w:shd w:val="clear" w:color="auto" w:fill="BFBFBF"/>
          </w:tcPr>
          <w:p w:rsidR="00ED4EC7" w:rsidRPr="000A3C73" w:rsidRDefault="00ED4EC7" w:rsidP="00ED4EC7">
            <w:pPr>
              <w:contextualSpacing/>
              <w:rPr>
                <w:rFonts w:asciiTheme="majorHAnsi" w:hAnsiTheme="majorHAnsi"/>
                <w:sz w:val="20"/>
              </w:rPr>
            </w:pPr>
          </w:p>
        </w:tc>
        <w:tc>
          <w:tcPr>
            <w:tcW w:w="540" w:type="dxa"/>
            <w:shd w:val="clear" w:color="auto" w:fill="BFBFBF"/>
          </w:tcPr>
          <w:p w:rsidR="00ED4EC7" w:rsidRPr="000A3C73" w:rsidRDefault="00ED4EC7" w:rsidP="00ED4EC7">
            <w:pPr>
              <w:contextualSpacing/>
              <w:rPr>
                <w:rFonts w:asciiTheme="majorHAnsi" w:hAnsiTheme="majorHAnsi"/>
                <w:sz w:val="20"/>
              </w:rPr>
            </w:pPr>
          </w:p>
        </w:tc>
        <w:tc>
          <w:tcPr>
            <w:tcW w:w="540" w:type="dxa"/>
            <w:shd w:val="clear" w:color="auto" w:fill="BFBFBF"/>
          </w:tcPr>
          <w:p w:rsidR="00ED4EC7" w:rsidRPr="000A3C73" w:rsidRDefault="00ED4EC7" w:rsidP="00ED4EC7">
            <w:pPr>
              <w:contextualSpacing/>
              <w:rPr>
                <w:rFonts w:asciiTheme="majorHAnsi" w:hAnsiTheme="majorHAnsi"/>
                <w:sz w:val="20"/>
              </w:rPr>
            </w:pPr>
          </w:p>
        </w:tc>
      </w:tr>
      <w:tr w:rsidR="00ED4EC7" w:rsidRPr="000A3C73" w:rsidTr="00ED4EC7">
        <w:tc>
          <w:tcPr>
            <w:tcW w:w="7038" w:type="dxa"/>
          </w:tcPr>
          <w:p w:rsidR="00ED4EC7" w:rsidRPr="000A3C73" w:rsidRDefault="00ED4EC7" w:rsidP="00ED4EC7">
            <w:pPr>
              <w:contextualSpacing/>
              <w:rPr>
                <w:rFonts w:asciiTheme="majorHAnsi" w:hAnsiTheme="majorHAnsi"/>
                <w:b/>
                <w:sz w:val="20"/>
              </w:rPr>
            </w:pPr>
            <w:r w:rsidRPr="000A3C73">
              <w:rPr>
                <w:rFonts w:asciiTheme="majorHAnsi" w:hAnsiTheme="majorHAnsi"/>
                <w:b/>
                <w:sz w:val="20"/>
              </w:rPr>
              <w:t>Overall Sustainability</w:t>
            </w:r>
          </w:p>
        </w:tc>
        <w:tc>
          <w:tcPr>
            <w:tcW w:w="900" w:type="dxa"/>
          </w:tcPr>
          <w:p w:rsidR="00ED4EC7" w:rsidRPr="000A3C73" w:rsidRDefault="00ED4EC7" w:rsidP="00ED4EC7">
            <w:pPr>
              <w:contextualSpacing/>
              <w:rPr>
                <w:rFonts w:asciiTheme="majorHAnsi" w:hAnsiTheme="majorHAnsi"/>
                <w:sz w:val="20"/>
              </w:rPr>
            </w:pPr>
            <w:r w:rsidRPr="000A3C73">
              <w:rPr>
                <w:rFonts w:asciiTheme="majorHAnsi" w:hAnsiTheme="majorHAnsi"/>
                <w:sz w:val="20"/>
              </w:rPr>
              <w:t>ML</w:t>
            </w:r>
          </w:p>
        </w:tc>
        <w:tc>
          <w:tcPr>
            <w:tcW w:w="540" w:type="dxa"/>
          </w:tcPr>
          <w:p w:rsidR="00ED4EC7" w:rsidRPr="000A3C73" w:rsidRDefault="00ED4EC7" w:rsidP="00ED4EC7">
            <w:pPr>
              <w:contextualSpacing/>
              <w:rPr>
                <w:rFonts w:asciiTheme="majorHAnsi" w:hAnsiTheme="majorHAnsi"/>
                <w:sz w:val="20"/>
              </w:rPr>
            </w:pPr>
            <w:r w:rsidRPr="0089284E">
              <w:rPr>
                <w:rFonts w:asciiTheme="majorHAnsi" w:hAnsiTheme="majorHAnsi"/>
                <w:sz w:val="20"/>
              </w:rPr>
              <w:t>U</w:t>
            </w:r>
          </w:p>
        </w:tc>
        <w:tc>
          <w:tcPr>
            <w:tcW w:w="540" w:type="dxa"/>
          </w:tcPr>
          <w:p w:rsidR="00ED4EC7" w:rsidRPr="000A3C73" w:rsidRDefault="00ED4EC7" w:rsidP="00ED4EC7">
            <w:pPr>
              <w:contextualSpacing/>
              <w:rPr>
                <w:rFonts w:asciiTheme="majorHAnsi" w:hAnsiTheme="majorHAnsi"/>
                <w:sz w:val="20"/>
              </w:rPr>
            </w:pPr>
            <w:r w:rsidRPr="0089284E">
              <w:rPr>
                <w:rFonts w:asciiTheme="majorHAnsi" w:hAnsiTheme="majorHAnsi"/>
                <w:sz w:val="20"/>
              </w:rPr>
              <w:t>ML</w:t>
            </w:r>
          </w:p>
        </w:tc>
        <w:tc>
          <w:tcPr>
            <w:tcW w:w="540" w:type="dxa"/>
          </w:tcPr>
          <w:p w:rsidR="00ED4EC7" w:rsidRPr="00FC657B" w:rsidRDefault="00ED4EC7" w:rsidP="00ED4EC7">
            <w:pPr>
              <w:contextualSpacing/>
              <w:rPr>
                <w:rFonts w:asciiTheme="majorHAnsi" w:hAnsiTheme="majorHAnsi"/>
                <w:sz w:val="20"/>
              </w:rPr>
            </w:pPr>
            <w:r w:rsidRPr="00FC657B">
              <w:rPr>
                <w:rFonts w:asciiTheme="majorHAnsi" w:hAnsiTheme="majorHAnsi"/>
                <w:sz w:val="20"/>
              </w:rPr>
              <w:t>ML</w:t>
            </w:r>
          </w:p>
        </w:tc>
      </w:tr>
      <w:tr w:rsidR="00ED4EC7" w:rsidRPr="000A3C73" w:rsidTr="00ED4EC7">
        <w:tc>
          <w:tcPr>
            <w:tcW w:w="7038" w:type="dxa"/>
          </w:tcPr>
          <w:p w:rsidR="00ED4EC7" w:rsidRPr="000A3C73" w:rsidRDefault="00ED4EC7" w:rsidP="00ED4EC7">
            <w:pPr>
              <w:contextualSpacing/>
              <w:jc w:val="right"/>
              <w:rPr>
                <w:rFonts w:asciiTheme="majorHAnsi" w:hAnsiTheme="majorHAnsi"/>
                <w:b/>
                <w:sz w:val="20"/>
              </w:rPr>
            </w:pPr>
            <w:r w:rsidRPr="000A3C73">
              <w:rPr>
                <w:rFonts w:asciiTheme="majorHAnsi" w:hAnsiTheme="majorHAnsi"/>
                <w:sz w:val="20"/>
              </w:rPr>
              <w:t xml:space="preserve">Financial </w:t>
            </w:r>
          </w:p>
        </w:tc>
        <w:tc>
          <w:tcPr>
            <w:tcW w:w="900" w:type="dxa"/>
          </w:tcPr>
          <w:p w:rsidR="00ED4EC7" w:rsidRPr="000A3C73" w:rsidRDefault="00ED4EC7" w:rsidP="00ED4EC7">
            <w:pPr>
              <w:contextualSpacing/>
              <w:rPr>
                <w:rFonts w:asciiTheme="majorHAnsi" w:hAnsiTheme="majorHAnsi"/>
                <w:sz w:val="20"/>
              </w:rPr>
            </w:pPr>
            <w:r w:rsidRPr="000A3C73">
              <w:rPr>
                <w:rFonts w:asciiTheme="majorHAnsi" w:hAnsiTheme="majorHAnsi"/>
                <w:sz w:val="20"/>
              </w:rPr>
              <w:t>N/A</w:t>
            </w:r>
          </w:p>
        </w:tc>
        <w:tc>
          <w:tcPr>
            <w:tcW w:w="540" w:type="dxa"/>
          </w:tcPr>
          <w:p w:rsidR="00ED4EC7" w:rsidRPr="000A3C73" w:rsidRDefault="00ED4EC7" w:rsidP="00ED4EC7">
            <w:pPr>
              <w:contextualSpacing/>
              <w:rPr>
                <w:rFonts w:asciiTheme="majorHAnsi" w:hAnsiTheme="majorHAnsi"/>
                <w:sz w:val="20"/>
              </w:rPr>
            </w:pPr>
            <w:r w:rsidRPr="0089284E">
              <w:rPr>
                <w:rFonts w:asciiTheme="majorHAnsi" w:hAnsiTheme="majorHAnsi"/>
                <w:sz w:val="20"/>
              </w:rPr>
              <w:t>U</w:t>
            </w:r>
          </w:p>
        </w:tc>
        <w:tc>
          <w:tcPr>
            <w:tcW w:w="540" w:type="dxa"/>
          </w:tcPr>
          <w:p w:rsidR="00ED4EC7" w:rsidRPr="00FC657B" w:rsidRDefault="00ED4EC7" w:rsidP="00ED4EC7">
            <w:pPr>
              <w:contextualSpacing/>
              <w:rPr>
                <w:rFonts w:asciiTheme="majorHAnsi" w:hAnsiTheme="majorHAnsi"/>
                <w:sz w:val="20"/>
              </w:rPr>
            </w:pPr>
            <w:r w:rsidRPr="00FC657B">
              <w:rPr>
                <w:rFonts w:asciiTheme="majorHAnsi" w:hAnsiTheme="majorHAnsi"/>
                <w:sz w:val="20"/>
              </w:rPr>
              <w:t>L</w:t>
            </w:r>
          </w:p>
        </w:tc>
        <w:tc>
          <w:tcPr>
            <w:tcW w:w="540" w:type="dxa"/>
          </w:tcPr>
          <w:p w:rsidR="00ED4EC7" w:rsidRPr="00FC657B" w:rsidRDefault="00ED4EC7" w:rsidP="00ED4EC7">
            <w:pPr>
              <w:contextualSpacing/>
              <w:rPr>
                <w:rFonts w:asciiTheme="majorHAnsi" w:hAnsiTheme="majorHAnsi"/>
                <w:sz w:val="20"/>
              </w:rPr>
            </w:pPr>
            <w:r w:rsidRPr="00FC657B">
              <w:rPr>
                <w:rFonts w:asciiTheme="majorHAnsi" w:hAnsiTheme="majorHAnsi"/>
                <w:sz w:val="20"/>
              </w:rPr>
              <w:t>L</w:t>
            </w:r>
          </w:p>
        </w:tc>
      </w:tr>
      <w:tr w:rsidR="00ED4EC7" w:rsidRPr="000A3C73" w:rsidTr="00ED4EC7">
        <w:tc>
          <w:tcPr>
            <w:tcW w:w="7038" w:type="dxa"/>
          </w:tcPr>
          <w:p w:rsidR="00ED4EC7" w:rsidRPr="000A3C73" w:rsidRDefault="00ED4EC7" w:rsidP="00ED4EC7">
            <w:pPr>
              <w:contextualSpacing/>
              <w:jc w:val="right"/>
              <w:rPr>
                <w:rFonts w:asciiTheme="majorHAnsi" w:hAnsiTheme="majorHAnsi"/>
                <w:sz w:val="20"/>
              </w:rPr>
            </w:pPr>
            <w:r w:rsidRPr="000A3C73">
              <w:rPr>
                <w:rFonts w:asciiTheme="majorHAnsi" w:hAnsiTheme="majorHAnsi"/>
                <w:sz w:val="20"/>
              </w:rPr>
              <w:t xml:space="preserve">Socio-political </w:t>
            </w:r>
          </w:p>
        </w:tc>
        <w:tc>
          <w:tcPr>
            <w:tcW w:w="900" w:type="dxa"/>
          </w:tcPr>
          <w:p w:rsidR="00ED4EC7" w:rsidRPr="0089284E" w:rsidRDefault="00ED4EC7" w:rsidP="00ED4EC7">
            <w:pPr>
              <w:contextualSpacing/>
              <w:rPr>
                <w:rFonts w:asciiTheme="majorHAnsi" w:hAnsiTheme="majorHAnsi"/>
                <w:sz w:val="20"/>
              </w:rPr>
            </w:pPr>
            <w:r w:rsidRPr="0089284E">
              <w:rPr>
                <w:rFonts w:asciiTheme="majorHAnsi" w:hAnsiTheme="majorHAnsi"/>
                <w:sz w:val="20"/>
              </w:rPr>
              <w:t>N/A</w:t>
            </w:r>
          </w:p>
        </w:tc>
        <w:tc>
          <w:tcPr>
            <w:tcW w:w="540" w:type="dxa"/>
          </w:tcPr>
          <w:p w:rsidR="00ED4EC7" w:rsidRPr="0089284E" w:rsidRDefault="00ED4EC7" w:rsidP="00ED4EC7">
            <w:pPr>
              <w:contextualSpacing/>
              <w:rPr>
                <w:rFonts w:asciiTheme="majorHAnsi" w:hAnsiTheme="majorHAnsi"/>
                <w:sz w:val="20"/>
              </w:rPr>
            </w:pPr>
            <w:r w:rsidRPr="0089284E">
              <w:rPr>
                <w:rFonts w:asciiTheme="majorHAnsi" w:hAnsiTheme="majorHAnsi"/>
                <w:sz w:val="20"/>
              </w:rPr>
              <w:t>U</w:t>
            </w:r>
          </w:p>
        </w:tc>
        <w:tc>
          <w:tcPr>
            <w:tcW w:w="540" w:type="dxa"/>
          </w:tcPr>
          <w:p w:rsidR="00ED4EC7" w:rsidRPr="0089284E" w:rsidRDefault="00ED4EC7" w:rsidP="00ED4EC7">
            <w:pPr>
              <w:contextualSpacing/>
              <w:rPr>
                <w:rFonts w:asciiTheme="majorHAnsi" w:hAnsiTheme="majorHAnsi"/>
                <w:sz w:val="20"/>
              </w:rPr>
            </w:pPr>
            <w:r w:rsidRPr="0089284E">
              <w:rPr>
                <w:rFonts w:asciiTheme="majorHAnsi" w:hAnsiTheme="majorHAnsi"/>
                <w:sz w:val="20"/>
              </w:rPr>
              <w:t>L</w:t>
            </w:r>
          </w:p>
        </w:tc>
        <w:tc>
          <w:tcPr>
            <w:tcW w:w="540" w:type="dxa"/>
          </w:tcPr>
          <w:p w:rsidR="00ED4EC7" w:rsidRPr="0089284E" w:rsidRDefault="00ED4EC7" w:rsidP="00ED4EC7">
            <w:pPr>
              <w:contextualSpacing/>
              <w:rPr>
                <w:rFonts w:asciiTheme="majorHAnsi" w:hAnsiTheme="majorHAnsi"/>
                <w:sz w:val="20"/>
              </w:rPr>
            </w:pPr>
            <w:r w:rsidRPr="0089284E">
              <w:rPr>
                <w:rFonts w:asciiTheme="majorHAnsi" w:hAnsiTheme="majorHAnsi"/>
                <w:sz w:val="20"/>
              </w:rPr>
              <w:t>L</w:t>
            </w:r>
          </w:p>
        </w:tc>
      </w:tr>
      <w:tr w:rsidR="00ED4EC7" w:rsidRPr="000A3C73" w:rsidTr="00ED4EC7">
        <w:tc>
          <w:tcPr>
            <w:tcW w:w="7038" w:type="dxa"/>
          </w:tcPr>
          <w:p w:rsidR="00ED4EC7" w:rsidRPr="000A3C73" w:rsidRDefault="00ED4EC7" w:rsidP="00ED4EC7">
            <w:pPr>
              <w:contextualSpacing/>
              <w:jc w:val="right"/>
              <w:rPr>
                <w:rFonts w:asciiTheme="majorHAnsi" w:hAnsiTheme="majorHAnsi"/>
                <w:sz w:val="20"/>
              </w:rPr>
            </w:pPr>
            <w:r w:rsidRPr="000A3C73">
              <w:rPr>
                <w:rFonts w:asciiTheme="majorHAnsi" w:hAnsiTheme="majorHAnsi"/>
                <w:sz w:val="20"/>
              </w:rPr>
              <w:t xml:space="preserve">Institutional framework and governance </w:t>
            </w:r>
          </w:p>
        </w:tc>
        <w:tc>
          <w:tcPr>
            <w:tcW w:w="900" w:type="dxa"/>
          </w:tcPr>
          <w:p w:rsidR="00ED4EC7" w:rsidRPr="0089284E" w:rsidRDefault="00ED4EC7" w:rsidP="00ED4EC7">
            <w:pPr>
              <w:contextualSpacing/>
              <w:rPr>
                <w:rFonts w:asciiTheme="majorHAnsi" w:hAnsiTheme="majorHAnsi"/>
                <w:sz w:val="20"/>
              </w:rPr>
            </w:pPr>
            <w:r w:rsidRPr="0089284E">
              <w:rPr>
                <w:rFonts w:asciiTheme="majorHAnsi" w:hAnsiTheme="majorHAnsi"/>
                <w:sz w:val="20"/>
              </w:rPr>
              <w:t>N/A</w:t>
            </w:r>
          </w:p>
        </w:tc>
        <w:tc>
          <w:tcPr>
            <w:tcW w:w="540" w:type="dxa"/>
          </w:tcPr>
          <w:p w:rsidR="00ED4EC7" w:rsidRPr="0089284E" w:rsidRDefault="00ED4EC7" w:rsidP="00ED4EC7">
            <w:pPr>
              <w:contextualSpacing/>
              <w:rPr>
                <w:rFonts w:asciiTheme="majorHAnsi" w:hAnsiTheme="majorHAnsi"/>
                <w:sz w:val="20"/>
              </w:rPr>
            </w:pPr>
            <w:r w:rsidRPr="0089284E">
              <w:rPr>
                <w:rFonts w:asciiTheme="majorHAnsi" w:hAnsiTheme="majorHAnsi"/>
                <w:sz w:val="20"/>
              </w:rPr>
              <w:t>MU</w:t>
            </w:r>
          </w:p>
        </w:tc>
        <w:tc>
          <w:tcPr>
            <w:tcW w:w="540" w:type="dxa"/>
          </w:tcPr>
          <w:p w:rsidR="00ED4EC7" w:rsidRPr="0089284E" w:rsidRDefault="00ED4EC7" w:rsidP="00ED4EC7">
            <w:pPr>
              <w:contextualSpacing/>
              <w:rPr>
                <w:rFonts w:asciiTheme="majorHAnsi" w:hAnsiTheme="majorHAnsi"/>
                <w:sz w:val="20"/>
              </w:rPr>
            </w:pPr>
            <w:r w:rsidRPr="0089284E">
              <w:rPr>
                <w:rFonts w:asciiTheme="majorHAnsi" w:hAnsiTheme="majorHAnsi"/>
                <w:sz w:val="20"/>
              </w:rPr>
              <w:t>L</w:t>
            </w:r>
          </w:p>
        </w:tc>
        <w:tc>
          <w:tcPr>
            <w:tcW w:w="540" w:type="dxa"/>
          </w:tcPr>
          <w:p w:rsidR="00ED4EC7" w:rsidRPr="0089284E" w:rsidRDefault="00ED4EC7" w:rsidP="00ED4EC7">
            <w:pPr>
              <w:contextualSpacing/>
              <w:rPr>
                <w:rFonts w:asciiTheme="majorHAnsi" w:hAnsiTheme="majorHAnsi"/>
                <w:sz w:val="20"/>
              </w:rPr>
            </w:pPr>
            <w:r w:rsidRPr="0089284E">
              <w:rPr>
                <w:rFonts w:asciiTheme="majorHAnsi" w:hAnsiTheme="majorHAnsi"/>
                <w:sz w:val="20"/>
              </w:rPr>
              <w:t>ML</w:t>
            </w:r>
          </w:p>
        </w:tc>
      </w:tr>
      <w:tr w:rsidR="00ED4EC7" w:rsidRPr="000A3C73" w:rsidTr="00ED4EC7">
        <w:tc>
          <w:tcPr>
            <w:tcW w:w="7038" w:type="dxa"/>
          </w:tcPr>
          <w:p w:rsidR="00ED4EC7" w:rsidRPr="000A3C73" w:rsidRDefault="00ED4EC7" w:rsidP="00ED4EC7">
            <w:pPr>
              <w:contextualSpacing/>
              <w:jc w:val="right"/>
              <w:rPr>
                <w:rFonts w:asciiTheme="majorHAnsi" w:hAnsiTheme="majorHAnsi"/>
                <w:sz w:val="20"/>
              </w:rPr>
            </w:pPr>
            <w:r w:rsidRPr="000A3C73">
              <w:rPr>
                <w:rFonts w:asciiTheme="majorHAnsi" w:hAnsiTheme="majorHAnsi"/>
                <w:sz w:val="20"/>
              </w:rPr>
              <w:t>Environmental</w:t>
            </w:r>
          </w:p>
        </w:tc>
        <w:tc>
          <w:tcPr>
            <w:tcW w:w="900" w:type="dxa"/>
          </w:tcPr>
          <w:p w:rsidR="00ED4EC7" w:rsidRPr="0089284E" w:rsidRDefault="00ED4EC7" w:rsidP="00ED4EC7">
            <w:pPr>
              <w:contextualSpacing/>
              <w:rPr>
                <w:rFonts w:asciiTheme="majorHAnsi" w:hAnsiTheme="majorHAnsi"/>
                <w:sz w:val="20"/>
              </w:rPr>
            </w:pPr>
            <w:r w:rsidRPr="0089284E">
              <w:rPr>
                <w:rFonts w:asciiTheme="majorHAnsi" w:hAnsiTheme="majorHAnsi"/>
                <w:sz w:val="20"/>
              </w:rPr>
              <w:t>N/A</w:t>
            </w:r>
          </w:p>
        </w:tc>
        <w:tc>
          <w:tcPr>
            <w:tcW w:w="540" w:type="dxa"/>
          </w:tcPr>
          <w:p w:rsidR="00ED4EC7" w:rsidRPr="0089284E" w:rsidRDefault="00ED4EC7" w:rsidP="00ED4EC7">
            <w:pPr>
              <w:contextualSpacing/>
              <w:rPr>
                <w:rFonts w:asciiTheme="majorHAnsi" w:hAnsiTheme="majorHAnsi"/>
                <w:sz w:val="20"/>
              </w:rPr>
            </w:pPr>
            <w:r w:rsidRPr="0089284E">
              <w:rPr>
                <w:rFonts w:asciiTheme="majorHAnsi" w:hAnsiTheme="majorHAnsi"/>
                <w:sz w:val="20"/>
              </w:rPr>
              <w:t>N/A</w:t>
            </w:r>
          </w:p>
        </w:tc>
        <w:tc>
          <w:tcPr>
            <w:tcW w:w="540" w:type="dxa"/>
          </w:tcPr>
          <w:p w:rsidR="00ED4EC7" w:rsidRPr="0089284E" w:rsidRDefault="00ED4EC7" w:rsidP="00ED4EC7">
            <w:pPr>
              <w:contextualSpacing/>
              <w:rPr>
                <w:rFonts w:asciiTheme="majorHAnsi" w:hAnsiTheme="majorHAnsi"/>
                <w:sz w:val="20"/>
              </w:rPr>
            </w:pPr>
            <w:r w:rsidRPr="0089284E">
              <w:rPr>
                <w:rFonts w:asciiTheme="majorHAnsi" w:hAnsiTheme="majorHAnsi"/>
                <w:sz w:val="20"/>
              </w:rPr>
              <w:t>ML</w:t>
            </w:r>
          </w:p>
        </w:tc>
        <w:tc>
          <w:tcPr>
            <w:tcW w:w="540" w:type="dxa"/>
          </w:tcPr>
          <w:p w:rsidR="00ED4EC7" w:rsidRPr="0089284E" w:rsidRDefault="00ED4EC7" w:rsidP="00ED4EC7">
            <w:pPr>
              <w:contextualSpacing/>
              <w:rPr>
                <w:rFonts w:asciiTheme="majorHAnsi" w:hAnsiTheme="majorHAnsi"/>
                <w:sz w:val="20"/>
              </w:rPr>
            </w:pPr>
            <w:r w:rsidRPr="0089284E">
              <w:rPr>
                <w:rFonts w:asciiTheme="majorHAnsi" w:hAnsiTheme="majorHAnsi"/>
                <w:sz w:val="20"/>
              </w:rPr>
              <w:t>ML</w:t>
            </w:r>
          </w:p>
        </w:tc>
      </w:tr>
      <w:tr w:rsidR="00ED4EC7" w:rsidRPr="000A3C73" w:rsidTr="00ED4EC7">
        <w:tc>
          <w:tcPr>
            <w:tcW w:w="7038" w:type="dxa"/>
            <w:shd w:val="clear" w:color="auto" w:fill="BFBFBF"/>
          </w:tcPr>
          <w:p w:rsidR="00ED4EC7" w:rsidRPr="000A3C73" w:rsidRDefault="00ED4EC7" w:rsidP="00ED4EC7">
            <w:pPr>
              <w:contextualSpacing/>
              <w:jc w:val="right"/>
              <w:rPr>
                <w:rFonts w:asciiTheme="majorHAnsi" w:hAnsiTheme="majorHAnsi"/>
                <w:sz w:val="20"/>
              </w:rPr>
            </w:pPr>
            <w:r w:rsidRPr="000A3C73">
              <w:rPr>
                <w:rFonts w:asciiTheme="majorHAnsi" w:hAnsiTheme="majorHAnsi"/>
                <w:b/>
                <w:sz w:val="20"/>
              </w:rPr>
              <w:t>Overall Achievement and Impact</w:t>
            </w:r>
          </w:p>
        </w:tc>
        <w:tc>
          <w:tcPr>
            <w:tcW w:w="900" w:type="dxa"/>
            <w:shd w:val="clear" w:color="auto" w:fill="BFBFBF"/>
          </w:tcPr>
          <w:p w:rsidR="00ED4EC7" w:rsidRPr="000A3C73" w:rsidRDefault="00ED4EC7" w:rsidP="00ED4EC7">
            <w:pPr>
              <w:contextualSpacing/>
              <w:rPr>
                <w:rFonts w:asciiTheme="majorHAnsi" w:hAnsiTheme="majorHAnsi"/>
                <w:sz w:val="20"/>
              </w:rPr>
            </w:pPr>
            <w:r w:rsidRPr="000A3C73">
              <w:rPr>
                <w:rFonts w:asciiTheme="majorHAnsi" w:hAnsiTheme="majorHAnsi"/>
                <w:sz w:val="20"/>
              </w:rPr>
              <w:t>MS</w:t>
            </w:r>
          </w:p>
        </w:tc>
        <w:tc>
          <w:tcPr>
            <w:tcW w:w="540" w:type="dxa"/>
            <w:shd w:val="clear" w:color="auto" w:fill="BFBFBF"/>
          </w:tcPr>
          <w:p w:rsidR="00ED4EC7" w:rsidRPr="0089284E" w:rsidRDefault="00ED4EC7" w:rsidP="00ED4EC7">
            <w:pPr>
              <w:contextualSpacing/>
              <w:rPr>
                <w:rFonts w:asciiTheme="majorHAnsi" w:hAnsiTheme="majorHAnsi"/>
                <w:sz w:val="20"/>
              </w:rPr>
            </w:pPr>
            <w:r w:rsidRPr="0089284E">
              <w:rPr>
                <w:rFonts w:asciiTheme="majorHAnsi" w:hAnsiTheme="majorHAnsi"/>
                <w:sz w:val="20"/>
              </w:rPr>
              <w:t>MU</w:t>
            </w:r>
          </w:p>
        </w:tc>
        <w:tc>
          <w:tcPr>
            <w:tcW w:w="540" w:type="dxa"/>
            <w:shd w:val="clear" w:color="auto" w:fill="BFBFBF"/>
          </w:tcPr>
          <w:p w:rsidR="00ED4EC7" w:rsidRPr="0089284E" w:rsidRDefault="00ED4EC7" w:rsidP="00ED4EC7">
            <w:pPr>
              <w:contextualSpacing/>
              <w:rPr>
                <w:rFonts w:asciiTheme="majorHAnsi" w:hAnsiTheme="majorHAnsi"/>
                <w:sz w:val="20"/>
              </w:rPr>
            </w:pPr>
            <w:r w:rsidRPr="0089284E">
              <w:rPr>
                <w:rFonts w:asciiTheme="majorHAnsi" w:hAnsiTheme="majorHAnsi"/>
                <w:sz w:val="20"/>
              </w:rPr>
              <w:t>S</w:t>
            </w:r>
          </w:p>
        </w:tc>
        <w:tc>
          <w:tcPr>
            <w:tcW w:w="540" w:type="dxa"/>
            <w:shd w:val="clear" w:color="auto" w:fill="BFBFBF"/>
          </w:tcPr>
          <w:p w:rsidR="00ED4EC7" w:rsidRPr="00FC657B" w:rsidRDefault="00ED4EC7" w:rsidP="00ED4EC7">
            <w:pPr>
              <w:contextualSpacing/>
              <w:rPr>
                <w:rFonts w:asciiTheme="majorHAnsi" w:hAnsiTheme="majorHAnsi"/>
                <w:sz w:val="20"/>
              </w:rPr>
            </w:pPr>
            <w:r w:rsidRPr="000A3C73">
              <w:rPr>
                <w:rFonts w:asciiTheme="majorHAnsi" w:hAnsiTheme="majorHAnsi"/>
                <w:sz w:val="20"/>
              </w:rPr>
              <w:t>S</w:t>
            </w:r>
          </w:p>
        </w:tc>
      </w:tr>
    </w:tbl>
    <w:p w:rsidR="003C252B" w:rsidRPr="000A3C73" w:rsidRDefault="003C252B">
      <w:pPr>
        <w:rPr>
          <w:rFonts w:ascii="Calibri" w:hAnsi="Calibri"/>
          <w:b/>
        </w:rPr>
      </w:pPr>
    </w:p>
    <w:p w:rsidR="00964F18" w:rsidRPr="000A3C73" w:rsidRDefault="00964F18">
      <w:pPr>
        <w:rPr>
          <w:rFonts w:ascii="Calibri" w:hAnsi="Calibri"/>
          <w:i/>
          <w:sz w:val="20"/>
        </w:rPr>
      </w:pPr>
      <w:r w:rsidRPr="000A3C73">
        <w:rPr>
          <w:rFonts w:ascii="Calibri" w:hAnsi="Calibri"/>
          <w:i/>
          <w:sz w:val="20"/>
        </w:rPr>
        <w:t>Note: The ratings for the main evaluation criteria are highlighted in the report</w:t>
      </w:r>
      <w:r w:rsidR="004E370E" w:rsidRPr="000A3C73">
        <w:rPr>
          <w:rFonts w:ascii="Calibri" w:hAnsi="Calibri"/>
          <w:i/>
          <w:sz w:val="20"/>
        </w:rPr>
        <w:t xml:space="preserve"> text,</w:t>
      </w:r>
      <w:r w:rsidRPr="000A3C73">
        <w:rPr>
          <w:rFonts w:ascii="Calibri" w:hAnsi="Calibri"/>
          <w:i/>
          <w:sz w:val="20"/>
        </w:rPr>
        <w:t xml:space="preserve"> other ratings </w:t>
      </w:r>
      <w:r w:rsidR="004E370E" w:rsidRPr="000A3C73">
        <w:rPr>
          <w:rFonts w:ascii="Calibri" w:hAnsi="Calibri"/>
          <w:i/>
          <w:sz w:val="20"/>
        </w:rPr>
        <w:t>may not be</w:t>
      </w:r>
      <w:r w:rsidRPr="000A3C73">
        <w:rPr>
          <w:rFonts w:ascii="Calibri" w:hAnsi="Calibri"/>
          <w:i/>
          <w:sz w:val="20"/>
        </w:rPr>
        <w:t xml:space="preserve">. </w:t>
      </w:r>
    </w:p>
    <w:p w:rsidR="0083427F" w:rsidRPr="000A3C73" w:rsidRDefault="0083427F">
      <w:pPr>
        <w:rPr>
          <w:rFonts w:ascii="Calibri" w:hAnsi="Calibri"/>
          <w:i/>
          <w:sz w:val="20"/>
        </w:rPr>
      </w:pPr>
    </w:p>
    <w:tbl>
      <w:tblPr>
        <w:tblW w:w="5000" w:type="pct"/>
        <w:tblInd w:w="18" w:type="dxa"/>
        <w:tblBorders>
          <w:top w:val="single" w:sz="4" w:space="0" w:color="000000"/>
          <w:left w:val="single" w:sz="4" w:space="0" w:color="000000"/>
          <w:bottom w:val="single" w:sz="4" w:space="0" w:color="000000"/>
          <w:right w:val="single" w:sz="4" w:space="0" w:color="000000"/>
          <w:insideV w:val="single" w:sz="4" w:space="0" w:color="000000"/>
        </w:tblBorders>
        <w:tblLook w:val="04A0"/>
      </w:tblPr>
      <w:tblGrid>
        <w:gridCol w:w="3252"/>
        <w:gridCol w:w="3164"/>
        <w:gridCol w:w="3160"/>
      </w:tblGrid>
      <w:tr w:rsidR="00E42994" w:rsidRPr="000A3C73" w:rsidTr="00236CE1">
        <w:trPr>
          <w:trHeight w:val="3254"/>
        </w:trPr>
        <w:tc>
          <w:tcPr>
            <w:tcW w:w="1698" w:type="pct"/>
            <w:shd w:val="clear" w:color="auto" w:fill="auto"/>
            <w:hideMark/>
          </w:tcPr>
          <w:p w:rsidR="00E42994" w:rsidRPr="000A3C73" w:rsidRDefault="00E42994" w:rsidP="00236CE1">
            <w:pPr>
              <w:rPr>
                <w:rFonts w:ascii="Calibri" w:eastAsia="Calibri" w:hAnsi="Calibri"/>
                <w:b/>
                <w:i/>
                <w:sz w:val="20"/>
                <w:szCs w:val="20"/>
              </w:rPr>
            </w:pPr>
            <w:r w:rsidRPr="000A3C73">
              <w:rPr>
                <w:rFonts w:ascii="Calibri" w:hAnsi="Calibri"/>
                <w:b/>
                <w:i/>
                <w:sz w:val="20"/>
                <w:szCs w:val="20"/>
              </w:rPr>
              <w:t>Ratings for Outcomes, Effectiveness, Efficiency, M&amp;E, Implementation and Execution</w:t>
            </w:r>
          </w:p>
          <w:p w:rsidR="00E42994" w:rsidRPr="000A3C73" w:rsidRDefault="00E42994" w:rsidP="00E42994">
            <w:pPr>
              <w:rPr>
                <w:rFonts w:ascii="Calibri" w:hAnsi="Calibri"/>
                <w:sz w:val="20"/>
                <w:szCs w:val="20"/>
              </w:rPr>
            </w:pPr>
          </w:p>
          <w:p w:rsidR="00E42994" w:rsidRPr="000A3C73" w:rsidRDefault="00E42994" w:rsidP="00E42994">
            <w:pPr>
              <w:rPr>
                <w:rFonts w:ascii="Calibri" w:hAnsi="Calibri"/>
                <w:sz w:val="20"/>
                <w:szCs w:val="20"/>
              </w:rPr>
            </w:pPr>
            <w:r w:rsidRPr="000A3C73">
              <w:rPr>
                <w:rFonts w:ascii="Calibri" w:hAnsi="Calibri"/>
                <w:sz w:val="20"/>
                <w:szCs w:val="20"/>
              </w:rPr>
              <w:t xml:space="preserve">6: Highly Satisfactory (HS): no shortcomings </w:t>
            </w:r>
          </w:p>
          <w:p w:rsidR="00E42994" w:rsidRPr="000A3C73" w:rsidRDefault="00E42994" w:rsidP="00E42994">
            <w:pPr>
              <w:rPr>
                <w:rFonts w:ascii="Calibri" w:hAnsi="Calibri"/>
                <w:sz w:val="20"/>
                <w:szCs w:val="20"/>
              </w:rPr>
            </w:pPr>
            <w:r w:rsidRPr="000A3C73">
              <w:rPr>
                <w:rFonts w:ascii="Calibri" w:hAnsi="Calibri"/>
                <w:sz w:val="20"/>
                <w:szCs w:val="20"/>
              </w:rPr>
              <w:t>5: Satisfactory (S): minor shortcomings</w:t>
            </w:r>
          </w:p>
          <w:p w:rsidR="00E42994" w:rsidRPr="000A3C73" w:rsidRDefault="00E42994" w:rsidP="00E42994">
            <w:pPr>
              <w:rPr>
                <w:rFonts w:ascii="Calibri" w:hAnsi="Calibri"/>
                <w:sz w:val="20"/>
                <w:szCs w:val="20"/>
              </w:rPr>
            </w:pPr>
            <w:r w:rsidRPr="000A3C73">
              <w:rPr>
                <w:rFonts w:ascii="Calibri" w:hAnsi="Calibri"/>
                <w:sz w:val="20"/>
                <w:szCs w:val="20"/>
              </w:rPr>
              <w:t>4: Moderately Satisfactory (MS): moderate shortcomings</w:t>
            </w:r>
          </w:p>
          <w:p w:rsidR="00E42994" w:rsidRPr="000A3C73" w:rsidRDefault="00E42994" w:rsidP="00E42994">
            <w:pPr>
              <w:rPr>
                <w:rFonts w:ascii="Calibri" w:hAnsi="Calibri"/>
                <w:sz w:val="20"/>
                <w:szCs w:val="20"/>
              </w:rPr>
            </w:pPr>
            <w:r w:rsidRPr="000A3C73">
              <w:rPr>
                <w:rFonts w:ascii="Calibri" w:hAnsi="Calibri"/>
                <w:sz w:val="20"/>
                <w:szCs w:val="20"/>
              </w:rPr>
              <w:t>3. Moderately Unsatisfactory (MU): significant shortcomings</w:t>
            </w:r>
          </w:p>
          <w:p w:rsidR="00E42994" w:rsidRPr="000A3C73" w:rsidRDefault="00E42994" w:rsidP="00E42994">
            <w:pPr>
              <w:rPr>
                <w:rFonts w:ascii="Calibri" w:hAnsi="Calibri"/>
                <w:sz w:val="20"/>
                <w:szCs w:val="20"/>
              </w:rPr>
            </w:pPr>
            <w:r w:rsidRPr="000A3C73">
              <w:rPr>
                <w:rFonts w:ascii="Calibri" w:hAnsi="Calibri"/>
                <w:sz w:val="20"/>
                <w:szCs w:val="20"/>
              </w:rPr>
              <w:t>2. Unsatisfactory (U): major problems</w:t>
            </w:r>
          </w:p>
          <w:p w:rsidR="00E42994" w:rsidRPr="000A3C73" w:rsidRDefault="00E42994" w:rsidP="00E42994">
            <w:pPr>
              <w:rPr>
                <w:rFonts w:ascii="Calibri" w:eastAsia="Calibri" w:hAnsi="Calibri"/>
                <w:b/>
                <w:i/>
                <w:sz w:val="20"/>
                <w:szCs w:val="20"/>
              </w:rPr>
            </w:pPr>
            <w:r w:rsidRPr="000A3C73">
              <w:rPr>
                <w:rFonts w:ascii="Calibri" w:hAnsi="Calibri"/>
                <w:sz w:val="20"/>
                <w:szCs w:val="20"/>
              </w:rPr>
              <w:t>1. Highly Unsatisfactory (HU): severe problems</w:t>
            </w:r>
          </w:p>
        </w:tc>
        <w:tc>
          <w:tcPr>
            <w:tcW w:w="1652" w:type="pct"/>
            <w:shd w:val="clear" w:color="auto" w:fill="auto"/>
          </w:tcPr>
          <w:p w:rsidR="00E42994" w:rsidRPr="000A3C73" w:rsidRDefault="00E42994" w:rsidP="00236CE1">
            <w:pPr>
              <w:rPr>
                <w:rFonts w:ascii="Calibri" w:hAnsi="Calibri"/>
                <w:b/>
                <w:i/>
                <w:sz w:val="20"/>
                <w:szCs w:val="20"/>
              </w:rPr>
            </w:pPr>
            <w:r w:rsidRPr="000A3C73">
              <w:rPr>
                <w:rFonts w:ascii="Calibri" w:hAnsi="Calibri"/>
                <w:b/>
                <w:i/>
                <w:sz w:val="20"/>
                <w:szCs w:val="20"/>
              </w:rPr>
              <w:t>Sustainability Ratings</w:t>
            </w:r>
          </w:p>
          <w:p w:rsidR="00E42994" w:rsidRPr="000A3C73" w:rsidRDefault="00E42994" w:rsidP="00236CE1">
            <w:pPr>
              <w:rPr>
                <w:rFonts w:ascii="Calibri" w:eastAsia="Calibri" w:hAnsi="Calibri"/>
                <w:b/>
                <w:i/>
                <w:sz w:val="20"/>
                <w:szCs w:val="20"/>
              </w:rPr>
            </w:pPr>
          </w:p>
          <w:p w:rsidR="00E42994" w:rsidRPr="000A3C73" w:rsidRDefault="00E42994" w:rsidP="00236CE1">
            <w:pPr>
              <w:rPr>
                <w:rFonts w:ascii="Calibri" w:hAnsi="Calibri"/>
                <w:sz w:val="20"/>
                <w:szCs w:val="20"/>
              </w:rPr>
            </w:pPr>
            <w:r w:rsidRPr="000A3C73">
              <w:rPr>
                <w:rFonts w:ascii="Calibri" w:hAnsi="Calibri"/>
                <w:sz w:val="20"/>
                <w:szCs w:val="20"/>
              </w:rPr>
              <w:t>4. Likely (L): negligible risks to sustainability</w:t>
            </w:r>
          </w:p>
          <w:p w:rsidR="00E42994" w:rsidRPr="000A3C73" w:rsidRDefault="00E42994" w:rsidP="00236CE1">
            <w:pPr>
              <w:rPr>
                <w:rFonts w:ascii="Calibri" w:hAnsi="Calibri"/>
                <w:sz w:val="20"/>
                <w:szCs w:val="20"/>
              </w:rPr>
            </w:pPr>
            <w:r w:rsidRPr="000A3C73">
              <w:rPr>
                <w:rFonts w:ascii="Calibri" w:hAnsi="Calibri"/>
                <w:sz w:val="20"/>
                <w:szCs w:val="20"/>
              </w:rPr>
              <w:t>3. Moderately Likely (ML):</w:t>
            </w:r>
            <w:r w:rsidR="00EF0459">
              <w:rPr>
                <w:rFonts w:ascii="Calibri" w:hAnsi="Calibri"/>
                <w:sz w:val="20"/>
                <w:szCs w:val="20"/>
              </w:rPr>
              <w:t xml:space="preserve"> </w:t>
            </w:r>
            <w:r w:rsidRPr="000A3C73">
              <w:rPr>
                <w:rFonts w:ascii="Calibri" w:hAnsi="Calibri"/>
                <w:sz w:val="20"/>
                <w:szCs w:val="20"/>
              </w:rPr>
              <w:t>moderate risks</w:t>
            </w:r>
          </w:p>
          <w:p w:rsidR="00E42994" w:rsidRPr="000A3C73" w:rsidRDefault="00E42994" w:rsidP="00236CE1">
            <w:pPr>
              <w:rPr>
                <w:rFonts w:ascii="Calibri" w:hAnsi="Calibri"/>
                <w:sz w:val="20"/>
                <w:szCs w:val="20"/>
              </w:rPr>
            </w:pPr>
            <w:r w:rsidRPr="000A3C73">
              <w:rPr>
                <w:rFonts w:ascii="Calibri" w:hAnsi="Calibri"/>
                <w:sz w:val="20"/>
                <w:szCs w:val="20"/>
              </w:rPr>
              <w:t>2. Moderately Unlikely (MU): significant risks</w:t>
            </w:r>
          </w:p>
          <w:p w:rsidR="00E42994" w:rsidRPr="000A3C73" w:rsidRDefault="00E42994" w:rsidP="00236CE1">
            <w:pPr>
              <w:rPr>
                <w:rFonts w:ascii="Calibri" w:hAnsi="Calibri"/>
                <w:b/>
                <w:i/>
                <w:sz w:val="20"/>
                <w:szCs w:val="20"/>
              </w:rPr>
            </w:pPr>
            <w:r w:rsidRPr="000A3C73">
              <w:rPr>
                <w:rFonts w:ascii="Calibri" w:hAnsi="Calibri"/>
                <w:sz w:val="20"/>
                <w:szCs w:val="20"/>
              </w:rPr>
              <w:t>1. Unlikely (U): severe risks</w:t>
            </w:r>
          </w:p>
        </w:tc>
        <w:tc>
          <w:tcPr>
            <w:tcW w:w="1650" w:type="pct"/>
            <w:shd w:val="clear" w:color="auto" w:fill="auto"/>
          </w:tcPr>
          <w:p w:rsidR="00E42994" w:rsidRPr="000A3C73" w:rsidRDefault="00E42994" w:rsidP="00236CE1">
            <w:pPr>
              <w:rPr>
                <w:rFonts w:ascii="Calibri" w:hAnsi="Calibri"/>
                <w:b/>
                <w:i/>
                <w:sz w:val="20"/>
                <w:szCs w:val="20"/>
              </w:rPr>
            </w:pPr>
            <w:r w:rsidRPr="000A3C73">
              <w:rPr>
                <w:rFonts w:ascii="Calibri" w:hAnsi="Calibri"/>
                <w:b/>
                <w:i/>
                <w:sz w:val="20"/>
                <w:szCs w:val="20"/>
              </w:rPr>
              <w:t>Relevance Ratings</w:t>
            </w:r>
          </w:p>
          <w:p w:rsidR="00E42994" w:rsidRPr="000A3C73" w:rsidRDefault="00E42994" w:rsidP="00236CE1">
            <w:pPr>
              <w:rPr>
                <w:rFonts w:ascii="Calibri" w:hAnsi="Calibri"/>
                <w:sz w:val="20"/>
                <w:szCs w:val="20"/>
              </w:rPr>
            </w:pPr>
          </w:p>
          <w:p w:rsidR="00E42994" w:rsidRPr="000A3C73" w:rsidRDefault="00E42994" w:rsidP="00236CE1">
            <w:pPr>
              <w:rPr>
                <w:rFonts w:ascii="Calibri" w:hAnsi="Calibri"/>
                <w:sz w:val="20"/>
                <w:szCs w:val="20"/>
              </w:rPr>
            </w:pPr>
            <w:r w:rsidRPr="000A3C73">
              <w:rPr>
                <w:rFonts w:ascii="Calibri" w:hAnsi="Calibri"/>
                <w:sz w:val="20"/>
                <w:szCs w:val="20"/>
              </w:rPr>
              <w:t>2. Relevant (R)</w:t>
            </w:r>
          </w:p>
          <w:p w:rsidR="00E42994" w:rsidRPr="000A3C73" w:rsidRDefault="00E42994" w:rsidP="00236CE1">
            <w:pPr>
              <w:rPr>
                <w:rFonts w:ascii="Calibri" w:hAnsi="Calibri"/>
                <w:sz w:val="20"/>
                <w:szCs w:val="20"/>
              </w:rPr>
            </w:pPr>
            <w:r w:rsidRPr="000A3C73">
              <w:rPr>
                <w:rFonts w:ascii="Calibri" w:hAnsi="Calibri"/>
                <w:sz w:val="20"/>
                <w:szCs w:val="20"/>
              </w:rPr>
              <w:t>1. Not relevant (NR)</w:t>
            </w:r>
          </w:p>
          <w:p w:rsidR="00E42994" w:rsidRPr="000A3C73" w:rsidRDefault="00E42994" w:rsidP="00236CE1">
            <w:pPr>
              <w:rPr>
                <w:rFonts w:ascii="Calibri" w:hAnsi="Calibri"/>
                <w:sz w:val="20"/>
                <w:szCs w:val="20"/>
              </w:rPr>
            </w:pPr>
          </w:p>
          <w:p w:rsidR="00E42994" w:rsidRPr="000A3C73" w:rsidRDefault="00E42994" w:rsidP="00236CE1">
            <w:pPr>
              <w:rPr>
                <w:rFonts w:ascii="Calibri" w:hAnsi="Calibri"/>
                <w:b/>
                <w:i/>
                <w:sz w:val="20"/>
                <w:szCs w:val="20"/>
              </w:rPr>
            </w:pPr>
            <w:r w:rsidRPr="000A3C73">
              <w:rPr>
                <w:rFonts w:ascii="Calibri" w:hAnsi="Calibri"/>
                <w:b/>
                <w:i/>
                <w:sz w:val="20"/>
                <w:szCs w:val="20"/>
              </w:rPr>
              <w:t>Impact Ratings</w:t>
            </w:r>
          </w:p>
          <w:p w:rsidR="00E42994" w:rsidRPr="000A3C73" w:rsidRDefault="00E42994" w:rsidP="00236CE1">
            <w:pPr>
              <w:rPr>
                <w:rFonts w:ascii="Calibri" w:hAnsi="Calibri"/>
                <w:sz w:val="20"/>
                <w:szCs w:val="20"/>
              </w:rPr>
            </w:pPr>
            <w:r w:rsidRPr="000A3C73">
              <w:rPr>
                <w:rFonts w:ascii="Calibri" w:hAnsi="Calibri"/>
                <w:sz w:val="20"/>
                <w:szCs w:val="20"/>
              </w:rPr>
              <w:t>3. Significant (S): Large-scale impacts</w:t>
            </w:r>
          </w:p>
          <w:p w:rsidR="00E42994" w:rsidRPr="000A3C73" w:rsidRDefault="00E42994" w:rsidP="00236CE1">
            <w:pPr>
              <w:rPr>
                <w:rFonts w:ascii="Calibri" w:hAnsi="Calibri"/>
                <w:sz w:val="20"/>
                <w:szCs w:val="20"/>
              </w:rPr>
            </w:pPr>
            <w:r w:rsidRPr="000A3C73">
              <w:rPr>
                <w:rFonts w:ascii="Calibri" w:hAnsi="Calibri"/>
                <w:sz w:val="20"/>
                <w:szCs w:val="20"/>
              </w:rPr>
              <w:t>2. Minimal (M): Site-based impacts</w:t>
            </w:r>
          </w:p>
          <w:p w:rsidR="00E42994" w:rsidRPr="000A3C73" w:rsidRDefault="00E42994" w:rsidP="00236CE1">
            <w:pPr>
              <w:rPr>
                <w:rFonts w:ascii="Calibri" w:hAnsi="Calibri"/>
                <w:b/>
                <w:i/>
                <w:sz w:val="20"/>
                <w:szCs w:val="20"/>
              </w:rPr>
            </w:pPr>
            <w:r w:rsidRPr="000A3C73">
              <w:rPr>
                <w:rFonts w:ascii="Calibri" w:hAnsi="Calibri"/>
                <w:sz w:val="20"/>
                <w:szCs w:val="20"/>
              </w:rPr>
              <w:t>1. Negligible (N): Little or no impacts</w:t>
            </w:r>
          </w:p>
        </w:tc>
      </w:tr>
      <w:tr w:rsidR="00E42994" w:rsidRPr="000A3C73" w:rsidTr="00236CE1">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E42994" w:rsidRPr="000A3C73" w:rsidRDefault="00E42994" w:rsidP="00236CE1">
            <w:pPr>
              <w:rPr>
                <w:rFonts w:ascii="Calibri" w:hAnsi="Calibri"/>
                <w:b/>
                <w:i/>
                <w:sz w:val="20"/>
                <w:szCs w:val="20"/>
              </w:rPr>
            </w:pPr>
            <w:r w:rsidRPr="000A3C73">
              <w:rPr>
                <w:rFonts w:ascii="Calibri" w:hAnsi="Calibri"/>
                <w:b/>
                <w:i/>
                <w:sz w:val="20"/>
                <w:szCs w:val="20"/>
              </w:rPr>
              <w:t>Additional ratings where appropriate</w:t>
            </w:r>
          </w:p>
          <w:p w:rsidR="00E42994" w:rsidRPr="000A3C73" w:rsidRDefault="00E42994" w:rsidP="00236CE1">
            <w:pPr>
              <w:rPr>
                <w:rFonts w:ascii="Calibri" w:hAnsi="Calibri" w:cs="Calibri"/>
                <w:sz w:val="20"/>
                <w:szCs w:val="20"/>
              </w:rPr>
            </w:pPr>
            <w:r w:rsidRPr="000A3C73">
              <w:rPr>
                <w:rFonts w:ascii="Calibri" w:hAnsi="Calibri" w:cs="Calibri"/>
                <w:sz w:val="20"/>
                <w:szCs w:val="20"/>
              </w:rPr>
              <w:t xml:space="preserve">Not Applicable (N/A) </w:t>
            </w:r>
          </w:p>
          <w:p w:rsidR="00E42994" w:rsidRPr="000A3C73" w:rsidRDefault="00E42994" w:rsidP="00236CE1">
            <w:pPr>
              <w:rPr>
                <w:rFonts w:ascii="Calibri" w:hAnsi="Calibri"/>
                <w:sz w:val="20"/>
                <w:szCs w:val="20"/>
              </w:rPr>
            </w:pPr>
            <w:r w:rsidRPr="000A3C73">
              <w:rPr>
                <w:rFonts w:ascii="Calibri" w:hAnsi="Calibri" w:cs="Calibri"/>
                <w:sz w:val="20"/>
                <w:szCs w:val="20"/>
              </w:rPr>
              <w:t>Unable to Assess (U/A)</w:t>
            </w:r>
          </w:p>
        </w:tc>
      </w:tr>
    </w:tbl>
    <w:p w:rsidR="0047516E" w:rsidRPr="000A3C73" w:rsidRDefault="0047516E">
      <w:pPr>
        <w:rPr>
          <w:rFonts w:ascii="Calibri" w:hAnsi="Calibri"/>
          <w:i/>
          <w:sz w:val="20"/>
        </w:rPr>
      </w:pPr>
    </w:p>
    <w:p w:rsidR="00B41E00" w:rsidRPr="000A3C73" w:rsidRDefault="00B41E00">
      <w:pPr>
        <w:rPr>
          <w:rFonts w:ascii="Calibri" w:hAnsi="Calibri"/>
          <w:i/>
          <w:sz w:val="20"/>
        </w:rPr>
      </w:pPr>
    </w:p>
    <w:p w:rsidR="00B41E00" w:rsidRPr="000A3C73" w:rsidRDefault="00B41E00">
      <w:pPr>
        <w:rPr>
          <w:rFonts w:ascii="Calibri" w:hAnsi="Calibri"/>
        </w:rPr>
      </w:pPr>
    </w:p>
    <w:p w:rsidR="00B41E00" w:rsidRPr="000A3C73" w:rsidRDefault="00B41E00">
      <w:pPr>
        <w:rPr>
          <w:rFonts w:ascii="Calibri" w:hAnsi="Calibri"/>
        </w:rPr>
        <w:sectPr w:rsidR="00B41E00" w:rsidRPr="000A3C73">
          <w:pgSz w:w="12240" w:h="15840"/>
          <w:pgMar w:top="1440" w:right="1440" w:bottom="1440" w:left="1440" w:header="720" w:footer="720" w:gutter="0"/>
          <w:pgNumType w:fmt="upperRoman"/>
          <w:cols w:space="720"/>
        </w:sectPr>
      </w:pPr>
    </w:p>
    <w:p w:rsidR="00B41E00" w:rsidRPr="000A3C73" w:rsidRDefault="00B41E00" w:rsidP="00B41E00">
      <w:pPr>
        <w:pStyle w:val="Heading1"/>
        <w:ind w:left="360" w:hanging="360"/>
      </w:pPr>
      <w:bookmarkStart w:id="2" w:name="_Toc152154262"/>
      <w:bookmarkStart w:id="3" w:name="_Toc238551044"/>
      <w:r w:rsidRPr="000A3C73">
        <w:lastRenderedPageBreak/>
        <w:t>Introduction: Evaluation Scope and Methodology</w:t>
      </w:r>
      <w:bookmarkEnd w:id="2"/>
      <w:bookmarkEnd w:id="3"/>
    </w:p>
    <w:p w:rsidR="00B41E00" w:rsidRPr="000A3C73" w:rsidRDefault="00B41E00" w:rsidP="00B41E00">
      <w:pPr>
        <w:pStyle w:val="BodyText"/>
        <w:rPr>
          <w:rFonts w:eastAsia="Cambria"/>
        </w:rPr>
      </w:pPr>
      <w:r w:rsidRPr="000A3C73">
        <w:rPr>
          <w:rFonts w:eastAsia="Cambria"/>
        </w:rPr>
        <w:t xml:space="preserve">According to GEF </w:t>
      </w:r>
      <w:r w:rsidR="008F2D7E" w:rsidRPr="000A3C73">
        <w:rPr>
          <w:rFonts w:eastAsia="Cambria"/>
        </w:rPr>
        <w:t xml:space="preserve">and UNDP </w:t>
      </w:r>
      <w:r w:rsidRPr="000A3C73">
        <w:rPr>
          <w:rFonts w:eastAsia="Cambria"/>
        </w:rPr>
        <w:t xml:space="preserve">evaluation policies, </w:t>
      </w:r>
      <w:r w:rsidR="00B34FB4" w:rsidRPr="000A3C73">
        <w:rPr>
          <w:rFonts w:eastAsia="Cambria"/>
        </w:rPr>
        <w:t>terminal</w:t>
      </w:r>
      <w:r w:rsidRPr="000A3C73">
        <w:rPr>
          <w:rFonts w:eastAsia="Cambria"/>
        </w:rPr>
        <w:t xml:space="preserve"> evaluations are </w:t>
      </w:r>
      <w:r w:rsidR="00B34FB4" w:rsidRPr="000A3C73">
        <w:rPr>
          <w:rFonts w:eastAsia="Cambria"/>
        </w:rPr>
        <w:t>required</w:t>
      </w:r>
      <w:r w:rsidR="008F2D7E" w:rsidRPr="000A3C73">
        <w:rPr>
          <w:rFonts w:eastAsia="Cambria"/>
        </w:rPr>
        <w:t xml:space="preserve"> practice for GEF funded </w:t>
      </w:r>
      <w:r w:rsidR="006C70F1" w:rsidRPr="000A3C73">
        <w:rPr>
          <w:rFonts w:eastAsia="Cambria"/>
        </w:rPr>
        <w:t>FSPs</w:t>
      </w:r>
      <w:r w:rsidRPr="000A3C73">
        <w:rPr>
          <w:rFonts w:eastAsia="Cambria"/>
        </w:rPr>
        <w:t xml:space="preserve">, and </w:t>
      </w:r>
      <w:r w:rsidR="00B34FB4" w:rsidRPr="000A3C73">
        <w:rPr>
          <w:rFonts w:eastAsia="Cambria"/>
        </w:rPr>
        <w:t>the terminal</w:t>
      </w:r>
      <w:r w:rsidRPr="000A3C73">
        <w:rPr>
          <w:rFonts w:eastAsia="Cambria"/>
        </w:rPr>
        <w:t xml:space="preserve"> evaluation was a planned activity of the monitoring and evaluation plan of the </w:t>
      </w:r>
      <w:r w:rsidR="006C758C" w:rsidRPr="000A3C73">
        <w:rPr>
          <w:rFonts w:eastAsia="Cambria"/>
        </w:rPr>
        <w:t>Prespa IEM</w:t>
      </w:r>
      <w:r w:rsidR="008F2D7E" w:rsidRPr="000A3C73">
        <w:rPr>
          <w:rFonts w:eastAsia="Cambria"/>
        </w:rPr>
        <w:t xml:space="preserve"> project.</w:t>
      </w:r>
      <w:r w:rsidR="009E72E0" w:rsidRPr="000A3C73">
        <w:rPr>
          <w:rFonts w:eastAsia="Cambria"/>
        </w:rPr>
        <w:t xml:space="preserve"> </w:t>
      </w:r>
      <w:r w:rsidR="001132EB" w:rsidRPr="000A3C73">
        <w:rPr>
          <w:rFonts w:eastAsia="Cambria"/>
        </w:rPr>
        <w:t>The UNDP</w:t>
      </w:r>
      <w:r w:rsidR="009E72E0" w:rsidRPr="000A3C73">
        <w:rPr>
          <w:rFonts w:eastAsia="Cambria"/>
        </w:rPr>
        <w:t xml:space="preserve"> </w:t>
      </w:r>
      <w:r w:rsidR="006C70F1" w:rsidRPr="000A3C73">
        <w:rPr>
          <w:rFonts w:eastAsia="Cambria"/>
        </w:rPr>
        <w:t>Macedonia</w:t>
      </w:r>
      <w:r w:rsidR="00FB705C" w:rsidRPr="000A3C73">
        <w:rPr>
          <w:rFonts w:eastAsia="Cambria"/>
        </w:rPr>
        <w:t xml:space="preserve"> office</w:t>
      </w:r>
      <w:r w:rsidR="001132EB" w:rsidRPr="000A3C73">
        <w:rPr>
          <w:rFonts w:eastAsia="Cambria"/>
        </w:rPr>
        <w:t xml:space="preserve"> initiated the</w:t>
      </w:r>
      <w:r w:rsidR="009E72E0" w:rsidRPr="000A3C73">
        <w:rPr>
          <w:rFonts w:eastAsia="Cambria"/>
        </w:rPr>
        <w:t xml:space="preserve"> </w:t>
      </w:r>
      <w:r w:rsidR="00B34FB4" w:rsidRPr="000A3C73">
        <w:rPr>
          <w:rFonts w:eastAsia="Cambria"/>
        </w:rPr>
        <w:t>terminal</w:t>
      </w:r>
      <w:r w:rsidRPr="000A3C73">
        <w:rPr>
          <w:rFonts w:eastAsia="Cambria"/>
        </w:rPr>
        <w:t xml:space="preserve"> evaluation near the </w:t>
      </w:r>
      <w:r w:rsidR="00B34FB4" w:rsidRPr="000A3C73">
        <w:rPr>
          <w:rFonts w:eastAsia="Cambria"/>
        </w:rPr>
        <w:t>completion of</w:t>
      </w:r>
      <w:r w:rsidRPr="000A3C73">
        <w:rPr>
          <w:rFonts w:eastAsia="Cambria"/>
        </w:rPr>
        <w:t xml:space="preserve"> the </w:t>
      </w:r>
      <w:r w:rsidR="00FA63FB" w:rsidRPr="000A3C73">
        <w:rPr>
          <w:rFonts w:eastAsia="Cambria"/>
        </w:rPr>
        <w:t xml:space="preserve">project’s </w:t>
      </w:r>
      <w:r w:rsidRPr="000A3C73">
        <w:rPr>
          <w:rFonts w:eastAsia="Cambria"/>
        </w:rPr>
        <w:t xml:space="preserve">planned </w:t>
      </w:r>
      <w:r w:rsidR="006C70F1" w:rsidRPr="000A3C73">
        <w:rPr>
          <w:rFonts w:eastAsia="Cambria"/>
        </w:rPr>
        <w:t>five</w:t>
      </w:r>
      <w:r w:rsidR="008F2D7E" w:rsidRPr="000A3C73">
        <w:rPr>
          <w:rFonts w:eastAsia="Cambria"/>
        </w:rPr>
        <w:t>-year implementation period.</w:t>
      </w:r>
      <w:r w:rsidRPr="000A3C73">
        <w:rPr>
          <w:rFonts w:eastAsia="Cambria"/>
        </w:rPr>
        <w:t xml:space="preserve"> This </w:t>
      </w:r>
      <w:r w:rsidR="00B34FB4" w:rsidRPr="000A3C73">
        <w:rPr>
          <w:rFonts w:eastAsia="Cambria"/>
        </w:rPr>
        <w:t>terminal</w:t>
      </w:r>
      <w:r w:rsidRPr="000A3C73">
        <w:rPr>
          <w:rFonts w:eastAsia="Cambria"/>
        </w:rPr>
        <w:t xml:space="preserve"> evaluation reviews the actual performance and progress toward results of the project against the planned project activities and outputs, based on the </w:t>
      </w:r>
      <w:r w:rsidR="00095F59" w:rsidRPr="000A3C73">
        <w:rPr>
          <w:rFonts w:eastAsia="Cambria"/>
        </w:rPr>
        <w:t>standard</w:t>
      </w:r>
      <w:r w:rsidRPr="000A3C73">
        <w:rPr>
          <w:rFonts w:eastAsia="Cambria"/>
        </w:rPr>
        <w:t xml:space="preserve"> evaluation criteria: relevance, efficiency, effectivenes</w:t>
      </w:r>
      <w:r w:rsidR="008F2D7E" w:rsidRPr="000A3C73">
        <w:rPr>
          <w:rFonts w:eastAsia="Cambria"/>
        </w:rPr>
        <w:t xml:space="preserve">s, results and sustainability. </w:t>
      </w:r>
      <w:r w:rsidRPr="000A3C73">
        <w:rPr>
          <w:rFonts w:eastAsia="Cambria"/>
        </w:rPr>
        <w:t xml:space="preserve">The evaluation assesses project results based on expected outcomes and objectives, as well as any unanticipated results. The evaluation </w:t>
      </w:r>
      <w:r w:rsidR="00E732D2" w:rsidRPr="000A3C73">
        <w:rPr>
          <w:rFonts w:eastAsia="Cambria"/>
        </w:rPr>
        <w:t>identifies</w:t>
      </w:r>
      <w:r w:rsidRPr="000A3C73">
        <w:rPr>
          <w:rFonts w:eastAsia="Cambria"/>
        </w:rPr>
        <w:t xml:space="preserve"> relevant lessons for </w:t>
      </w:r>
      <w:r w:rsidR="006C70F1" w:rsidRPr="000A3C73">
        <w:rPr>
          <w:rFonts w:eastAsia="Cambria"/>
        </w:rPr>
        <w:t xml:space="preserve">future </w:t>
      </w:r>
      <w:r w:rsidRPr="000A3C73">
        <w:rPr>
          <w:rFonts w:eastAsia="Cambria"/>
        </w:rPr>
        <w:t xml:space="preserve">similar projects in </w:t>
      </w:r>
      <w:r w:rsidR="006C70F1" w:rsidRPr="000A3C73">
        <w:rPr>
          <w:rFonts w:eastAsia="Cambria"/>
        </w:rPr>
        <w:t>southeastern Europe</w:t>
      </w:r>
      <w:r w:rsidRPr="000A3C73">
        <w:rPr>
          <w:rFonts w:eastAsia="Cambria"/>
        </w:rPr>
        <w:t xml:space="preserve"> and elsewhere, and provide</w:t>
      </w:r>
      <w:r w:rsidR="00E732D2" w:rsidRPr="000A3C73">
        <w:rPr>
          <w:rFonts w:eastAsia="Cambria"/>
        </w:rPr>
        <w:t>s</w:t>
      </w:r>
      <w:r w:rsidRPr="000A3C73">
        <w:rPr>
          <w:rFonts w:eastAsia="Cambria"/>
        </w:rPr>
        <w:t xml:space="preserve"> recommendations as necessary and appropriate. </w:t>
      </w:r>
    </w:p>
    <w:p w:rsidR="00B41E00" w:rsidRPr="000A3C73" w:rsidRDefault="00B41E00" w:rsidP="00B41E00">
      <w:pPr>
        <w:pStyle w:val="BodyText"/>
        <w:rPr>
          <w:rFonts w:eastAsia="Cambria"/>
        </w:rPr>
      </w:pPr>
      <w:r w:rsidRPr="000A3C73">
        <w:rPr>
          <w:rFonts w:eastAsia="Cambria"/>
        </w:rPr>
        <w:t>In addition to assessing the main GEF evaluation criteria, the evaluation provides the required ratings on key elements of pro</w:t>
      </w:r>
      <w:r w:rsidR="00224C47" w:rsidRPr="000A3C73">
        <w:rPr>
          <w:rFonts w:eastAsia="Cambria"/>
        </w:rPr>
        <w:t>ject design and implementation.</w:t>
      </w:r>
      <w:r w:rsidRPr="000A3C73">
        <w:rPr>
          <w:rFonts w:eastAsia="Cambria"/>
        </w:rPr>
        <w:t xml:space="preserve"> Further, the evaluation will, when possible and relevant, assess the project in the context of the key GEF operational principles such as country-drivenness, and stakeholder ownership, as summarized in Annex </w:t>
      </w:r>
      <w:r w:rsidR="00747F99">
        <w:rPr>
          <w:rFonts w:eastAsia="Cambria"/>
        </w:rPr>
        <w:t>2</w:t>
      </w:r>
      <w:r w:rsidRPr="000A3C73">
        <w:rPr>
          <w:rFonts w:eastAsia="Cambria"/>
        </w:rPr>
        <w:t>.</w:t>
      </w:r>
    </w:p>
    <w:p w:rsidR="00B41E00" w:rsidRPr="000A3C73" w:rsidRDefault="00B41E00" w:rsidP="00B41E00">
      <w:pPr>
        <w:pStyle w:val="BodyText"/>
        <w:rPr>
          <w:rFonts w:eastAsia="Cambria"/>
        </w:rPr>
      </w:pPr>
      <w:r w:rsidRPr="000A3C73">
        <w:rPr>
          <w:rFonts w:eastAsia="Cambria"/>
        </w:rPr>
        <w:t xml:space="preserve">The evaluation methodology was based on a participatory mixed-methods approach, which included three primary elements: a) a desk review of project documentation and other </w:t>
      </w:r>
      <w:r w:rsidR="00FA63FB" w:rsidRPr="000A3C73">
        <w:rPr>
          <w:rFonts w:eastAsia="Cambria"/>
        </w:rPr>
        <w:t xml:space="preserve">relevant </w:t>
      </w:r>
      <w:r w:rsidRPr="000A3C73">
        <w:rPr>
          <w:rFonts w:eastAsia="Cambria"/>
        </w:rPr>
        <w:t>documents; b) interviews with key project particip</w:t>
      </w:r>
      <w:r w:rsidR="00224C47" w:rsidRPr="000A3C73">
        <w:rPr>
          <w:rFonts w:eastAsia="Cambria"/>
        </w:rPr>
        <w:t xml:space="preserve">ants and stakeholders; and c) </w:t>
      </w:r>
      <w:r w:rsidRPr="000A3C73">
        <w:rPr>
          <w:rFonts w:eastAsia="Cambria"/>
        </w:rPr>
        <w:t>field visit</w:t>
      </w:r>
      <w:r w:rsidR="00224C47" w:rsidRPr="000A3C73">
        <w:rPr>
          <w:rFonts w:eastAsia="Cambria"/>
        </w:rPr>
        <w:t>s</w:t>
      </w:r>
      <w:r w:rsidRPr="000A3C73">
        <w:rPr>
          <w:rFonts w:eastAsia="Cambria"/>
        </w:rPr>
        <w:t xml:space="preserve"> to </w:t>
      </w:r>
      <w:r w:rsidR="00224C47" w:rsidRPr="000A3C73">
        <w:rPr>
          <w:rFonts w:eastAsia="Cambria"/>
        </w:rPr>
        <w:t>relevant</w:t>
      </w:r>
      <w:r w:rsidRPr="000A3C73">
        <w:rPr>
          <w:rFonts w:eastAsia="Cambria"/>
        </w:rPr>
        <w:t xml:space="preserve"> projec</w:t>
      </w:r>
      <w:r w:rsidR="00224C47" w:rsidRPr="000A3C73">
        <w:rPr>
          <w:rFonts w:eastAsia="Cambria"/>
        </w:rPr>
        <w:t xml:space="preserve">t sites in </w:t>
      </w:r>
      <w:r w:rsidR="006C70F1" w:rsidRPr="000A3C73">
        <w:rPr>
          <w:rFonts w:eastAsia="Cambria"/>
        </w:rPr>
        <w:t>Albania, Greece and FYR Macedonia</w:t>
      </w:r>
      <w:r w:rsidR="00224C47" w:rsidRPr="000A3C73">
        <w:rPr>
          <w:rFonts w:eastAsia="Cambria"/>
        </w:rPr>
        <w:t>.</w:t>
      </w:r>
      <w:r w:rsidRPr="000A3C73">
        <w:rPr>
          <w:rFonts w:eastAsia="Cambria"/>
        </w:rPr>
        <w:t xml:space="preserve"> The evaluation is based on evaluative evidence from the start of project implementation (</w:t>
      </w:r>
      <w:r w:rsidR="00992449" w:rsidRPr="000A3C73">
        <w:rPr>
          <w:rFonts w:eastAsia="Cambria"/>
        </w:rPr>
        <w:t>2</w:t>
      </w:r>
      <w:r w:rsidR="00992449" w:rsidRPr="000A3C73">
        <w:rPr>
          <w:rFonts w:eastAsia="Cambria"/>
          <w:vertAlign w:val="superscript"/>
        </w:rPr>
        <w:t>nd</w:t>
      </w:r>
      <w:r w:rsidR="00992449" w:rsidRPr="000A3C73">
        <w:rPr>
          <w:rFonts w:eastAsia="Cambria"/>
        </w:rPr>
        <w:t xml:space="preserve"> quarter</w:t>
      </w:r>
      <w:r w:rsidR="00356565">
        <w:rPr>
          <w:rFonts w:eastAsia="Cambria"/>
        </w:rPr>
        <w:t xml:space="preserve"> </w:t>
      </w:r>
      <w:r w:rsidR="006C70F1" w:rsidRPr="000A3C73">
        <w:rPr>
          <w:rFonts w:eastAsia="Cambria"/>
        </w:rPr>
        <w:t>2006</w:t>
      </w:r>
      <w:r w:rsidR="00224C47" w:rsidRPr="000A3C73">
        <w:rPr>
          <w:rFonts w:eastAsia="Cambria"/>
        </w:rPr>
        <w:t xml:space="preserve">) </w:t>
      </w:r>
      <w:r w:rsidR="00B34FB4" w:rsidRPr="000A3C73">
        <w:rPr>
          <w:rFonts w:eastAsia="Cambria"/>
        </w:rPr>
        <w:t xml:space="preserve">through </w:t>
      </w:r>
      <w:r w:rsidR="006C70F1" w:rsidRPr="000A3C73">
        <w:rPr>
          <w:rFonts w:eastAsia="Cambria"/>
        </w:rPr>
        <w:t>June 30</w:t>
      </w:r>
      <w:r w:rsidR="00697E6F" w:rsidRPr="000A3C73">
        <w:rPr>
          <w:rFonts w:eastAsia="Cambria"/>
        </w:rPr>
        <w:t xml:space="preserve"> 2012</w:t>
      </w:r>
      <w:r w:rsidRPr="000A3C73">
        <w:rPr>
          <w:rFonts w:eastAsia="Cambria"/>
        </w:rPr>
        <w:t>, and includes a</w:t>
      </w:r>
      <w:r w:rsidR="00224C47" w:rsidRPr="000A3C73">
        <w:rPr>
          <w:rFonts w:eastAsia="Cambria"/>
        </w:rPr>
        <w:t>n assessment of issues prior to approval, such the project development process, overall design, risk assessment and monitoring and evaluation planning.</w:t>
      </w:r>
      <w:r w:rsidRPr="000A3C73">
        <w:rPr>
          <w:rFonts w:eastAsia="Cambria"/>
        </w:rPr>
        <w:t xml:space="preserve"> The desk review was begun in </w:t>
      </w:r>
      <w:r w:rsidR="006C70F1" w:rsidRPr="000A3C73">
        <w:rPr>
          <w:rFonts w:eastAsia="Cambria"/>
        </w:rPr>
        <w:t>May</w:t>
      </w:r>
      <w:r w:rsidRPr="000A3C73">
        <w:rPr>
          <w:rFonts w:eastAsia="Cambria"/>
        </w:rPr>
        <w:t xml:space="preserve"> 201</w:t>
      </w:r>
      <w:r w:rsidR="00697E6F" w:rsidRPr="000A3C73">
        <w:rPr>
          <w:rFonts w:eastAsia="Cambria"/>
        </w:rPr>
        <w:t>2</w:t>
      </w:r>
      <w:r w:rsidRPr="000A3C73">
        <w:rPr>
          <w:rFonts w:eastAsia="Cambria"/>
        </w:rPr>
        <w:t xml:space="preserve">, </w:t>
      </w:r>
      <w:r w:rsidR="00224C47" w:rsidRPr="000A3C73">
        <w:rPr>
          <w:rFonts w:eastAsia="Cambria"/>
        </w:rPr>
        <w:t>and</w:t>
      </w:r>
      <w:r w:rsidRPr="000A3C73">
        <w:rPr>
          <w:rFonts w:eastAsia="Cambria"/>
        </w:rPr>
        <w:t xml:space="preserve"> the evaluation mission </w:t>
      </w:r>
      <w:r w:rsidR="00224C47" w:rsidRPr="000A3C73">
        <w:rPr>
          <w:rFonts w:eastAsia="Cambria"/>
        </w:rPr>
        <w:t xml:space="preserve">was </w:t>
      </w:r>
      <w:r w:rsidRPr="000A3C73">
        <w:rPr>
          <w:rFonts w:eastAsia="Cambria"/>
        </w:rPr>
        <w:t xml:space="preserve">carried out from </w:t>
      </w:r>
      <w:r w:rsidR="006C70F1" w:rsidRPr="000A3C73">
        <w:rPr>
          <w:rFonts w:eastAsia="Cambria"/>
        </w:rPr>
        <w:t>June 11</w:t>
      </w:r>
      <w:r w:rsidRPr="000A3C73">
        <w:rPr>
          <w:rFonts w:eastAsia="Cambria"/>
        </w:rPr>
        <w:t xml:space="preserve"> – </w:t>
      </w:r>
      <w:r w:rsidR="006C70F1" w:rsidRPr="000A3C73">
        <w:rPr>
          <w:rFonts w:eastAsia="Cambria"/>
        </w:rPr>
        <w:t>June</w:t>
      </w:r>
      <w:r w:rsidR="00070E68" w:rsidRPr="000A3C73">
        <w:rPr>
          <w:rFonts w:eastAsia="Cambria"/>
        </w:rPr>
        <w:t xml:space="preserve"> </w:t>
      </w:r>
      <w:r w:rsidR="00224C47" w:rsidRPr="000A3C73">
        <w:rPr>
          <w:rFonts w:eastAsia="Cambria"/>
        </w:rPr>
        <w:t>2</w:t>
      </w:r>
      <w:r w:rsidR="00266F1B" w:rsidRPr="000A3C73">
        <w:rPr>
          <w:rFonts w:eastAsia="Cambria"/>
        </w:rPr>
        <w:t>3</w:t>
      </w:r>
      <w:r w:rsidRPr="000A3C73">
        <w:rPr>
          <w:rFonts w:eastAsia="Cambria"/>
        </w:rPr>
        <w:t>, 201</w:t>
      </w:r>
      <w:r w:rsidR="008A25A8" w:rsidRPr="000A3C73">
        <w:rPr>
          <w:rFonts w:eastAsia="Cambria"/>
        </w:rPr>
        <w:t>2</w:t>
      </w:r>
      <w:r w:rsidR="00224C47" w:rsidRPr="000A3C73">
        <w:rPr>
          <w:rFonts w:eastAsia="Cambria"/>
        </w:rPr>
        <w:t xml:space="preserve">. </w:t>
      </w:r>
      <w:r w:rsidR="002F77B8" w:rsidRPr="000A3C73">
        <w:rPr>
          <w:rFonts w:eastAsia="Cambria"/>
        </w:rPr>
        <w:t xml:space="preserve">The list of stakeholders interviewed is included as </w:t>
      </w:r>
      <w:r w:rsidR="00CE10E2" w:rsidRPr="000A3C73">
        <w:rPr>
          <w:rFonts w:eastAsia="Cambria"/>
        </w:rPr>
        <w:t xml:space="preserve">Annex </w:t>
      </w:r>
      <w:r w:rsidR="00747F99">
        <w:rPr>
          <w:rFonts w:eastAsia="Cambria"/>
        </w:rPr>
        <w:t>5</w:t>
      </w:r>
      <w:r w:rsidR="002F77B8" w:rsidRPr="000A3C73">
        <w:rPr>
          <w:rFonts w:eastAsia="Cambria"/>
        </w:rPr>
        <w:t xml:space="preserve"> to this evaluation report</w:t>
      </w:r>
      <w:r w:rsidR="00747F99">
        <w:rPr>
          <w:rFonts w:eastAsia="Cambria"/>
        </w:rPr>
        <w:t>, and the evaluation mission itinerary is included as Annex 6.</w:t>
      </w:r>
    </w:p>
    <w:p w:rsidR="00B41E00" w:rsidRPr="000A3C73" w:rsidRDefault="00B41E00" w:rsidP="00B41E00">
      <w:pPr>
        <w:pStyle w:val="BodyText"/>
        <w:rPr>
          <w:rFonts w:eastAsia="Cambria"/>
        </w:rPr>
      </w:pPr>
      <w:r w:rsidRPr="000A3C73">
        <w:rPr>
          <w:rFonts w:eastAsia="Cambria"/>
        </w:rPr>
        <w:t xml:space="preserve">All evaluations face </w:t>
      </w:r>
      <w:r w:rsidR="006352BC" w:rsidRPr="000A3C73">
        <w:rPr>
          <w:rFonts w:eastAsia="Cambria"/>
        </w:rPr>
        <w:t>limitations</w:t>
      </w:r>
      <w:r w:rsidRPr="000A3C73">
        <w:rPr>
          <w:rFonts w:eastAsia="Cambria"/>
        </w:rPr>
        <w:t xml:space="preserve"> in terms of the time and resources available to adequately collect and</w:t>
      </w:r>
      <w:r w:rsidR="009E72E0" w:rsidRPr="000A3C73">
        <w:rPr>
          <w:rFonts w:eastAsia="Cambria"/>
        </w:rPr>
        <w:t xml:space="preserve"> </w:t>
      </w:r>
      <w:r w:rsidR="003D474D" w:rsidRPr="000A3C73">
        <w:rPr>
          <w:rFonts w:eastAsia="Cambria"/>
        </w:rPr>
        <w:t>analyze</w:t>
      </w:r>
      <w:r w:rsidR="006352BC" w:rsidRPr="000A3C73">
        <w:rPr>
          <w:rFonts w:eastAsia="Cambria"/>
        </w:rPr>
        <w:t xml:space="preserve"> evaluative evidence. </w:t>
      </w:r>
      <w:r w:rsidRPr="000A3C73">
        <w:rPr>
          <w:rFonts w:eastAsia="Cambria"/>
        </w:rPr>
        <w:t xml:space="preserve">Also, as is understandable, some documents were available only in </w:t>
      </w:r>
      <w:r w:rsidR="006C70F1" w:rsidRPr="000A3C73">
        <w:rPr>
          <w:rFonts w:eastAsia="Cambria"/>
        </w:rPr>
        <w:t>Albanian, Greek or Macedonian</w:t>
      </w:r>
      <w:r w:rsidRPr="000A3C73">
        <w:rPr>
          <w:rFonts w:eastAsia="Cambria"/>
        </w:rPr>
        <w:t xml:space="preserve"> language, although all key docume</w:t>
      </w:r>
      <w:r w:rsidR="00266F1B" w:rsidRPr="000A3C73">
        <w:rPr>
          <w:rFonts w:eastAsia="Cambria"/>
        </w:rPr>
        <w:t>nts were available in English, and the compositio</w:t>
      </w:r>
      <w:r w:rsidR="004C70AD" w:rsidRPr="000A3C73">
        <w:rPr>
          <w:rFonts w:eastAsia="Cambria"/>
        </w:rPr>
        <w:t>n of the evaluation team, with Albanian and Macedonian</w:t>
      </w:r>
      <w:r w:rsidR="00266F1B" w:rsidRPr="000A3C73">
        <w:rPr>
          <w:rFonts w:eastAsia="Cambria"/>
        </w:rPr>
        <w:t xml:space="preserve"> national consultant</w:t>
      </w:r>
      <w:r w:rsidR="004C70AD" w:rsidRPr="000A3C73">
        <w:rPr>
          <w:rFonts w:eastAsia="Cambria"/>
        </w:rPr>
        <w:t>s</w:t>
      </w:r>
      <w:r w:rsidR="00266F1B" w:rsidRPr="000A3C73">
        <w:rPr>
          <w:rFonts w:eastAsia="Cambria"/>
        </w:rPr>
        <w:t xml:space="preserve">, ensured that language was not a barrier to the collection of evaluative evidence. </w:t>
      </w:r>
      <w:r w:rsidRPr="000A3C73">
        <w:rPr>
          <w:rFonts w:eastAsia="Cambria"/>
        </w:rPr>
        <w:t xml:space="preserve">Altogether the </w:t>
      </w:r>
      <w:r w:rsidR="006352BC" w:rsidRPr="000A3C73">
        <w:rPr>
          <w:rFonts w:eastAsia="Cambria"/>
        </w:rPr>
        <w:t xml:space="preserve">evaluation </w:t>
      </w:r>
      <w:r w:rsidRPr="000A3C73">
        <w:rPr>
          <w:rFonts w:eastAsia="Cambria"/>
        </w:rPr>
        <w:t>challenges were not significant, and the evaluation is believed to represent a fair and accurate assessment of the project.</w:t>
      </w:r>
    </w:p>
    <w:p w:rsidR="00B41E00" w:rsidRPr="000A3C73" w:rsidRDefault="00B41E00" w:rsidP="00B41E00">
      <w:pPr>
        <w:pStyle w:val="BodyText"/>
        <w:rPr>
          <w:rFonts w:eastAsia="Cambria"/>
        </w:rPr>
      </w:pPr>
      <w:r w:rsidRPr="000A3C73">
        <w:rPr>
          <w:rFonts w:eastAsia="Cambria"/>
        </w:rPr>
        <w:t>The evaluation was conducted in accordance with UNDP and GEF monitoring and evaluation policies and procedures, and in-line with United Nations Evaluat</w:t>
      </w:r>
      <w:r w:rsidR="006352BC" w:rsidRPr="000A3C73">
        <w:rPr>
          <w:rFonts w:eastAsia="Cambria"/>
        </w:rPr>
        <w:t xml:space="preserve">ion Group norms and standards. </w:t>
      </w:r>
    </w:p>
    <w:p w:rsidR="00B41E00" w:rsidRPr="000A3C73" w:rsidRDefault="00B41E00" w:rsidP="00B41E00">
      <w:pPr>
        <w:pStyle w:val="BodyText"/>
        <w:rPr>
          <w:rFonts w:eastAsia="Cambria"/>
        </w:rPr>
      </w:pPr>
      <w:r w:rsidRPr="000A3C73">
        <w:rPr>
          <w:rFonts w:eastAsia="Cambria"/>
        </w:rPr>
        <w:t xml:space="preserve">The intended users of this </w:t>
      </w:r>
      <w:r w:rsidR="00266F1B" w:rsidRPr="000A3C73">
        <w:rPr>
          <w:rFonts w:eastAsia="Cambria"/>
        </w:rPr>
        <w:t>terminal</w:t>
      </w:r>
      <w:r w:rsidRPr="000A3C73">
        <w:rPr>
          <w:rFonts w:eastAsia="Cambria"/>
        </w:rPr>
        <w:t xml:space="preserve"> evaluation are </w:t>
      </w:r>
      <w:r w:rsidR="004C70AD" w:rsidRPr="000A3C73">
        <w:rPr>
          <w:rFonts w:eastAsia="Cambria"/>
        </w:rPr>
        <w:t>the governments of Albanian, Greece, and FYR Macedonia,</w:t>
      </w:r>
      <w:r w:rsidR="009E72E0" w:rsidRPr="000A3C73">
        <w:rPr>
          <w:rFonts w:eastAsia="Cambria"/>
        </w:rPr>
        <w:t xml:space="preserve"> </w:t>
      </w:r>
      <w:r w:rsidR="003D498C" w:rsidRPr="000A3C73">
        <w:rPr>
          <w:rFonts w:eastAsia="Cambria"/>
        </w:rPr>
        <w:t xml:space="preserve">the </w:t>
      </w:r>
      <w:r w:rsidRPr="000A3C73">
        <w:rPr>
          <w:rFonts w:eastAsia="Cambria"/>
        </w:rPr>
        <w:t>UND</w:t>
      </w:r>
      <w:r w:rsidR="006352BC" w:rsidRPr="000A3C73">
        <w:rPr>
          <w:rFonts w:eastAsia="Cambria"/>
        </w:rPr>
        <w:t xml:space="preserve">P </w:t>
      </w:r>
      <w:r w:rsidR="004C70AD" w:rsidRPr="000A3C73">
        <w:rPr>
          <w:rFonts w:eastAsia="Cambria"/>
        </w:rPr>
        <w:t>Albania and Macedonia country office</w:t>
      </w:r>
      <w:r w:rsidR="006352BC" w:rsidRPr="000A3C73">
        <w:rPr>
          <w:rFonts w:eastAsia="Cambria"/>
        </w:rPr>
        <w:t xml:space="preserve"> and </w:t>
      </w:r>
      <w:r w:rsidR="004C70AD" w:rsidRPr="000A3C73">
        <w:rPr>
          <w:rFonts w:eastAsia="Cambria"/>
        </w:rPr>
        <w:t>Bratislava regional office, the GEF Evaluation Office and GEF Secretariat, and other key stakeholders such as civil society organizations</w:t>
      </w:r>
      <w:r w:rsidR="006352BC" w:rsidRPr="000A3C73">
        <w:rPr>
          <w:rFonts w:eastAsia="Cambria"/>
        </w:rPr>
        <w:t>.</w:t>
      </w:r>
      <w:r w:rsidR="009E72E0" w:rsidRPr="000A3C73">
        <w:rPr>
          <w:rFonts w:eastAsia="Cambria"/>
        </w:rPr>
        <w:t xml:space="preserve"> </w:t>
      </w:r>
      <w:r w:rsidR="0041445F" w:rsidRPr="000A3C73">
        <w:rPr>
          <w:rFonts w:eastAsia="Cambria"/>
        </w:rPr>
        <w:t xml:space="preserve">Once finalized, the terminal evaluation is expected to be made public. </w:t>
      </w:r>
    </w:p>
    <w:p w:rsidR="00B41E00" w:rsidRPr="000A3C73" w:rsidRDefault="00B41E00">
      <w:pPr>
        <w:rPr>
          <w:rFonts w:ascii="Calibri" w:hAnsi="Calibri"/>
        </w:rPr>
      </w:pPr>
    </w:p>
    <w:p w:rsidR="00B41E00" w:rsidRPr="000A3C73" w:rsidRDefault="00B41E00">
      <w:pPr>
        <w:rPr>
          <w:rFonts w:ascii="Calibri" w:hAnsi="Calibri"/>
        </w:rPr>
        <w:sectPr w:rsidR="00B41E00" w:rsidRPr="000A3C73">
          <w:pgSz w:w="12240" w:h="15840"/>
          <w:pgMar w:top="1440" w:right="1440" w:bottom="1440" w:left="1440" w:header="720" w:footer="720" w:gutter="0"/>
          <w:pgNumType w:start="1"/>
          <w:cols w:space="720"/>
        </w:sectPr>
      </w:pPr>
    </w:p>
    <w:p w:rsidR="00B41E00" w:rsidRPr="000A3C73" w:rsidRDefault="00B41E00" w:rsidP="00B41E00">
      <w:pPr>
        <w:pStyle w:val="Heading1"/>
        <w:ind w:left="360" w:hanging="360"/>
      </w:pPr>
      <w:bookmarkStart w:id="4" w:name="_Toc152154263"/>
      <w:bookmarkStart w:id="5" w:name="_Toc238551045"/>
      <w:r w:rsidRPr="000A3C73">
        <w:lastRenderedPageBreak/>
        <w:t>Project Overview and Development Context</w:t>
      </w:r>
      <w:bookmarkEnd w:id="4"/>
      <w:bookmarkEnd w:id="5"/>
    </w:p>
    <w:p w:rsidR="00AA6B7B" w:rsidRPr="0089284E" w:rsidRDefault="00B41E00" w:rsidP="00AA6B7B">
      <w:pPr>
        <w:pStyle w:val="Heading2"/>
        <w:ind w:left="1080" w:hanging="360"/>
      </w:pPr>
      <w:bookmarkStart w:id="6" w:name="_Ref146700867"/>
      <w:bookmarkStart w:id="7" w:name="_Toc152154264"/>
      <w:bookmarkStart w:id="8" w:name="_Toc238551046"/>
      <w:r w:rsidRPr="0089284E">
        <w:t>Development Context</w:t>
      </w:r>
      <w:bookmarkEnd w:id="6"/>
      <w:bookmarkEnd w:id="7"/>
      <w:bookmarkEnd w:id="8"/>
    </w:p>
    <w:p w:rsidR="00015674" w:rsidRPr="0089284E" w:rsidRDefault="00EE71D9" w:rsidP="0089284E">
      <w:pPr>
        <w:pStyle w:val="Heading3"/>
        <w:ind w:left="1440"/>
      </w:pPr>
      <w:bookmarkStart w:id="9" w:name="_Toc238551047"/>
      <w:r w:rsidRPr="0089284E">
        <w:t>Geological, Hydrological and Biological Overview</w:t>
      </w:r>
      <w:bookmarkEnd w:id="9"/>
      <w:r w:rsidRPr="0089284E">
        <w:t xml:space="preserve"> </w:t>
      </w:r>
    </w:p>
    <w:p w:rsidR="006F11A7" w:rsidRPr="0089284E" w:rsidRDefault="00EE71D9" w:rsidP="003F4422">
      <w:pPr>
        <w:pStyle w:val="BodyText"/>
      </w:pPr>
      <w:r w:rsidRPr="0089284E">
        <w:t>Prespa is a high-altitude basin that includes two inter-linked lakes: Macro Prespa (shared by all three countries</w:t>
      </w:r>
      <w:r w:rsidR="003F4422" w:rsidRPr="0089284E">
        <w:t>, with the larger portion within the national boundary of the FYR Macedonia</w:t>
      </w:r>
      <w:r w:rsidRPr="0089284E">
        <w:t>) with a surface area of 259.4 km</w:t>
      </w:r>
      <w:r w:rsidRPr="0089284E">
        <w:rPr>
          <w:vertAlign w:val="superscript"/>
        </w:rPr>
        <w:t>2</w:t>
      </w:r>
      <w:r w:rsidR="003F4422" w:rsidRPr="0089284E">
        <w:t>, and M</w:t>
      </w:r>
      <w:r w:rsidRPr="0089284E">
        <w:t>icro Prespa (shared by Albania and Greece</w:t>
      </w:r>
      <w:r w:rsidR="003F4422" w:rsidRPr="0089284E">
        <w:t>, with the largest portion to Greece</w:t>
      </w:r>
      <w:r w:rsidRPr="0089284E">
        <w:t>) with a surface area of 47.35 km</w:t>
      </w:r>
      <w:r w:rsidRPr="0089284E">
        <w:rPr>
          <w:vertAlign w:val="superscript"/>
        </w:rPr>
        <w:t>2</w:t>
      </w:r>
      <w:r w:rsidRPr="0089284E">
        <w:t xml:space="preserve">. </w:t>
      </w:r>
      <w:r w:rsidR="003F4422" w:rsidRPr="0089284E">
        <w:t xml:space="preserve">Micro and Macro Prespa are linked by a short controlled watercourse, which regulates the level of Micro Prespa. </w:t>
      </w:r>
      <w:r w:rsidR="00070E68" w:rsidRPr="00FC657B">
        <w:t>The</w:t>
      </w:r>
      <w:r w:rsidR="003F4422" w:rsidRPr="00FC657B">
        <w:t xml:space="preserve"> Prespa</w:t>
      </w:r>
      <w:r w:rsidR="00070E68" w:rsidRPr="00FC657B">
        <w:t xml:space="preserve"> lakes are situated at approximately 850 meters above sea level</w:t>
      </w:r>
      <w:r w:rsidR="003F4422" w:rsidRPr="00FC657B">
        <w:t>,</w:t>
      </w:r>
      <w:r w:rsidR="00070E68" w:rsidRPr="00FC657B">
        <w:t xml:space="preserve"> </w:t>
      </w:r>
      <w:r w:rsidR="003F4422" w:rsidRPr="00FC657B">
        <w:t>surrounded by</w:t>
      </w:r>
      <w:r w:rsidR="00070E68" w:rsidRPr="00FC657B">
        <w:t xml:space="preserve"> mountains rising to over 2,000</w:t>
      </w:r>
      <w:r w:rsidR="00356565">
        <w:t>m</w:t>
      </w:r>
      <w:r w:rsidR="00070E68" w:rsidRPr="00FC657B">
        <w:t>.</w:t>
      </w:r>
      <w:r w:rsidR="00FC657B">
        <w:t xml:space="preserve"> </w:t>
      </w:r>
      <w:r w:rsidR="00FC657B" w:rsidRPr="00FC657B">
        <w:t>The total Prespa area, combining the drainage basin</w:t>
      </w:r>
      <w:r w:rsidR="00FC657B">
        <w:t>s and the lakes, is 2,519.1 km</w:t>
      </w:r>
      <w:r w:rsidR="00FC657B" w:rsidRPr="0089284E">
        <w:rPr>
          <w:vertAlign w:val="superscript"/>
        </w:rPr>
        <w:t>2</w:t>
      </w:r>
      <w:r w:rsidR="00FC657B">
        <w:t>.</w:t>
      </w:r>
      <w:r w:rsidR="00070E68" w:rsidRPr="00FC657B">
        <w:t xml:space="preserve"> The highest peak in t</w:t>
      </w:r>
      <w:r w:rsidR="00FC657B">
        <w:t>he region is Pelister Mountain</w:t>
      </w:r>
      <w:r w:rsidR="00C56966">
        <w:t>,</w:t>
      </w:r>
      <w:r w:rsidR="00FC657B">
        <w:t xml:space="preserve"> which reaches 2,601m</w:t>
      </w:r>
      <w:r w:rsidR="00070E68" w:rsidRPr="00FC657B">
        <w:t>. There are four islands in the lakes, Aghios Achillios and Vidronis</w:t>
      </w:r>
      <w:r w:rsidR="003F4422" w:rsidRPr="00FC657B">
        <w:t xml:space="preserve">si, at the Greek part of Micro </w:t>
      </w:r>
      <w:r w:rsidR="00070E68" w:rsidRPr="00FC657B">
        <w:t xml:space="preserve">Prespa, and Mali Grad and Golem Grad in Macro Prespa in Albania and the </w:t>
      </w:r>
      <w:r w:rsidR="003F4422" w:rsidRPr="00FC657B">
        <w:t>FYR of Macedonia respectively.</w:t>
      </w:r>
    </w:p>
    <w:p w:rsidR="006F11A7" w:rsidRPr="0089284E" w:rsidRDefault="006F11A7" w:rsidP="006F11A7">
      <w:pPr>
        <w:pStyle w:val="BodyText"/>
      </w:pPr>
      <w:r w:rsidRPr="0089284E">
        <w:t xml:space="preserve">There are four main rivers flowing into Macro Prespa: The Golema Reka, Brajcinska Reka and Kranska Reka (in </w:t>
      </w:r>
      <w:r w:rsidR="003F4422" w:rsidRPr="0089284E">
        <w:t>FYR</w:t>
      </w:r>
      <w:r w:rsidRPr="0089284E">
        <w:t xml:space="preserve"> Macedonia) and Agios Germanos (in Greece). Inflow to Micro Prespa includes the canal diverting the Devolli River constructed in 1976 (and responsible for significant sedimentation in the Albanian part of Micro Prespa, although now the pumping system has been largely destroyed) and other small ephemeral watercourses. The outflow from Macro Prespa is believed to be to Lake Ohrid through the karstic geology </w:t>
      </w:r>
      <w:r w:rsidR="003F4422" w:rsidRPr="0089284E">
        <w:t xml:space="preserve">as </w:t>
      </w:r>
      <w:r w:rsidRPr="0089284E">
        <w:t>indicated through tracer experiments.</w:t>
      </w:r>
    </w:p>
    <w:p w:rsidR="006F11A7" w:rsidRPr="0089284E" w:rsidRDefault="006F11A7" w:rsidP="0089284E">
      <w:pPr>
        <w:pStyle w:val="BodyText"/>
      </w:pPr>
      <w:r w:rsidRPr="0089284E">
        <w:t>The following summarizes the biological resources in the basin:</w:t>
      </w:r>
    </w:p>
    <w:p w:rsidR="006F11A7" w:rsidRPr="0089284E" w:rsidRDefault="006F11A7" w:rsidP="000A0F25">
      <w:pPr>
        <w:pStyle w:val="BodyText"/>
        <w:numPr>
          <w:ilvl w:val="0"/>
          <w:numId w:val="19"/>
        </w:numPr>
      </w:pPr>
      <w:r w:rsidRPr="0089284E">
        <w:t xml:space="preserve">23 species of fish (including </w:t>
      </w:r>
      <w:r w:rsidR="003F4422" w:rsidRPr="0089284E">
        <w:t>two</w:t>
      </w:r>
      <w:r w:rsidRPr="0089284E">
        <w:t xml:space="preserve"> hybrids and </w:t>
      </w:r>
      <w:r w:rsidR="003F4422" w:rsidRPr="0089284E">
        <w:t>nine</w:t>
      </w:r>
      <w:r w:rsidRPr="0089284E">
        <w:t xml:space="preserve"> non-native alien species)</w:t>
      </w:r>
    </w:p>
    <w:p w:rsidR="006F11A7" w:rsidRPr="0089284E" w:rsidRDefault="006F11A7" w:rsidP="000A0F25">
      <w:pPr>
        <w:pStyle w:val="BodyText"/>
        <w:numPr>
          <w:ilvl w:val="0"/>
          <w:numId w:val="19"/>
        </w:numPr>
      </w:pPr>
      <w:r w:rsidRPr="0089284E">
        <w:t>Presence of eels despite t</w:t>
      </w:r>
      <w:r w:rsidR="006E18A7" w:rsidRPr="0089284E">
        <w:t>he lack of sea connection</w:t>
      </w:r>
    </w:p>
    <w:p w:rsidR="006F11A7" w:rsidRPr="0089284E" w:rsidRDefault="006F11A7" w:rsidP="000A0F25">
      <w:pPr>
        <w:pStyle w:val="BodyText"/>
        <w:numPr>
          <w:ilvl w:val="0"/>
          <w:numId w:val="19"/>
        </w:numPr>
      </w:pPr>
      <w:r w:rsidRPr="0089284E">
        <w:t>11 amphibian species reported</w:t>
      </w:r>
    </w:p>
    <w:p w:rsidR="006F11A7" w:rsidRPr="0089284E" w:rsidRDefault="006F11A7" w:rsidP="000A0F25">
      <w:pPr>
        <w:pStyle w:val="BodyText"/>
        <w:numPr>
          <w:ilvl w:val="0"/>
          <w:numId w:val="19"/>
        </w:numPr>
      </w:pPr>
      <w:r w:rsidRPr="0089284E">
        <w:t xml:space="preserve">21 </w:t>
      </w:r>
      <w:r w:rsidR="003F4422" w:rsidRPr="0089284E">
        <w:t>r</w:t>
      </w:r>
      <w:r w:rsidRPr="0089284E">
        <w:t>eptiles</w:t>
      </w:r>
    </w:p>
    <w:p w:rsidR="006F11A7" w:rsidRPr="0089284E" w:rsidRDefault="006F11A7" w:rsidP="000A0F25">
      <w:pPr>
        <w:pStyle w:val="BodyText"/>
        <w:numPr>
          <w:ilvl w:val="0"/>
          <w:numId w:val="19"/>
        </w:numPr>
      </w:pPr>
      <w:r w:rsidRPr="0089284E">
        <w:t xml:space="preserve">27 types of algae are reported </w:t>
      </w:r>
    </w:p>
    <w:p w:rsidR="006F11A7" w:rsidRPr="0089284E" w:rsidRDefault="006F11A7" w:rsidP="000A0F25">
      <w:pPr>
        <w:pStyle w:val="BodyText"/>
        <w:numPr>
          <w:ilvl w:val="0"/>
          <w:numId w:val="19"/>
        </w:numPr>
      </w:pPr>
      <w:r w:rsidRPr="0089284E">
        <w:t>42 species of mammals are reported</w:t>
      </w:r>
    </w:p>
    <w:p w:rsidR="006F11A7" w:rsidRPr="0089284E" w:rsidRDefault="006F11A7" w:rsidP="000A0F25">
      <w:pPr>
        <w:pStyle w:val="BodyText"/>
        <w:numPr>
          <w:ilvl w:val="0"/>
          <w:numId w:val="19"/>
        </w:numPr>
      </w:pPr>
      <w:r w:rsidRPr="0089284E">
        <w:t>&gt;1300 plant species</w:t>
      </w:r>
    </w:p>
    <w:p w:rsidR="006F11A7" w:rsidRPr="0089284E" w:rsidRDefault="006F11A7" w:rsidP="000A0F25">
      <w:pPr>
        <w:pStyle w:val="BodyText"/>
        <w:numPr>
          <w:ilvl w:val="0"/>
          <w:numId w:val="19"/>
        </w:numPr>
      </w:pPr>
      <w:r w:rsidRPr="0089284E">
        <w:t>261 species of birds have been observed in last 50 years including over 90 migratory birds</w:t>
      </w:r>
    </w:p>
    <w:p w:rsidR="006F11A7" w:rsidRPr="0089284E" w:rsidRDefault="006F11A7" w:rsidP="000A0F25">
      <w:pPr>
        <w:pStyle w:val="BodyText"/>
        <w:numPr>
          <w:ilvl w:val="0"/>
          <w:numId w:val="19"/>
        </w:numPr>
      </w:pPr>
      <w:r w:rsidRPr="0089284E">
        <w:t xml:space="preserve">Caves of Treni are an important bat colony with </w:t>
      </w:r>
      <w:r w:rsidR="003F4422" w:rsidRPr="0089284E">
        <w:t>nine</w:t>
      </w:r>
      <w:r w:rsidRPr="0089284E">
        <w:t xml:space="preserve"> species</w:t>
      </w:r>
    </w:p>
    <w:p w:rsidR="00BE6C35" w:rsidRDefault="00565FD1" w:rsidP="008B7E9A">
      <w:pPr>
        <w:pStyle w:val="BodyText"/>
        <w:numPr>
          <w:ilvl w:val="0"/>
          <w:numId w:val="19"/>
        </w:numPr>
      </w:pPr>
      <w:r w:rsidRPr="0089284E">
        <w:t>E</w:t>
      </w:r>
      <w:r w:rsidR="006F11A7" w:rsidRPr="0089284E">
        <w:t xml:space="preserve">xtensive forests in the basin </w:t>
      </w:r>
    </w:p>
    <w:p w:rsidR="00CD42DE" w:rsidRDefault="008B7E9A" w:rsidP="0089284E">
      <w:pPr>
        <w:pStyle w:val="Heading3"/>
        <w:ind w:left="1440"/>
      </w:pPr>
      <w:bookmarkStart w:id="10" w:name="_Toc238551048"/>
      <w:r>
        <w:t>Socio-</w:t>
      </w:r>
      <w:r w:rsidR="00CD42DE">
        <w:t>Economic Context</w:t>
      </w:r>
      <w:bookmarkEnd w:id="10"/>
    </w:p>
    <w:p w:rsidR="00AA7D1F" w:rsidRDefault="00AA7D1F" w:rsidP="00AA7D1F">
      <w:pPr>
        <w:pStyle w:val="BodyText"/>
      </w:pPr>
      <w:r w:rsidRPr="00FC657B">
        <w:t>Approximate</w:t>
      </w:r>
      <w:r>
        <w:t>ly 28,900 people live in Prespa</w:t>
      </w:r>
      <w:r w:rsidRPr="00FC657B">
        <w:t>. Nearly 75% of the total Prespa population lives in FYR-Macedonia (17,500 persons) within the Municipality of Resen; 17% live in Albania (5,300 persons) within the Communes of Liqenas and Proger, and the remaining 8% live in Greece (1,500 persons) within the Municipality of Prespa.</w:t>
      </w:r>
    </w:p>
    <w:p w:rsidR="00CD42DE" w:rsidRDefault="00AA7D1F" w:rsidP="0089284E">
      <w:pPr>
        <w:pStyle w:val="BodyText"/>
      </w:pPr>
      <w:r w:rsidRPr="0089284E">
        <w:rPr>
          <w:u w:val="single"/>
        </w:rPr>
        <w:lastRenderedPageBreak/>
        <w:t>Albania:</w:t>
      </w:r>
      <w:r>
        <w:t xml:space="preserve"> </w:t>
      </w:r>
      <w:r w:rsidRPr="00FC657B">
        <w:t xml:space="preserve">In 2009, </w:t>
      </w:r>
      <w:r w:rsidR="00B71D27" w:rsidRPr="00FC657B">
        <w:t xml:space="preserve">the 11 villages settled in this area in two communes (Liqenas and Progër) of Korça Prefecture </w:t>
      </w:r>
      <w:r w:rsidRPr="00FC657B">
        <w:t xml:space="preserve">the population </w:t>
      </w:r>
      <w:r w:rsidR="00B71D27">
        <w:t>was</w:t>
      </w:r>
      <w:r w:rsidRPr="00FC657B">
        <w:t xml:space="preserve"> estim</w:t>
      </w:r>
      <w:r w:rsidR="00B71D27">
        <w:t>ated at 1,410 households in the nine</w:t>
      </w:r>
      <w:r w:rsidRPr="00FC657B">
        <w:t xml:space="preserve"> villages of Liqenas Macro Prespa watershed (5</w:t>
      </w:r>
      <w:r w:rsidR="00B71D27">
        <w:t>,</w:t>
      </w:r>
      <w:r w:rsidRPr="00FC657B">
        <w:t xml:space="preserve">800 persons) and 87 </w:t>
      </w:r>
      <w:r w:rsidR="005E69C8" w:rsidRPr="00FC657B">
        <w:t>households</w:t>
      </w:r>
      <w:r w:rsidR="00B71D27">
        <w:t xml:space="preserve"> in the three</w:t>
      </w:r>
      <w:r w:rsidRPr="00FC657B">
        <w:t xml:space="preserve"> villages of Progër/Tren Micro Prespa watershed (400 persons). While there </w:t>
      </w:r>
      <w:r w:rsidR="005E69C8" w:rsidRPr="00FC657B">
        <w:t>are an increasing number of households</w:t>
      </w:r>
      <w:r w:rsidRPr="00FC657B">
        <w:t xml:space="preserve"> registered in Liqenas, there is a stable or decreasing number in Micro</w:t>
      </w:r>
      <w:r w:rsidRPr="00D77DF1">
        <w:t xml:space="preserve"> Prespa. However, in both areas, at least 30% of registered households are permanent migrants, keeping their house for holiday, </w:t>
      </w:r>
      <w:r>
        <w:t>festival and retirement period.</w:t>
      </w:r>
      <w:r w:rsidR="005E69C8">
        <w:t xml:space="preserve"> M</w:t>
      </w:r>
      <w:r w:rsidR="005E69C8" w:rsidRPr="00CD42DE">
        <w:t xml:space="preserve">ost households keep a certain amount of traditional way of life, relying on natural resources available in their territory. Some resources are used within the natural ecosystems (fishing, firewood and NTFP gathering, timber cutting, browsing and </w:t>
      </w:r>
      <w:r w:rsidR="005E69C8" w:rsidRPr="00AA7D1F">
        <w:t>lopping, hunting, trapping, mineral extraction, water from lake, stream and ground), while other resources are exploited through a certain level of domestication and modification of ecosystem (pasture, cropping land, bee hives, aquaculture, domestication o</w:t>
      </w:r>
      <w:r w:rsidR="005E69C8" w:rsidRPr="005E69C8">
        <w:t xml:space="preserve">f tea and medicinal plants). </w:t>
      </w:r>
      <w:r w:rsidR="005E69C8" w:rsidRPr="00F80A7E">
        <w:t>The rough estimation of direct and indirect annual value of provisioning services of Prespa ecosystems used by the people is above 5.5 millions euros, with timber and fodder having the highest share in money value (85%). However, several provisioning services are not valuated yet.</w:t>
      </w:r>
      <w:r w:rsidR="005E69C8">
        <w:t xml:space="preserve"> </w:t>
      </w:r>
      <w:r w:rsidR="005E69C8" w:rsidRPr="00F80A7E">
        <w:t xml:space="preserve">Only a few local, some regional and national level NGOs are active in the Prespa Park area </w:t>
      </w:r>
      <w:r w:rsidR="00356565" w:rsidRPr="00F80A7E">
        <w:t>organizing</w:t>
      </w:r>
      <w:r w:rsidR="005E69C8" w:rsidRPr="00F80A7E">
        <w:t xml:space="preserve"> limited activities on environmental issues, eco-tourism, nature resource management and sustainable use. Only a few local and national NGOs are active in the Prespa Park area, and these groups are involved in projects or activities on agriculture, organic or traditional farming, animal protection/wildlife, biodiversity, forestry, sustainable management of communal forest and pastures, nature protection, rural development and waste issues.</w:t>
      </w:r>
    </w:p>
    <w:p w:rsidR="008B7E9A" w:rsidRPr="00C56966" w:rsidRDefault="008B7E9A" w:rsidP="0089284E">
      <w:pPr>
        <w:pStyle w:val="BodyText"/>
      </w:pPr>
      <w:r w:rsidRPr="00C56966">
        <w:t xml:space="preserve">Macedonia: </w:t>
      </w:r>
      <w:r w:rsidR="00595792" w:rsidRPr="00C56966">
        <w:t>The largest town in Prespa is Resen with 7,000 people, located in MK-Prespa.  The population of MK-Prespa has decreased approximately 20% over the past</w:t>
      </w:r>
      <w:r w:rsidR="00595792" w:rsidRPr="002D3949">
        <w:t xml:space="preserve"> thirty years, but population density is still over 28 persons/km</w:t>
      </w:r>
      <w:r w:rsidR="00595792" w:rsidRPr="0089284E">
        <w:rPr>
          <w:vertAlign w:val="superscript"/>
        </w:rPr>
        <w:t>2</w:t>
      </w:r>
      <w:r w:rsidR="00595792" w:rsidRPr="00C56966">
        <w:t xml:space="preserve">. </w:t>
      </w:r>
      <w:r w:rsidR="00595792" w:rsidRPr="00C56966">
        <w:rPr>
          <w:lang w:val="en-GB"/>
        </w:rPr>
        <w:t>In MK-Prespa, the average per capita income is approximately US$ 2,000</w:t>
      </w:r>
      <w:r w:rsidR="00595792" w:rsidRPr="002D3949">
        <w:rPr>
          <w:lang w:val="en-GB"/>
        </w:rPr>
        <w:t xml:space="preserve">, though unemployment is high, estimated at around 30%. </w:t>
      </w:r>
      <w:r w:rsidR="00595792" w:rsidRPr="00C56966">
        <w:rPr>
          <w:lang w:val="en-GB"/>
        </w:rPr>
        <w:t xml:space="preserve">In MK-Prespa, pensions, government employment and employment from occasional jobs are the major source of income. </w:t>
      </w:r>
      <w:r w:rsidR="00595792" w:rsidRPr="00C56966">
        <w:rPr>
          <w:bCs/>
          <w:lang w:val="en-GB"/>
        </w:rPr>
        <w:t>In addition, many families or family members in MK-Prespa migrate to find work</w:t>
      </w:r>
      <w:r w:rsidR="00595792" w:rsidRPr="00C56966">
        <w:rPr>
          <w:lang w:val="en-GB"/>
        </w:rPr>
        <w:t xml:space="preserve"> and many household report that as much as 30% of their income is dependent upon remittances.</w:t>
      </w:r>
      <w:r w:rsidR="00595792" w:rsidRPr="00C56966">
        <w:rPr>
          <w:bCs/>
          <w:lang w:val="en-GB"/>
        </w:rPr>
        <w:t xml:space="preserve"> As a result, persons sixty-years and older make up nearly 25% of Resen’s population. In the MK-Prespa, agriculture generates roughly 30% of the total income with apples being the primary crop. Price fluctuations and increased competition from outside the region have destabilised the local apple economy. In MK-Prespa, over two fifths of the total agricultural area is cultivated (orchards under conventional, not organic, production) with the remainder dedicated to livestock pasture. In Resen, about 1,150 people are employed by the industrial sector, which is represented by 11 medium size enterprises and over 100 small enterprises.</w:t>
      </w:r>
    </w:p>
    <w:p w:rsidR="00CD42DE" w:rsidRDefault="00CD42DE" w:rsidP="0089284E">
      <w:pPr>
        <w:pStyle w:val="Heading3"/>
        <w:ind w:left="1440"/>
      </w:pPr>
      <w:bookmarkStart w:id="11" w:name="_Toc238551049"/>
      <w:r>
        <w:t>Nature Conservation and Management Context</w:t>
      </w:r>
      <w:bookmarkEnd w:id="11"/>
    </w:p>
    <w:p w:rsidR="00CD42DE" w:rsidRDefault="00CD42DE" w:rsidP="0089284E">
      <w:pPr>
        <w:pStyle w:val="BodyText"/>
      </w:pPr>
      <w:r w:rsidRPr="00D77DF1">
        <w:t>The Prespa National Park in Albania</w:t>
      </w:r>
      <w:r w:rsidRPr="00F80A7E">
        <w:t xml:space="preserve">, </w:t>
      </w:r>
      <w:r w:rsidRPr="000A3C73">
        <w:t>created in 2001</w:t>
      </w:r>
      <w:r w:rsidRPr="00F80A7E">
        <w:t>,</w:t>
      </w:r>
      <w:r w:rsidRPr="000A3C73">
        <w:t xml:space="preserve"> is situated in </w:t>
      </w:r>
      <w:r w:rsidRPr="00F80A7E">
        <w:t xml:space="preserve">the </w:t>
      </w:r>
      <w:r w:rsidRPr="000A3C73">
        <w:t>southeast part of the country. Out of the 24,278 ha of land in Prespa area, 1</w:t>
      </w:r>
      <w:r w:rsidRPr="00FC657B">
        <w:t>,789 ha (7%) is used for agriculture, 13,500 ha (55.6%) are covered by forests, 1,828 ha (7.5%) by pasture and meadows, 4,950 ha (20.4%) by lakes and other wetlands and 872 ha (1.7%) of others (settlement, roads, etc.).</w:t>
      </w:r>
      <w:r w:rsidRPr="00F80A7E">
        <w:t xml:space="preserve"> </w:t>
      </w:r>
      <w:r w:rsidRPr="000A3C73">
        <w:t xml:space="preserve">The area under National Park status </w:t>
      </w:r>
      <w:r w:rsidRPr="00FC657B">
        <w:t xml:space="preserve">and the legal framework includes different degrees of </w:t>
      </w:r>
      <w:r w:rsidRPr="00FC657B">
        <w:lastRenderedPageBreak/>
        <w:t xml:space="preserve">protection: strictly protected area, managed area, developed zones, and a zone designated for priority development of tourism. </w:t>
      </w:r>
      <w:r w:rsidRPr="00F80A7E">
        <w:t xml:space="preserve">The primary responsibility for conservation and resource management is with the Ministry of Environment, Forestry and Water Administration (MoEFWA) and the Ministry of Agriculture, Food and Consumer Protection. At the local level the Regional Environmental Agencies (under the MoEFWA) are responsible for implementing environmental legislation at the local level, supporting local and regional governments. The MoEFWA has limited capacity at the local / regional level. </w:t>
      </w:r>
    </w:p>
    <w:p w:rsidR="00850A96" w:rsidRPr="0089284E" w:rsidRDefault="002A69B7" w:rsidP="0089284E">
      <w:pPr>
        <w:pStyle w:val="BodyText"/>
        <w:rPr>
          <w:lang/>
        </w:rPr>
      </w:pPr>
      <w:r w:rsidRPr="0089284E">
        <w:rPr>
          <w:lang/>
        </w:rPr>
        <w:t xml:space="preserve">Galičica </w:t>
      </w:r>
      <w:r w:rsidR="00602E30" w:rsidRPr="0089284E">
        <w:t xml:space="preserve">National Park in FYR Macedonia </w:t>
      </w:r>
      <w:r w:rsidR="002C744B" w:rsidRPr="0089284E">
        <w:t>was established in 1958, and covers a total area of 227 km</w:t>
      </w:r>
      <w:r w:rsidR="002C744B" w:rsidRPr="0089284E">
        <w:rPr>
          <w:vertAlign w:val="superscript"/>
        </w:rPr>
        <w:t>2</w:t>
      </w:r>
      <w:r w:rsidR="002C744B" w:rsidRPr="0089284E">
        <w:t xml:space="preserve"> between Lake Ohrid and Macro Prespa. </w:t>
      </w:r>
    </w:p>
    <w:p w:rsidR="000126EE" w:rsidRDefault="000126EE" w:rsidP="0089284E">
      <w:pPr>
        <w:pStyle w:val="BodyText"/>
      </w:pPr>
      <w:r>
        <w:t xml:space="preserve">The </w:t>
      </w:r>
      <w:r w:rsidR="00F92C45">
        <w:t>‘</w:t>
      </w:r>
      <w:r>
        <w:t>Prespa Park</w:t>
      </w:r>
      <w:r w:rsidR="00F92C45">
        <w:t>’</w:t>
      </w:r>
      <w:r>
        <w:t xml:space="preserve"> was established by the Declaration of the Prime Ministers of Greece, Albania and the FYR of Macedonia on 2nd February 2000, with the aim of “</w:t>
      </w:r>
      <w:r w:rsidRPr="0089284E">
        <w:rPr>
          <w:i/>
        </w:rPr>
        <w:t>preserving the extraordinary natural and cultural values of the region, as well as the promotion of peace, friendship and co-operation between the three peoples</w:t>
      </w:r>
      <w:r>
        <w:t>”. The 2002 Strategic Action Plan was the first tangible output from the trilateral co-operation of the transboundary Prespa Park. The Strategic Action Plan was funded by the Greek Ministry of Environment, Physical Planning and Public Works and was prepared by the Society for the Protection of Prespa with the collaboration of WWF Greece, the NGO Protection and Preservation of Natural Environment in Albania and the NGO Macedonia Alliance for Prespa. This was the first joint project by three neighboring countries with close co-operation of the NGOs and independent experts.</w:t>
      </w:r>
    </w:p>
    <w:p w:rsidR="00AA7D1F" w:rsidRDefault="00AA7D1F" w:rsidP="0089284E">
      <w:pPr>
        <w:pStyle w:val="BodyText"/>
      </w:pPr>
      <w:r w:rsidRPr="00CD42DE">
        <w:t>In February 2010 the Minister of Environment, Forests and Water Administration from Albania, the Minister of Environment and Physical Planning of the FYR Macedonia and the Minister of Environment, Spatial Planning and Public Works of Greece, together with EU Commissioner for the Environ</w:t>
      </w:r>
      <w:r>
        <w:t xml:space="preserve">ment, issued a Joint Agreement </w:t>
      </w:r>
      <w:r w:rsidR="00B71D27" w:rsidRPr="00CD42DE">
        <w:t>recognizing</w:t>
      </w:r>
      <w:r w:rsidRPr="00CD42DE">
        <w:t xml:space="preserve"> the importance and value of the Prespa Park Area.</w:t>
      </w:r>
    </w:p>
    <w:p w:rsidR="00850A96" w:rsidRPr="0089284E" w:rsidRDefault="00850A96" w:rsidP="0089284E">
      <w:pPr>
        <w:pStyle w:val="BodyText"/>
      </w:pPr>
      <w:r w:rsidRPr="00F80A7E">
        <w:t>Trilateral activities in the area initiated and carried out by NGOs are numerous, and the most significant ones are the proposals for the creation of the trilateral park and later on the development of the Strategic Action Plan till 2002. The participating NGOs are the Society for the Protection of Prespa (SPP), based in Aghios Germanos, Greece, the Protection and Preservation of the Natural Environment in Albania, based in Tirana, Albania, and the Society for the Investigation and Conservation of Biodiversity and the Sustainable Development of Natural Ecosystems (BIOECO), based in Skopje, FYR Macedonia.</w:t>
      </w:r>
    </w:p>
    <w:p w:rsidR="0072503B" w:rsidRPr="000A3C73" w:rsidRDefault="0072503B" w:rsidP="0072503B">
      <w:pPr>
        <w:pStyle w:val="BodyText"/>
        <w:numPr>
          <w:ilvl w:val="0"/>
          <w:numId w:val="0"/>
        </w:numPr>
      </w:pPr>
      <w:r w:rsidRPr="000A3C73">
        <w:rPr>
          <w:noProof/>
        </w:rPr>
        <w:lastRenderedPageBreak/>
        <w:drawing>
          <wp:inline distT="0" distB="0" distL="0" distR="0">
            <wp:extent cx="4432300" cy="6553200"/>
            <wp:effectExtent l="25400" t="25400" r="38100"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Earth Prespa Watershed.tiff"/>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4432300" cy="6553200"/>
                    </a:xfrm>
                    <a:prstGeom prst="rect">
                      <a:avLst/>
                    </a:prstGeom>
                    <a:ln w="19050" cmpd="sng">
                      <a:solidFill>
                        <a:schemeClr val="tx1"/>
                      </a:solidFill>
                    </a:ln>
                  </pic:spPr>
                </pic:pic>
              </a:graphicData>
            </a:graphic>
          </wp:inline>
        </w:drawing>
      </w:r>
    </w:p>
    <w:p w:rsidR="0076112A" w:rsidRPr="00FC657B" w:rsidRDefault="008234BD" w:rsidP="0076112A">
      <w:pPr>
        <w:pStyle w:val="BodyText"/>
        <w:numPr>
          <w:ilvl w:val="0"/>
          <w:numId w:val="0"/>
        </w:numPr>
        <w:rPr>
          <w:i/>
        </w:rPr>
      </w:pPr>
      <w:r w:rsidRPr="00FC657B">
        <w:rPr>
          <w:i/>
        </w:rPr>
        <w:t xml:space="preserve">Source: Google Maps. </w:t>
      </w:r>
    </w:p>
    <w:p w:rsidR="0072503B" w:rsidRPr="000A3C73" w:rsidRDefault="0072503B" w:rsidP="0076112A">
      <w:pPr>
        <w:pStyle w:val="BodyText"/>
        <w:numPr>
          <w:ilvl w:val="0"/>
          <w:numId w:val="0"/>
        </w:numPr>
      </w:pPr>
      <w:r w:rsidRPr="000A3C73">
        <w:rPr>
          <w:noProof/>
        </w:rPr>
        <w:lastRenderedPageBreak/>
        <w:drawing>
          <wp:inline distT="0" distB="0" distL="0" distR="0">
            <wp:extent cx="5943600" cy="7157085"/>
            <wp:effectExtent l="25400" t="25400" r="25400" b="311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paParkBoundaries_Blue.jpe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943600" cy="7157085"/>
                    </a:xfrm>
                    <a:prstGeom prst="rect">
                      <a:avLst/>
                    </a:prstGeom>
                    <a:ln w="19050" cmpd="sng">
                      <a:solidFill>
                        <a:srgbClr val="000000"/>
                      </a:solidFill>
                    </a:ln>
                  </pic:spPr>
                </pic:pic>
              </a:graphicData>
            </a:graphic>
          </wp:inline>
        </w:drawing>
      </w:r>
    </w:p>
    <w:p w:rsidR="0072503B" w:rsidRPr="00FC657B" w:rsidRDefault="008234BD" w:rsidP="0076112A">
      <w:pPr>
        <w:pStyle w:val="BodyText"/>
        <w:numPr>
          <w:ilvl w:val="0"/>
          <w:numId w:val="0"/>
        </w:numPr>
        <w:rPr>
          <w:i/>
        </w:rPr>
      </w:pPr>
      <w:r w:rsidRPr="00FC657B">
        <w:rPr>
          <w:i/>
        </w:rPr>
        <w:t>Source: SPP</w:t>
      </w:r>
    </w:p>
    <w:p w:rsidR="00D52803" w:rsidRPr="00FC657B" w:rsidRDefault="00D52803" w:rsidP="0076112A">
      <w:pPr>
        <w:pStyle w:val="BodyText"/>
        <w:numPr>
          <w:ilvl w:val="0"/>
          <w:numId w:val="0"/>
        </w:numPr>
      </w:pPr>
    </w:p>
    <w:p w:rsidR="00D52803" w:rsidRPr="000A3C73" w:rsidRDefault="00D52803" w:rsidP="0076112A">
      <w:pPr>
        <w:pStyle w:val="BodyText"/>
        <w:numPr>
          <w:ilvl w:val="0"/>
          <w:numId w:val="0"/>
        </w:numPr>
      </w:pPr>
      <w:r w:rsidRPr="000A3C73">
        <w:rPr>
          <w:noProof/>
        </w:rPr>
        <w:lastRenderedPageBreak/>
        <w:drawing>
          <wp:inline distT="0" distB="0" distL="0" distR="0">
            <wp:extent cx="5486400" cy="7797800"/>
            <wp:effectExtent l="25400" t="25400" r="25400" b="2540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486400" cy="7797800"/>
                    </a:xfrm>
                    <a:prstGeom prst="rect">
                      <a:avLst/>
                    </a:prstGeom>
                    <a:noFill/>
                    <a:ln w="19050" cmpd="sng">
                      <a:solidFill>
                        <a:srgbClr val="000000"/>
                      </a:solidFill>
                    </a:ln>
                  </pic:spPr>
                </pic:pic>
              </a:graphicData>
            </a:graphic>
          </wp:inline>
        </w:drawing>
      </w:r>
    </w:p>
    <w:p w:rsidR="008234BD" w:rsidRPr="00FC657B" w:rsidRDefault="008234BD" w:rsidP="0076112A">
      <w:pPr>
        <w:pStyle w:val="BodyText"/>
        <w:numPr>
          <w:ilvl w:val="0"/>
          <w:numId w:val="0"/>
        </w:numPr>
        <w:rPr>
          <w:i/>
        </w:rPr>
      </w:pPr>
      <w:r w:rsidRPr="00FC657B">
        <w:rPr>
          <w:i/>
        </w:rPr>
        <w:t xml:space="preserve">Source: </w:t>
      </w:r>
      <w:r w:rsidR="00513FC3" w:rsidRPr="00FC657B">
        <w:rPr>
          <w:i/>
        </w:rPr>
        <w:t>Lake Prespa Draft Transboundary Diagnostic Analysis (2009)</w:t>
      </w:r>
    </w:p>
    <w:p w:rsidR="00B41E00" w:rsidRPr="00CD42DE" w:rsidRDefault="00B41E00" w:rsidP="00B41E00">
      <w:pPr>
        <w:pStyle w:val="Heading2"/>
        <w:ind w:left="1080" w:hanging="360"/>
      </w:pPr>
      <w:bookmarkStart w:id="12" w:name="_Toc152154265"/>
      <w:bookmarkStart w:id="13" w:name="_Toc238551050"/>
      <w:r w:rsidRPr="00FC657B">
        <w:lastRenderedPageBreak/>
        <w:t xml:space="preserve">Concept Development and Project </w:t>
      </w:r>
      <w:bookmarkEnd w:id="12"/>
      <w:r w:rsidR="00142E17" w:rsidRPr="00D77DF1">
        <w:t>Description</w:t>
      </w:r>
      <w:bookmarkEnd w:id="13"/>
    </w:p>
    <w:p w:rsidR="00B41E00" w:rsidRPr="00AA7D1F" w:rsidRDefault="00361AD7" w:rsidP="008B0739">
      <w:pPr>
        <w:pStyle w:val="Heading3"/>
        <w:ind w:left="1440"/>
      </w:pPr>
      <w:bookmarkStart w:id="14" w:name="_Toc152154266"/>
      <w:bookmarkStart w:id="15" w:name="_Toc238551051"/>
      <w:r w:rsidRPr="00CD42DE">
        <w:t>Concept Background</w:t>
      </w:r>
      <w:bookmarkEnd w:id="14"/>
      <w:bookmarkEnd w:id="15"/>
    </w:p>
    <w:p w:rsidR="00581CE5" w:rsidRPr="000126EE" w:rsidRDefault="009F53BD" w:rsidP="00895D15">
      <w:pPr>
        <w:pStyle w:val="BodyText"/>
      </w:pPr>
      <w:r w:rsidRPr="005E69C8">
        <w:t>The</w:t>
      </w:r>
      <w:r w:rsidRPr="00850A96">
        <w:t xml:space="preserve"> Greek NGO the Society for the Protection of Prespa (SPP) was established in 1990, and in the late 1990s was working to protect the </w:t>
      </w:r>
      <w:r w:rsidR="00233D1B" w:rsidRPr="008B7E9A">
        <w:t xml:space="preserve">Dalmatian </w:t>
      </w:r>
      <w:r w:rsidRPr="000126EE">
        <w:t xml:space="preserve">pelican </w:t>
      </w:r>
      <w:r w:rsidR="00233D1B" w:rsidRPr="00B71D27">
        <w:t>(</w:t>
      </w:r>
      <w:r w:rsidR="00233D1B" w:rsidRPr="00595792">
        <w:rPr>
          <w:i/>
        </w:rPr>
        <w:t>Pelecanus crispus</w:t>
      </w:r>
      <w:r w:rsidR="00233D1B" w:rsidRPr="00602E30">
        <w:t>)</w:t>
      </w:r>
      <w:r w:rsidR="00C56966">
        <w:t xml:space="preserve"> </w:t>
      </w:r>
      <w:r w:rsidRPr="002A69B7">
        <w:t xml:space="preserve">populations and habitats of the Greek Prespa region, particularly the micro-Prespa wetlands, which </w:t>
      </w:r>
      <w:r w:rsidR="00233D1B" w:rsidRPr="002C744B">
        <w:t>are</w:t>
      </w:r>
      <w:r w:rsidRPr="002C744B">
        <w:t xml:space="preserve"> critical habitats for the </w:t>
      </w:r>
      <w:r w:rsidR="00233D1B" w:rsidRPr="00EE58B1">
        <w:t xml:space="preserve">Dalmatian </w:t>
      </w:r>
      <w:r w:rsidRPr="00C56966">
        <w:t xml:space="preserve">pelican population. </w:t>
      </w:r>
      <w:r w:rsidR="00C52F63" w:rsidRPr="00C56966">
        <w:t>SPP was recognized for</w:t>
      </w:r>
      <w:r w:rsidRPr="00C56966">
        <w:t xml:space="preserve"> this work </w:t>
      </w:r>
      <w:r w:rsidR="001133EB" w:rsidRPr="002D3949">
        <w:t xml:space="preserve">as a Ramsar Wetland Conservation Award winner </w:t>
      </w:r>
      <w:r w:rsidRPr="000A3C73">
        <w:t xml:space="preserve">at the June 1999 Ramsar Conference of Parties </w:t>
      </w:r>
      <w:r w:rsidR="00C52F63" w:rsidRPr="000A3C73">
        <w:t xml:space="preserve">(COP) </w:t>
      </w:r>
      <w:r w:rsidRPr="000A3C73">
        <w:t xml:space="preserve">in </w:t>
      </w:r>
      <w:r w:rsidR="00C52F63" w:rsidRPr="000A3C73">
        <w:t>San Jose, Costa Rica.</w:t>
      </w:r>
      <w:r w:rsidR="00C52F63" w:rsidRPr="00FC657B">
        <w:rPr>
          <w:rStyle w:val="FootnoteReference"/>
        </w:rPr>
        <w:footnoteReference w:id="1"/>
      </w:r>
      <w:r w:rsidR="00C56966">
        <w:t xml:space="preserve"> </w:t>
      </w:r>
      <w:r w:rsidR="00233D1B" w:rsidRPr="00FC657B">
        <w:t xml:space="preserve">According to project stakeholders, </w:t>
      </w:r>
      <w:r w:rsidR="00233D1B" w:rsidRPr="00D77DF1">
        <w:t>b</w:t>
      </w:r>
      <w:r w:rsidR="00C52F63" w:rsidRPr="00CD42DE">
        <w:t xml:space="preserve">ased on the successful conservation work carried out in Greek Prespa, </w:t>
      </w:r>
      <w:r w:rsidR="00A87D67" w:rsidRPr="00CD42DE">
        <w:t xml:space="preserve">the Greek government raised the possibility of a transboundary conservation area for all of Prespa, including Macedonia and Albania. On </w:t>
      </w:r>
      <w:r w:rsidR="00233D1B" w:rsidRPr="00AA7D1F">
        <w:t>February 2</w:t>
      </w:r>
      <w:r w:rsidR="00233D1B" w:rsidRPr="005E69C8">
        <w:rPr>
          <w:vertAlign w:val="superscript"/>
        </w:rPr>
        <w:t>nd</w:t>
      </w:r>
      <w:r w:rsidR="00233D1B" w:rsidRPr="00850A96">
        <w:t xml:space="preserve">, 2000 - World Wetlands Day - </w:t>
      </w:r>
      <w:r w:rsidR="00A87D67" w:rsidRPr="00850A96">
        <w:t>the Prime Ministers of the three countries came together in the Greek Prespa village of Aghios Germanos to issue a joint declaration recognizing the global ecological value of the Prespa region (as well as the local social, cultural and economic value), an</w:t>
      </w:r>
      <w:r w:rsidR="00A87D67" w:rsidRPr="008B7E9A">
        <w:t xml:space="preserve">d declaring the Prespa Lakes and surrounding watershed as “Prespa Park”. </w:t>
      </w:r>
    </w:p>
    <w:p w:rsidR="00895D15" w:rsidRPr="000A3C73" w:rsidRDefault="00A87D67" w:rsidP="00895D15">
      <w:pPr>
        <w:pStyle w:val="BodyText"/>
      </w:pPr>
      <w:r w:rsidRPr="00B71D27">
        <w:t xml:space="preserve">Based on this promise of “enhanced cooperation” the countries established the Prespa Park Coordination Committee (PPCC), </w:t>
      </w:r>
      <w:r w:rsidR="00581CE5" w:rsidRPr="00595792">
        <w:t>which first met in Tirana in October 2000. T</w:t>
      </w:r>
      <w:r w:rsidRPr="00602E30">
        <w:t>his body met twice per year from 2001 to 2010</w:t>
      </w:r>
      <w:r w:rsidR="00411247" w:rsidRPr="002A69B7">
        <w:t>, with ad-hoc support from the Greek government, German bilateral support, and NGOs</w:t>
      </w:r>
      <w:r w:rsidRPr="002C744B">
        <w:t xml:space="preserve">. </w:t>
      </w:r>
      <w:r w:rsidR="00411247" w:rsidRPr="002C744B">
        <w:t xml:space="preserve">The PPCC Secretariat was hosted by SPP. </w:t>
      </w:r>
      <w:r w:rsidR="008040FA" w:rsidRPr="00EE58B1">
        <w:t xml:space="preserve">The initial work of the PPCC was to develop a Strategic Action Plan </w:t>
      </w:r>
      <w:r w:rsidR="00572FEB">
        <w:t xml:space="preserve">(SAP) </w:t>
      </w:r>
      <w:r w:rsidR="008040FA" w:rsidRPr="00EE58B1">
        <w:t>for Sustainable Development of the Prespa Park, which was c</w:t>
      </w:r>
      <w:r w:rsidR="00581CE5" w:rsidRPr="00C56966">
        <w:t xml:space="preserve">ompleted in 2002, and efforts </w:t>
      </w:r>
      <w:r w:rsidR="00233D1B" w:rsidRPr="00C56966">
        <w:t>towards</w:t>
      </w:r>
      <w:r w:rsidR="00581CE5" w:rsidRPr="00C56966">
        <w:t xml:space="preserve"> adoption of a formal </w:t>
      </w:r>
      <w:r w:rsidR="00AF53C5" w:rsidRPr="00C56966">
        <w:t>legally binding</w:t>
      </w:r>
      <w:r w:rsidR="00581CE5" w:rsidRPr="00C56966">
        <w:t xml:space="preserve"> trilateral agreement between the three countries were </w:t>
      </w:r>
      <w:r w:rsidR="00233D1B" w:rsidRPr="002D3949">
        <w:t>initiated in</w:t>
      </w:r>
      <w:r w:rsidR="00581CE5" w:rsidRPr="000A3C73">
        <w:t xml:space="preserve"> 2004.</w:t>
      </w:r>
      <w:r w:rsidR="00572FEB">
        <w:t xml:space="preserve"> </w:t>
      </w:r>
      <w:r w:rsidR="0062628D" w:rsidRPr="000A3C73">
        <w:t xml:space="preserve">In the 2000-2001 timeframe the </w:t>
      </w:r>
      <w:r w:rsidR="00233D1B" w:rsidRPr="000A3C73">
        <w:t xml:space="preserve">environmental conservation </w:t>
      </w:r>
      <w:r w:rsidR="0062628D" w:rsidRPr="000A3C73">
        <w:t xml:space="preserve">initiatives in the </w:t>
      </w:r>
      <w:r w:rsidR="00233D1B" w:rsidRPr="000A3C73">
        <w:t xml:space="preserve">Prespa </w:t>
      </w:r>
      <w:r w:rsidR="0062628D" w:rsidRPr="000A3C73">
        <w:t xml:space="preserve">area were </w:t>
      </w:r>
      <w:r w:rsidR="00233D1B" w:rsidRPr="000A3C73">
        <w:t>recognized,</w:t>
      </w:r>
      <w:r w:rsidR="0062628D" w:rsidRPr="000A3C73">
        <w:t xml:space="preserve"> with UNDP support</w:t>
      </w:r>
      <w:r w:rsidR="00233D1B" w:rsidRPr="000A3C73">
        <w:t>,</w:t>
      </w:r>
      <w:r w:rsidR="0062628D" w:rsidRPr="000A3C73">
        <w:t xml:space="preserve"> as an opportunity for possible GEF funding, and the original concept note was submitted to the GEF in late 200</w:t>
      </w:r>
      <w:r w:rsidR="00581CE5" w:rsidRPr="000A3C73">
        <w:t>1.</w:t>
      </w:r>
    </w:p>
    <w:p w:rsidR="00B41E00" w:rsidRPr="000A3C73" w:rsidRDefault="00B41E00" w:rsidP="008B0739">
      <w:pPr>
        <w:pStyle w:val="Heading3"/>
        <w:ind w:left="1440"/>
      </w:pPr>
      <w:bookmarkStart w:id="16" w:name="_Ref146781913"/>
      <w:bookmarkStart w:id="17" w:name="_Toc152154267"/>
      <w:bookmarkStart w:id="18" w:name="_Toc238551052"/>
      <w:r w:rsidRPr="000A3C73">
        <w:t>Project Description</w:t>
      </w:r>
      <w:bookmarkEnd w:id="16"/>
      <w:bookmarkEnd w:id="17"/>
      <w:bookmarkEnd w:id="18"/>
    </w:p>
    <w:p w:rsidR="009771A0" w:rsidRPr="000A3C73" w:rsidRDefault="00BF778A" w:rsidP="000D0B87">
      <w:pPr>
        <w:pStyle w:val="BodyText"/>
      </w:pPr>
      <w:r w:rsidRPr="000A3C73">
        <w:t xml:space="preserve">The project document includes a clear description of the environmental stresses the project is designed to address. As the project is an integrated ecosystem management project, it focuses on threats from multiple sectors, including land-use management, water management, agriculture, fishers, forest management, </w:t>
      </w:r>
      <w:r w:rsidR="008E0151" w:rsidRPr="000A3C73">
        <w:t xml:space="preserve">and waste management. </w:t>
      </w:r>
      <w:r w:rsidR="001133EB" w:rsidRPr="000A3C73">
        <w:t>The specific i</w:t>
      </w:r>
      <w:r w:rsidR="008E0151" w:rsidRPr="000A3C73">
        <w:t xml:space="preserve">ndividual threats and stress factors </w:t>
      </w:r>
      <w:r w:rsidR="009123AA" w:rsidRPr="000A3C73">
        <w:t xml:space="preserve">related to each of these sectors </w:t>
      </w:r>
      <w:r w:rsidR="008E0151" w:rsidRPr="000A3C73">
        <w:t xml:space="preserve">are further detailed in the project document. </w:t>
      </w:r>
    </w:p>
    <w:p w:rsidR="00F87C96" w:rsidRPr="00B71D27" w:rsidRDefault="00F87C96" w:rsidP="000D0B87">
      <w:pPr>
        <w:pStyle w:val="BodyText"/>
      </w:pPr>
      <w:r w:rsidRPr="000A3C73">
        <w:t xml:space="preserve">The </w:t>
      </w:r>
      <w:r w:rsidR="009F6230" w:rsidRPr="000A3C73">
        <w:t xml:space="preserve">project is classified as a GEF </w:t>
      </w:r>
      <w:r w:rsidR="00BF778A" w:rsidRPr="000A3C73">
        <w:t>FSP</w:t>
      </w:r>
      <w:r w:rsidRPr="000A3C73">
        <w:t xml:space="preserve">, since the funding received from the GEF is </w:t>
      </w:r>
      <w:r w:rsidR="00BF778A" w:rsidRPr="000A3C73">
        <w:t>greater</w:t>
      </w:r>
      <w:r w:rsidRPr="000A3C73">
        <w:t xml:space="preserve"> than $1 millio</w:t>
      </w:r>
      <w:r w:rsidR="0098263D" w:rsidRPr="000A3C73">
        <w:t>n USD. Total GEF support is $4.135</w:t>
      </w:r>
      <w:r w:rsidRPr="000A3C73">
        <w:t xml:space="preserve"> million (not including </w:t>
      </w:r>
      <w:r w:rsidR="0098263D" w:rsidRPr="000A3C73">
        <w:t>$0.376</w:t>
      </w:r>
      <w:r w:rsidR="0041659A" w:rsidRPr="000A3C73">
        <w:t xml:space="preserve"> in </w:t>
      </w:r>
      <w:r w:rsidR="00846B9F" w:rsidRPr="000A3C73">
        <w:t xml:space="preserve">project development </w:t>
      </w:r>
      <w:r w:rsidRPr="000A3C73">
        <w:t xml:space="preserve">funding), and originally proposed co-financing </w:t>
      </w:r>
      <w:r w:rsidR="00EA2274" w:rsidRPr="00C56966">
        <w:t>is</w:t>
      </w:r>
      <w:r w:rsidR="00C56966" w:rsidRPr="00C56966">
        <w:t xml:space="preserve"> </w:t>
      </w:r>
      <w:r w:rsidR="00CA7EAB" w:rsidRPr="00C56966">
        <w:t>$8.636</w:t>
      </w:r>
      <w:r w:rsidR="00C56966" w:rsidRPr="00C56966">
        <w:t xml:space="preserve"> </w:t>
      </w:r>
      <w:r w:rsidRPr="00C56966">
        <w:t>million USD, f</w:t>
      </w:r>
      <w:r w:rsidR="0073116D" w:rsidRPr="00C56966">
        <w:t>or a total project budget of $</w:t>
      </w:r>
      <w:r w:rsidR="00CA7EAB" w:rsidRPr="00C56966">
        <w:t>12.771</w:t>
      </w:r>
      <w:r w:rsidRPr="00C56966">
        <w:t xml:space="preserve"> million</w:t>
      </w:r>
      <w:r w:rsidR="00F6669C" w:rsidRPr="00C56966">
        <w:t xml:space="preserve"> (or $13.147 with pr</w:t>
      </w:r>
      <w:r w:rsidR="00F6669C" w:rsidRPr="00FC657B">
        <w:t>oject development funding)</w:t>
      </w:r>
      <w:r w:rsidR="00AC01F7" w:rsidRPr="00D77DF1">
        <w:t>.</w:t>
      </w:r>
      <w:r w:rsidR="00C56966">
        <w:t xml:space="preserve"> </w:t>
      </w:r>
      <w:r w:rsidR="0098263D" w:rsidRPr="00CD42DE">
        <w:t xml:space="preserve">The project is executed as three components, with the transboundary component under DEX by UNDP Macedonia, and the Macedonian and Albanian national components under NEX by the </w:t>
      </w:r>
      <w:r w:rsidR="0098263D" w:rsidRPr="00CD42DE">
        <w:lastRenderedPageBreak/>
        <w:t xml:space="preserve">respective ministries of environment in these countries. </w:t>
      </w:r>
      <w:r w:rsidR="007C1805" w:rsidRPr="00CD42DE">
        <w:t xml:space="preserve">The project </w:t>
      </w:r>
      <w:r w:rsidR="007C1805" w:rsidRPr="00AA7D1F">
        <w:t xml:space="preserve">was planned for a </w:t>
      </w:r>
      <w:r w:rsidR="00B05066" w:rsidRPr="005E69C8">
        <w:t>60-month</w:t>
      </w:r>
      <w:r w:rsidR="007C1805" w:rsidRPr="00850A96">
        <w:t xml:space="preserve"> (five year) implementation period, though the individual components actually </w:t>
      </w:r>
      <w:r w:rsidR="001133EB" w:rsidRPr="008B7E9A">
        <w:t>started</w:t>
      </w:r>
      <w:r w:rsidR="007C1805" w:rsidRPr="000126EE">
        <w:t xml:space="preserve"> and were completed at slightly different times. </w:t>
      </w:r>
    </w:p>
    <w:p w:rsidR="00632FDF" w:rsidRPr="00850A96" w:rsidRDefault="0042661D" w:rsidP="006C17C1">
      <w:pPr>
        <w:pStyle w:val="BodyText"/>
      </w:pPr>
      <w:r w:rsidRPr="00595792">
        <w:t xml:space="preserve">According to the project document, the overall project goal is </w:t>
      </w:r>
      <w:r w:rsidRPr="00602E30">
        <w:rPr>
          <w:i/>
        </w:rPr>
        <w:t>“</w:t>
      </w:r>
      <w:r w:rsidRPr="0089284E">
        <w:rPr>
          <w:bCs/>
          <w:i/>
        </w:rPr>
        <w:t>The conservation and sustainable use of globally significant biological diversity and trans-boundary water resources of the Prespa lakes Basin</w:t>
      </w:r>
      <w:r w:rsidRPr="00FC657B">
        <w:rPr>
          <w:i/>
        </w:rPr>
        <w:t>.”</w:t>
      </w:r>
      <w:r w:rsidRPr="00FC657B">
        <w:t xml:space="preserve"> The project objective is </w:t>
      </w:r>
      <w:r w:rsidRPr="00FC657B">
        <w:rPr>
          <w:i/>
        </w:rPr>
        <w:t>“</w:t>
      </w:r>
      <w:r w:rsidRPr="0089284E">
        <w:rPr>
          <w:bCs/>
          <w:i/>
        </w:rPr>
        <w:t>To catalyse the adoption of integrated ecosystem management in the trans-boundary Prespa Lakes Basin of FYR-Macedonia, Albania, and Greece to conserve globally significant biodiversity, mitigate pollution of the trans-boundary lakes, and provide a sustainable basis for the Basin’s further social and economic development.</w:t>
      </w:r>
      <w:r w:rsidR="002D3949">
        <w:rPr>
          <w:bCs/>
          <w:i/>
        </w:rPr>
        <w:t xml:space="preserve"> </w:t>
      </w:r>
      <w:r w:rsidRPr="00FC657B">
        <w:rPr>
          <w:bCs/>
          <w:i/>
        </w:rPr>
        <w:t>”</w:t>
      </w:r>
      <w:r w:rsidR="00632FDF" w:rsidRPr="00FC657B">
        <w:rPr>
          <w:bCs/>
        </w:rPr>
        <w:t xml:space="preserve">The project objective </w:t>
      </w:r>
      <w:r w:rsidR="0041659A" w:rsidRPr="00FC657B">
        <w:rPr>
          <w:bCs/>
        </w:rPr>
        <w:t>was</w:t>
      </w:r>
      <w:r w:rsidR="00632FDF" w:rsidRPr="00D77DF1">
        <w:rPr>
          <w:bCs/>
        </w:rPr>
        <w:t xml:space="preserve"> </w:t>
      </w:r>
      <w:r w:rsidR="00632FDF" w:rsidRPr="00CD42DE">
        <w:rPr>
          <w:bCs/>
        </w:rPr>
        <w:t xml:space="preserve">planned to be achieved through </w:t>
      </w:r>
      <w:r w:rsidR="006C17C1" w:rsidRPr="00AA7D1F">
        <w:rPr>
          <w:bCs/>
        </w:rPr>
        <w:t>five</w:t>
      </w:r>
      <w:r w:rsidR="00632FDF" w:rsidRPr="005E69C8">
        <w:rPr>
          <w:bCs/>
        </w:rPr>
        <w:t xml:space="preserve"> main outcomes:</w:t>
      </w:r>
    </w:p>
    <w:p w:rsidR="00B41E00" w:rsidRPr="00B71D27" w:rsidRDefault="00B41E00" w:rsidP="001133EB">
      <w:pPr>
        <w:pStyle w:val="BodyText"/>
        <w:numPr>
          <w:ilvl w:val="0"/>
          <w:numId w:val="0"/>
        </w:numPr>
      </w:pPr>
      <w:r w:rsidRPr="008B7E9A">
        <w:rPr>
          <w:b/>
          <w:u w:val="single"/>
        </w:rPr>
        <w:t>Outcome 1:</w:t>
      </w:r>
      <w:r w:rsidR="00876331">
        <w:rPr>
          <w:b/>
          <w:u w:val="single"/>
        </w:rPr>
        <w:t xml:space="preserve"> </w:t>
      </w:r>
      <w:r w:rsidR="00CD1DD0" w:rsidRPr="000126EE">
        <w:rPr>
          <w:bCs/>
        </w:rPr>
        <w:t>Stakeholders strengthen legal and regulatory enabling environment and establish land and water use management basis for maintaining and restoring ecosystem health in the Prespa Lakes Basin</w:t>
      </w:r>
    </w:p>
    <w:p w:rsidR="00B41E00" w:rsidRPr="00EE58B1" w:rsidRDefault="00B41E00" w:rsidP="001133EB">
      <w:pPr>
        <w:pStyle w:val="BodyText"/>
        <w:numPr>
          <w:ilvl w:val="0"/>
          <w:numId w:val="0"/>
        </w:numPr>
        <w:rPr>
          <w:b/>
          <w:bCs/>
        </w:rPr>
      </w:pPr>
      <w:r w:rsidRPr="00595792">
        <w:rPr>
          <w:b/>
          <w:u w:val="single"/>
        </w:rPr>
        <w:t>Outcome 2:</w:t>
      </w:r>
      <w:r w:rsidR="00876331">
        <w:rPr>
          <w:b/>
          <w:u w:val="single"/>
        </w:rPr>
        <w:t xml:space="preserve"> </w:t>
      </w:r>
      <w:r w:rsidR="00CD1DD0" w:rsidRPr="00602E30">
        <w:rPr>
          <w:bCs/>
        </w:rPr>
        <w:t>Stakeholders modify productive sector resource management practices</w:t>
      </w:r>
      <w:r w:rsidR="00CD1DD0" w:rsidRPr="002A69B7">
        <w:rPr>
          <w:bCs/>
        </w:rPr>
        <w:t xml:space="preserve"> to reduce pesticide inputs, increase habitat heterogeneity, and improve the status of </w:t>
      </w:r>
      <w:r w:rsidR="00CD1DD0" w:rsidRPr="002C744B">
        <w:rPr>
          <w:bCs/>
        </w:rPr>
        <w:t>target species and communities within the national sectors of the Prespa Basin</w:t>
      </w:r>
    </w:p>
    <w:p w:rsidR="0041659A" w:rsidRPr="002D3949" w:rsidRDefault="0041659A" w:rsidP="001133EB">
      <w:pPr>
        <w:pStyle w:val="BodyText"/>
        <w:numPr>
          <w:ilvl w:val="0"/>
          <w:numId w:val="0"/>
        </w:numPr>
        <w:rPr>
          <w:b/>
        </w:rPr>
      </w:pPr>
      <w:r w:rsidRPr="00C56966">
        <w:rPr>
          <w:b/>
          <w:u w:val="single"/>
        </w:rPr>
        <w:t>Outcome 3:</w:t>
      </w:r>
      <w:r w:rsidR="00876331">
        <w:rPr>
          <w:b/>
          <w:u w:val="single"/>
        </w:rPr>
        <w:t xml:space="preserve"> </w:t>
      </w:r>
      <w:r w:rsidR="00CD1DD0" w:rsidRPr="00C56966">
        <w:t>Stakeholders conserve priority biological diversity across the Prespa Basin and make key pr</w:t>
      </w:r>
      <w:r w:rsidR="00CD1DD0" w:rsidRPr="002D3949">
        <w:t>otected areas in Prespa Basin (PNP, GNP, ENR, and PPA-GR) fully operational</w:t>
      </w:r>
    </w:p>
    <w:p w:rsidR="00CD1DD0" w:rsidRPr="000A3C73" w:rsidRDefault="00CD1DD0" w:rsidP="001133EB">
      <w:pPr>
        <w:pStyle w:val="BodyText"/>
        <w:numPr>
          <w:ilvl w:val="0"/>
          <w:numId w:val="0"/>
        </w:numPr>
      </w:pPr>
      <w:r w:rsidRPr="000A3C73">
        <w:rPr>
          <w:b/>
          <w:u w:val="single"/>
        </w:rPr>
        <w:t>Outcome 4:</w:t>
      </w:r>
      <w:r w:rsidR="00876331">
        <w:rPr>
          <w:b/>
          <w:u w:val="single"/>
        </w:rPr>
        <w:t xml:space="preserve"> </w:t>
      </w:r>
      <w:r w:rsidRPr="000A3C73">
        <w:t>Stakeholders build upon ongoing trans-boundary cooperation in the Prespa Basin by strengthening the trans-boundary coordination mechanism and piloting trans-boundary conservation and water management</w:t>
      </w:r>
    </w:p>
    <w:p w:rsidR="00CD1DD0" w:rsidRPr="000A3C73" w:rsidRDefault="00CD1DD0" w:rsidP="001133EB">
      <w:pPr>
        <w:pStyle w:val="BodyText"/>
        <w:numPr>
          <w:ilvl w:val="0"/>
          <w:numId w:val="0"/>
        </w:numPr>
      </w:pPr>
      <w:r w:rsidRPr="000A3C73">
        <w:rPr>
          <w:b/>
          <w:u w:val="single"/>
        </w:rPr>
        <w:t>Outcome 5:</w:t>
      </w:r>
      <w:r w:rsidR="00876331">
        <w:rPr>
          <w:b/>
          <w:u w:val="single"/>
        </w:rPr>
        <w:t xml:space="preserve"> </w:t>
      </w:r>
      <w:r w:rsidRPr="000A3C73">
        <w:t>Lessons learned and adaptive management of project</w:t>
      </w:r>
    </w:p>
    <w:p w:rsidR="007C748C" w:rsidRPr="00595792" w:rsidRDefault="0055789C" w:rsidP="00970722">
      <w:pPr>
        <w:pStyle w:val="BodyText"/>
      </w:pPr>
      <w:r w:rsidRPr="000A3C73">
        <w:rPr>
          <w:bCs/>
        </w:rPr>
        <w:t xml:space="preserve">Although the project is technically structured across five outcomes, in practice the project implementation arrangements, with three separate project units (as further discussed in Section </w:t>
      </w:r>
      <w:r w:rsidR="008269C6" w:rsidRPr="00FC657B">
        <w:rPr>
          <w:bCs/>
        </w:rPr>
        <w:fldChar w:fldCharType="begin"/>
      </w:r>
      <w:r w:rsidRPr="002D3949">
        <w:rPr>
          <w:bCs/>
        </w:rPr>
        <w:instrText xml:space="preserve"> REF _Ref199309733 \w \h </w:instrText>
      </w:r>
      <w:r w:rsidR="008269C6" w:rsidRPr="00FC657B">
        <w:rPr>
          <w:bCs/>
        </w:rPr>
      </w:r>
      <w:r w:rsidR="008269C6" w:rsidRPr="00FC657B">
        <w:rPr>
          <w:bCs/>
        </w:rPr>
        <w:fldChar w:fldCharType="separate"/>
      </w:r>
      <w:r w:rsidR="006E18A7" w:rsidRPr="00FC657B">
        <w:rPr>
          <w:bCs/>
        </w:rPr>
        <w:t>IV.C</w:t>
      </w:r>
      <w:r w:rsidR="008269C6" w:rsidRPr="00FC657B">
        <w:rPr>
          <w:bCs/>
        </w:rPr>
        <w:fldChar w:fldCharType="end"/>
      </w:r>
      <w:r w:rsidRPr="00FC657B">
        <w:rPr>
          <w:bCs/>
        </w:rPr>
        <w:t xml:space="preserve"> on implementation arrangements) meant that there were three individual sets of activities that were intended to contribute to the outcomes, rather than one set of activities for each outcome. </w:t>
      </w:r>
      <w:r w:rsidR="00541D5E" w:rsidRPr="00FC657B">
        <w:rPr>
          <w:bCs/>
        </w:rPr>
        <w:t>Thus the project design represents a kind of 3x5 matrix (transboundary component, Albania component, Macedonia component) intended to drive the project toward the overall objective</w:t>
      </w:r>
      <w:r w:rsidR="00541D5E" w:rsidRPr="00D77DF1">
        <w:rPr>
          <w:bCs/>
        </w:rPr>
        <w:t xml:space="preserve">. </w:t>
      </w:r>
      <w:r w:rsidR="00BA0701" w:rsidRPr="00CD42DE">
        <w:t>In addition, project</w:t>
      </w:r>
      <w:r w:rsidR="007C748C" w:rsidRPr="00AA7D1F">
        <w:t xml:space="preserve"> activities</w:t>
      </w:r>
      <w:r w:rsidR="00BA0701" w:rsidRPr="005E69C8">
        <w:t xml:space="preserve"> were planned</w:t>
      </w:r>
      <w:r w:rsidR="007C748C" w:rsidRPr="00850A96">
        <w:t xml:space="preserve"> at local, regional, national and transboundary levels. </w:t>
      </w:r>
      <w:r w:rsidR="00541D5E" w:rsidRPr="008B7E9A">
        <w:rPr>
          <w:bCs/>
        </w:rPr>
        <w:t xml:space="preserve">This </w:t>
      </w:r>
      <w:r w:rsidR="00711C6D" w:rsidRPr="000126EE">
        <w:rPr>
          <w:bCs/>
        </w:rPr>
        <w:t>expansive</w:t>
      </w:r>
      <w:r w:rsidR="00541D5E" w:rsidRPr="00B71D27">
        <w:rPr>
          <w:bCs/>
        </w:rPr>
        <w:t xml:space="preserve"> project design generated some headwinds for the project as a whole, as discussed at various points throughout this report. </w:t>
      </w:r>
    </w:p>
    <w:p w:rsidR="00442B31" w:rsidRPr="00602E30" w:rsidRDefault="00442B31" w:rsidP="00442B31">
      <w:pPr>
        <w:pStyle w:val="Heading3"/>
        <w:ind w:left="1440"/>
      </w:pPr>
      <w:bookmarkStart w:id="19" w:name="_Ref207354549"/>
      <w:bookmarkStart w:id="20" w:name="_Toc238551053"/>
      <w:r w:rsidRPr="00602E30">
        <w:t>Timing and Milestones</w:t>
      </w:r>
      <w:bookmarkEnd w:id="19"/>
      <w:bookmarkEnd w:id="20"/>
    </w:p>
    <w:p w:rsidR="00BD4931" w:rsidRPr="000A3C73" w:rsidRDefault="00E75F53" w:rsidP="003C2E42">
      <w:pPr>
        <w:pStyle w:val="BodyText"/>
        <w:rPr>
          <w:bCs/>
        </w:rPr>
      </w:pPr>
      <w:r w:rsidRPr="002A69B7">
        <w:rPr>
          <w:bCs/>
        </w:rPr>
        <w:t xml:space="preserve">The project’s key milestone dates are shown in </w:t>
      </w:r>
      <w:r w:rsidR="008269C6" w:rsidRPr="00FC657B">
        <w:rPr>
          <w:bCs/>
        </w:rPr>
        <w:fldChar w:fldCharType="begin"/>
      </w:r>
      <w:r w:rsidRPr="000A3C73">
        <w:rPr>
          <w:bCs/>
        </w:rPr>
        <w:instrText xml:space="preserve"> REF _Ref179009736 \h </w:instrText>
      </w:r>
      <w:r w:rsidR="008269C6" w:rsidRPr="00FC657B">
        <w:rPr>
          <w:bCs/>
        </w:rPr>
      </w:r>
      <w:r w:rsidR="008269C6" w:rsidRPr="00FC657B">
        <w:rPr>
          <w:bCs/>
        </w:rPr>
        <w:fldChar w:fldCharType="separate"/>
      </w:r>
      <w:r w:rsidR="006E18A7" w:rsidRPr="00FC657B">
        <w:t xml:space="preserve">Table </w:t>
      </w:r>
      <w:r w:rsidR="006E18A7" w:rsidRPr="00FC657B">
        <w:rPr>
          <w:noProof/>
        </w:rPr>
        <w:t>2</w:t>
      </w:r>
      <w:r w:rsidR="008269C6" w:rsidRPr="00FC657B">
        <w:rPr>
          <w:bCs/>
        </w:rPr>
        <w:fldChar w:fldCharType="end"/>
      </w:r>
      <w:r w:rsidRPr="00FC657B">
        <w:rPr>
          <w:bCs/>
        </w:rPr>
        <w:t xml:space="preserve"> below. </w:t>
      </w:r>
      <w:r w:rsidR="00267081" w:rsidRPr="00FC657B">
        <w:rPr>
          <w:bCs/>
        </w:rPr>
        <w:t xml:space="preserve">The project concept was submitted October 30, 2001 (with official “pipeline entry” recognized four months later), and final GEF approval was received January 30, 2006. </w:t>
      </w:r>
      <w:r w:rsidR="00C1693C" w:rsidRPr="00D77DF1">
        <w:rPr>
          <w:bCs/>
        </w:rPr>
        <w:t xml:space="preserve">The development period from </w:t>
      </w:r>
      <w:r w:rsidR="00BF3C03" w:rsidRPr="00CD42DE">
        <w:rPr>
          <w:bCs/>
        </w:rPr>
        <w:t>pipe</w:t>
      </w:r>
      <w:r w:rsidR="00290BF8" w:rsidRPr="00CD42DE">
        <w:rPr>
          <w:bCs/>
        </w:rPr>
        <w:t xml:space="preserve">line entry to </w:t>
      </w:r>
      <w:r w:rsidR="00D77A99" w:rsidRPr="00AA7D1F">
        <w:rPr>
          <w:bCs/>
        </w:rPr>
        <w:t>CEO Endorsement</w:t>
      </w:r>
      <w:r w:rsidR="00290BF8" w:rsidRPr="005E69C8">
        <w:rPr>
          <w:bCs/>
        </w:rPr>
        <w:t xml:space="preserve"> was </w:t>
      </w:r>
      <w:r w:rsidR="00D77A99" w:rsidRPr="00850A96">
        <w:rPr>
          <w:bCs/>
        </w:rPr>
        <w:t>50</w:t>
      </w:r>
      <w:r w:rsidR="00864757" w:rsidRPr="00850A96">
        <w:rPr>
          <w:bCs/>
        </w:rPr>
        <w:t>.5</w:t>
      </w:r>
      <w:r w:rsidR="00BF3C03" w:rsidRPr="00850A96">
        <w:rPr>
          <w:bCs/>
        </w:rPr>
        <w:t xml:space="preserve"> months</w:t>
      </w:r>
      <w:r w:rsidR="00D77A99" w:rsidRPr="008B7E9A">
        <w:rPr>
          <w:bCs/>
        </w:rPr>
        <w:t xml:space="preserve"> (more than four years)</w:t>
      </w:r>
      <w:r w:rsidR="00E95D0B" w:rsidRPr="000126EE">
        <w:rPr>
          <w:bCs/>
        </w:rPr>
        <w:t>. A portion of this time was consumed in implementing the PDF-B from late 2003 to early 2005.</w:t>
      </w:r>
      <w:r w:rsidR="00876331">
        <w:rPr>
          <w:bCs/>
        </w:rPr>
        <w:t xml:space="preserve"> </w:t>
      </w:r>
      <w:r w:rsidR="00E95D0B" w:rsidRPr="000126EE">
        <w:rPr>
          <w:bCs/>
        </w:rPr>
        <w:t>After GEF approval,</w:t>
      </w:r>
      <w:r w:rsidR="00290BF8" w:rsidRPr="00B71D27">
        <w:rPr>
          <w:bCs/>
        </w:rPr>
        <w:t xml:space="preserve"> another </w:t>
      </w:r>
      <w:r w:rsidR="00864757" w:rsidRPr="00595792">
        <w:rPr>
          <w:bCs/>
        </w:rPr>
        <w:t>four</w:t>
      </w:r>
      <w:r w:rsidR="003C2E42" w:rsidRPr="00602E30">
        <w:rPr>
          <w:bCs/>
        </w:rPr>
        <w:t xml:space="preserve"> months </w:t>
      </w:r>
      <w:r w:rsidR="00864757" w:rsidRPr="002A69B7">
        <w:rPr>
          <w:bCs/>
        </w:rPr>
        <w:t>were</w:t>
      </w:r>
      <w:r w:rsidR="003C2E42" w:rsidRPr="002C744B">
        <w:rPr>
          <w:bCs/>
        </w:rPr>
        <w:t xml:space="preserve"> required to reach implementation start (first disbursement)</w:t>
      </w:r>
      <w:r w:rsidR="00D77A99" w:rsidRPr="002C744B">
        <w:rPr>
          <w:bCs/>
        </w:rPr>
        <w:t xml:space="preserve"> for the Macedonian component, and</w:t>
      </w:r>
      <w:r w:rsidR="00D77A99" w:rsidRPr="00EE58B1">
        <w:rPr>
          <w:bCs/>
        </w:rPr>
        <w:t xml:space="preserve"> another 10 months for the Albanian </w:t>
      </w:r>
      <w:r w:rsidR="00E91E9B" w:rsidRPr="00C56966">
        <w:rPr>
          <w:bCs/>
        </w:rPr>
        <w:t xml:space="preserve">and Transboundary </w:t>
      </w:r>
      <w:r w:rsidR="00D77A99" w:rsidRPr="002D3949">
        <w:rPr>
          <w:bCs/>
        </w:rPr>
        <w:t>component</w:t>
      </w:r>
      <w:r w:rsidR="00E91E9B" w:rsidRPr="002D3949">
        <w:rPr>
          <w:bCs/>
        </w:rPr>
        <w:t>s</w:t>
      </w:r>
      <w:r w:rsidR="003C2E42" w:rsidRPr="000A3C73">
        <w:rPr>
          <w:bCs/>
        </w:rPr>
        <w:t xml:space="preserve">. The inception workshop </w:t>
      </w:r>
      <w:r w:rsidR="00D77A99" w:rsidRPr="000A3C73">
        <w:rPr>
          <w:bCs/>
        </w:rPr>
        <w:t xml:space="preserve">for the Macedonian component </w:t>
      </w:r>
      <w:r w:rsidR="003C2E42" w:rsidRPr="000A3C73">
        <w:rPr>
          <w:bCs/>
        </w:rPr>
        <w:t xml:space="preserve">was then </w:t>
      </w:r>
      <w:r w:rsidR="004E25FA" w:rsidRPr="000A3C73">
        <w:rPr>
          <w:bCs/>
        </w:rPr>
        <w:t xml:space="preserve">held in </w:t>
      </w:r>
      <w:r w:rsidR="00D77A99" w:rsidRPr="000A3C73">
        <w:rPr>
          <w:bCs/>
        </w:rPr>
        <w:t>Bitola</w:t>
      </w:r>
      <w:r w:rsidR="003C2E42" w:rsidRPr="000A3C73">
        <w:rPr>
          <w:bCs/>
        </w:rPr>
        <w:t xml:space="preserve">, on </w:t>
      </w:r>
      <w:r w:rsidR="00D77A99" w:rsidRPr="000A3C73">
        <w:rPr>
          <w:bCs/>
        </w:rPr>
        <w:t>November 9-10th, 2006</w:t>
      </w:r>
      <w:r w:rsidR="004E25FA" w:rsidRPr="000A3C73">
        <w:rPr>
          <w:bCs/>
        </w:rPr>
        <w:t xml:space="preserve"> and </w:t>
      </w:r>
      <w:r w:rsidR="00D77A99" w:rsidRPr="000A3C73">
        <w:rPr>
          <w:bCs/>
        </w:rPr>
        <w:t xml:space="preserve">for the Albanian component </w:t>
      </w:r>
      <w:r w:rsidR="00BD4931" w:rsidRPr="000A3C73">
        <w:rPr>
          <w:bCs/>
        </w:rPr>
        <w:t xml:space="preserve">in Korce </w:t>
      </w:r>
      <w:r w:rsidR="00D77A99" w:rsidRPr="000A3C73">
        <w:rPr>
          <w:bCs/>
        </w:rPr>
        <w:t>on February 2</w:t>
      </w:r>
      <w:r w:rsidR="00D77A99" w:rsidRPr="000A3C73">
        <w:rPr>
          <w:bCs/>
          <w:vertAlign w:val="superscript"/>
        </w:rPr>
        <w:t>nd</w:t>
      </w:r>
      <w:r w:rsidR="00D77A99" w:rsidRPr="000A3C73">
        <w:rPr>
          <w:bCs/>
        </w:rPr>
        <w:t>, 2007</w:t>
      </w:r>
      <w:r w:rsidR="004E25FA" w:rsidRPr="000A3C73">
        <w:rPr>
          <w:bCs/>
        </w:rPr>
        <w:t>.</w:t>
      </w:r>
      <w:r w:rsidR="00CD0422" w:rsidRPr="000A3C73">
        <w:rPr>
          <w:bCs/>
        </w:rPr>
        <w:t xml:space="preserve">For </w:t>
      </w:r>
      <w:r w:rsidR="00CD0422" w:rsidRPr="000A3C73">
        <w:rPr>
          <w:bCs/>
        </w:rPr>
        <w:lastRenderedPageBreak/>
        <w:t xml:space="preserve">the transboundary component, the International Technical Advisor was appointed in April 2007, and activities only began in June 2007, following approval of the transboundary component workplan at the transboundary inception workshop on June 16, 2007. </w:t>
      </w:r>
      <w:r w:rsidR="004E25FA" w:rsidRPr="000A3C73">
        <w:rPr>
          <w:bCs/>
        </w:rPr>
        <w:t>Therefore, practically speaking, activities</w:t>
      </w:r>
      <w:r w:rsidR="00FD6F35" w:rsidRPr="000A3C73">
        <w:rPr>
          <w:bCs/>
        </w:rPr>
        <w:t xml:space="preserve"> for the Macedonian and Albanian components</w:t>
      </w:r>
      <w:r w:rsidR="004E25FA" w:rsidRPr="000A3C73">
        <w:rPr>
          <w:bCs/>
        </w:rPr>
        <w:t xml:space="preserve"> began in early 200</w:t>
      </w:r>
      <w:r w:rsidR="00E95D0B" w:rsidRPr="000A3C73">
        <w:rPr>
          <w:bCs/>
        </w:rPr>
        <w:t>7</w:t>
      </w:r>
      <w:r w:rsidR="004E25FA" w:rsidRPr="000A3C73">
        <w:rPr>
          <w:bCs/>
        </w:rPr>
        <w:t xml:space="preserve">, </w:t>
      </w:r>
      <w:r w:rsidR="00CD0422" w:rsidRPr="000A3C73">
        <w:rPr>
          <w:bCs/>
        </w:rPr>
        <w:t xml:space="preserve">and for the transboundary component in mid-2007 - </w:t>
      </w:r>
      <w:r w:rsidR="00E95D0B" w:rsidRPr="000A3C73">
        <w:rPr>
          <w:bCs/>
        </w:rPr>
        <w:t>more than five years</w:t>
      </w:r>
      <w:r w:rsidR="004E25FA" w:rsidRPr="000A3C73">
        <w:rPr>
          <w:bCs/>
        </w:rPr>
        <w:t xml:space="preserve"> after pipeline entry</w:t>
      </w:r>
      <w:r w:rsidR="00257CDD" w:rsidRPr="000A3C73">
        <w:rPr>
          <w:bCs/>
        </w:rPr>
        <w:t>.</w:t>
      </w:r>
    </w:p>
    <w:p w:rsidR="007A761C" w:rsidRPr="000A3C73" w:rsidRDefault="00257CDD" w:rsidP="007A761C">
      <w:pPr>
        <w:pStyle w:val="BodyText"/>
        <w:rPr>
          <w:bCs/>
        </w:rPr>
      </w:pPr>
      <w:r w:rsidRPr="000A3C73">
        <w:rPr>
          <w:bCs/>
        </w:rPr>
        <w:t xml:space="preserve">Previous GEF program evaluations have determined that the average for GEF </w:t>
      </w:r>
      <w:r w:rsidR="00BD4931" w:rsidRPr="000A3C73">
        <w:rPr>
          <w:bCs/>
        </w:rPr>
        <w:t xml:space="preserve">FSPs </w:t>
      </w:r>
      <w:r w:rsidR="007A761C" w:rsidRPr="000A3C73">
        <w:rPr>
          <w:bCs/>
        </w:rPr>
        <w:t xml:space="preserve">during the GEF-3 Phase (the period in which this project was developed) </w:t>
      </w:r>
      <w:r w:rsidR="00BD4931" w:rsidRPr="000A3C73">
        <w:rPr>
          <w:bCs/>
        </w:rPr>
        <w:t>from PDF-B</w:t>
      </w:r>
      <w:r w:rsidRPr="000A3C73">
        <w:rPr>
          <w:bCs/>
        </w:rPr>
        <w:t xml:space="preserve"> to implementation start </w:t>
      </w:r>
      <w:r w:rsidR="007261F7" w:rsidRPr="000A3C73">
        <w:rPr>
          <w:bCs/>
        </w:rPr>
        <w:t>(up to</w:t>
      </w:r>
      <w:r w:rsidRPr="000A3C73">
        <w:rPr>
          <w:bCs/>
        </w:rPr>
        <w:t xml:space="preserve"> 2006</w:t>
      </w:r>
      <w:r w:rsidR="007261F7" w:rsidRPr="000A3C73">
        <w:rPr>
          <w:bCs/>
        </w:rPr>
        <w:t>)</w:t>
      </w:r>
      <w:r w:rsidR="007A761C" w:rsidRPr="000A3C73">
        <w:rPr>
          <w:bCs/>
        </w:rPr>
        <w:t xml:space="preserve"> was approximately 44</w:t>
      </w:r>
      <w:r w:rsidRPr="000A3C73">
        <w:rPr>
          <w:bCs/>
        </w:rPr>
        <w:t xml:space="preserve"> months</w:t>
      </w:r>
      <w:r w:rsidR="007A761C" w:rsidRPr="000A3C73">
        <w:rPr>
          <w:bCs/>
        </w:rPr>
        <w:t>.</w:t>
      </w:r>
      <w:r w:rsidRPr="00FC657B">
        <w:rPr>
          <w:rStyle w:val="FootnoteReference"/>
          <w:bCs/>
        </w:rPr>
        <w:footnoteReference w:id="2"/>
      </w:r>
      <w:r w:rsidR="00876331">
        <w:rPr>
          <w:bCs/>
        </w:rPr>
        <w:t xml:space="preserve"> </w:t>
      </w:r>
      <w:r w:rsidR="00AA3BB3" w:rsidRPr="00FC657B">
        <w:rPr>
          <w:bCs/>
        </w:rPr>
        <w:t>Regional projects are</w:t>
      </w:r>
      <w:r w:rsidR="00442B31" w:rsidRPr="00FC657B">
        <w:rPr>
          <w:bCs/>
        </w:rPr>
        <w:t xml:space="preserve"> typica</w:t>
      </w:r>
      <w:r w:rsidR="00442B31" w:rsidRPr="00D77DF1">
        <w:rPr>
          <w:bCs/>
        </w:rPr>
        <w:t>lly more complex</w:t>
      </w:r>
      <w:r w:rsidR="007A761C" w:rsidRPr="00CD42DE">
        <w:rPr>
          <w:bCs/>
        </w:rPr>
        <w:t xml:space="preserve">, </w:t>
      </w:r>
      <w:r w:rsidR="00AA3BB3" w:rsidRPr="00AA7D1F">
        <w:rPr>
          <w:bCs/>
        </w:rPr>
        <w:t xml:space="preserve">and </w:t>
      </w:r>
      <w:r w:rsidR="007A761C" w:rsidRPr="005E69C8">
        <w:rPr>
          <w:bCs/>
        </w:rPr>
        <w:t>it is perhaps not surprising that this project required six months mor</w:t>
      </w:r>
      <w:r w:rsidR="00442B31" w:rsidRPr="00850A96">
        <w:rPr>
          <w:bCs/>
        </w:rPr>
        <w:t>e than average for development. A</w:t>
      </w:r>
      <w:r w:rsidR="007A761C" w:rsidRPr="00850A96">
        <w:rPr>
          <w:bCs/>
        </w:rPr>
        <w:t>t the same time</w:t>
      </w:r>
      <w:r w:rsidR="00442B31" w:rsidRPr="00850A96">
        <w:rPr>
          <w:bCs/>
        </w:rPr>
        <w:t>,</w:t>
      </w:r>
      <w:r w:rsidR="007A761C" w:rsidRPr="008B7E9A">
        <w:rPr>
          <w:bCs/>
        </w:rPr>
        <w:t xml:space="preserve"> it appears the development period duration was not simply due to business as usual processing standards, but was negatively affected b</w:t>
      </w:r>
      <w:r w:rsidR="007A761C" w:rsidRPr="000126EE">
        <w:rPr>
          <w:bCs/>
        </w:rPr>
        <w:t>y bureaucratic delays in the approval process between the GEF Secretariat and UNDP – a March 2003 communication from UNDP to the GEF Secretariat highlighted the urgency of approving the PDF-B proposal that was submitted in September 2002</w:t>
      </w:r>
      <w:r w:rsidR="00013B83" w:rsidRPr="00B71D27">
        <w:rPr>
          <w:bCs/>
        </w:rPr>
        <w:t xml:space="preserve"> because of the dep</w:t>
      </w:r>
      <w:r w:rsidR="00013B83" w:rsidRPr="00595792">
        <w:rPr>
          <w:bCs/>
        </w:rPr>
        <w:t>endency on expected co-financing</w:t>
      </w:r>
      <w:r w:rsidR="007A761C" w:rsidRPr="00602E30">
        <w:rPr>
          <w:bCs/>
        </w:rPr>
        <w:t xml:space="preserve"> (</w:t>
      </w:r>
      <w:r w:rsidR="00696BEA" w:rsidRPr="002A69B7">
        <w:rPr>
          <w:bCs/>
        </w:rPr>
        <w:t xml:space="preserve">the PDF-B was </w:t>
      </w:r>
      <w:r w:rsidR="007A761C" w:rsidRPr="002C744B">
        <w:rPr>
          <w:bCs/>
        </w:rPr>
        <w:t xml:space="preserve">eventually approved in June 2003 – </w:t>
      </w:r>
      <w:r w:rsidR="00696BEA" w:rsidRPr="00EE58B1">
        <w:rPr>
          <w:bCs/>
        </w:rPr>
        <w:t xml:space="preserve">taking </w:t>
      </w:r>
      <w:r w:rsidR="007A761C" w:rsidRPr="00C56966">
        <w:rPr>
          <w:bCs/>
        </w:rPr>
        <w:t>six months longer than the average PDF-B approval process, according to data in the above referenced GEF EO evaluation). Project stakeholders involved in the development phase also noted that the project development required mul</w:t>
      </w:r>
      <w:r w:rsidR="007A761C" w:rsidRPr="002D3949">
        <w:rPr>
          <w:bCs/>
        </w:rPr>
        <w:t>tiple stages, with multiple international consultants contracted to guide the project document to its final form. And even as such, stakeholders noted that the end of the project devel</w:t>
      </w:r>
      <w:r w:rsidR="007A761C" w:rsidRPr="000A3C73">
        <w:rPr>
          <w:bCs/>
        </w:rPr>
        <w:t xml:space="preserve">opment phase was rushed, and it has been </w:t>
      </w:r>
      <w:r w:rsidR="00267081" w:rsidRPr="000A3C73">
        <w:rPr>
          <w:bCs/>
        </w:rPr>
        <w:t>stated</w:t>
      </w:r>
      <w:r w:rsidR="007A761C" w:rsidRPr="000A3C73">
        <w:rPr>
          <w:bCs/>
        </w:rPr>
        <w:t xml:space="preserve"> (for example, in the project mid-term evaluation) that the project document contains </w:t>
      </w:r>
      <w:r w:rsidR="00A85CD3" w:rsidRPr="000A3C73">
        <w:rPr>
          <w:bCs/>
        </w:rPr>
        <w:t>“numerous contradictions and inconsistencies”, for example, related to the position of International Technical Advisor vs. PPCC Executiv</w:t>
      </w:r>
      <w:r w:rsidR="00442B31" w:rsidRPr="000A3C73">
        <w:rPr>
          <w:bCs/>
        </w:rPr>
        <w:t>e Secretary.</w:t>
      </w:r>
    </w:p>
    <w:p w:rsidR="00442B31" w:rsidRPr="00FC657B" w:rsidRDefault="00C55E12" w:rsidP="007A761C">
      <w:pPr>
        <w:pStyle w:val="BodyText"/>
        <w:rPr>
          <w:bCs/>
        </w:rPr>
      </w:pPr>
      <w:r w:rsidRPr="000A3C73">
        <w:rPr>
          <w:bCs/>
        </w:rPr>
        <w:t>Operational and t</w:t>
      </w:r>
      <w:r w:rsidR="00442B31" w:rsidRPr="000A3C73">
        <w:rPr>
          <w:bCs/>
        </w:rPr>
        <w:t xml:space="preserve">echnical issues related to the project design are further discussed in Section </w:t>
      </w:r>
      <w:r w:rsidR="008269C6" w:rsidRPr="00FC657B">
        <w:rPr>
          <w:bCs/>
        </w:rPr>
        <w:fldChar w:fldCharType="begin"/>
      </w:r>
      <w:r w:rsidR="00442B31" w:rsidRPr="000A3C73">
        <w:rPr>
          <w:bCs/>
        </w:rPr>
        <w:instrText xml:space="preserve"> REF _Ref203725697 \w \h </w:instrText>
      </w:r>
      <w:r w:rsidR="008269C6" w:rsidRPr="00FC657B">
        <w:rPr>
          <w:bCs/>
        </w:rPr>
      </w:r>
      <w:r w:rsidR="008269C6" w:rsidRPr="00FC657B">
        <w:rPr>
          <w:bCs/>
        </w:rPr>
        <w:fldChar w:fldCharType="separate"/>
      </w:r>
      <w:r w:rsidR="006E18A7" w:rsidRPr="00FC657B">
        <w:rPr>
          <w:bCs/>
        </w:rPr>
        <w:t>IV</w:t>
      </w:r>
      <w:r w:rsidR="008269C6" w:rsidRPr="00FC657B">
        <w:rPr>
          <w:bCs/>
        </w:rPr>
        <w:fldChar w:fldCharType="end"/>
      </w:r>
      <w:r w:rsidR="0035308D" w:rsidRPr="00FC657B">
        <w:rPr>
          <w:bCs/>
        </w:rPr>
        <w:t xml:space="preserve"> on project design.</w:t>
      </w:r>
    </w:p>
    <w:p w:rsidR="00AB05EA" w:rsidRPr="00D77DF1" w:rsidRDefault="00AB05EA" w:rsidP="007A761C">
      <w:pPr>
        <w:pStyle w:val="BodyText"/>
        <w:numPr>
          <w:ilvl w:val="0"/>
          <w:numId w:val="0"/>
        </w:numPr>
        <w:rPr>
          <w:bCs/>
        </w:rPr>
      </w:pPr>
      <w:r w:rsidRPr="00D77DF1">
        <w:rPr>
          <w:bCs/>
        </w:rPr>
        <w:br w:type="page"/>
      </w:r>
    </w:p>
    <w:p w:rsidR="00AB05EA" w:rsidRPr="00D77DF1" w:rsidRDefault="00AB05EA" w:rsidP="00AB05EA">
      <w:pPr>
        <w:pStyle w:val="BodyText"/>
        <w:numPr>
          <w:ilvl w:val="0"/>
          <w:numId w:val="0"/>
        </w:numPr>
        <w:rPr>
          <w:bCs/>
        </w:rPr>
      </w:pPr>
    </w:p>
    <w:p w:rsidR="00185FB6" w:rsidRPr="000A3C73" w:rsidRDefault="00185FB6" w:rsidP="004246D3">
      <w:pPr>
        <w:pStyle w:val="Caption"/>
      </w:pPr>
      <w:bookmarkStart w:id="21" w:name="_Ref179009736"/>
      <w:r w:rsidRPr="00CD42DE">
        <w:t>T</w:t>
      </w:r>
      <w:bookmarkStart w:id="22" w:name="_Ref146700574"/>
      <w:r w:rsidRPr="00CD42DE">
        <w:t xml:space="preserve">able </w:t>
      </w:r>
      <w:r w:rsidR="008269C6" w:rsidRPr="00F92C45">
        <w:fldChar w:fldCharType="begin"/>
      </w:r>
      <w:r w:rsidR="00CF23E9" w:rsidRPr="000A3C73">
        <w:instrText xml:space="preserve"> SEQ Table \* ARABIC </w:instrText>
      </w:r>
      <w:r w:rsidR="008269C6" w:rsidRPr="00F92C45">
        <w:fldChar w:fldCharType="separate"/>
      </w:r>
      <w:r w:rsidR="006E18A7" w:rsidRPr="000A3C73">
        <w:rPr>
          <w:noProof/>
        </w:rPr>
        <w:t>2</w:t>
      </w:r>
      <w:r w:rsidR="008269C6" w:rsidRPr="00F92C45">
        <w:rPr>
          <w:noProof/>
        </w:rPr>
        <w:fldChar w:fldCharType="end"/>
      </w:r>
      <w:bookmarkEnd w:id="21"/>
      <w:bookmarkEnd w:id="22"/>
      <w:r w:rsidRPr="000A3C73">
        <w:t xml:space="preserve"> Project Key </w:t>
      </w:r>
      <w:r w:rsidR="00E75F53" w:rsidRPr="000A3C73">
        <w:t xml:space="preserve">Milestone </w:t>
      </w:r>
      <w:r w:rsidRPr="000A3C73">
        <w:t>Dates</w:t>
      </w:r>
      <w:r w:rsidRPr="000A3C73">
        <w:rPr>
          <w:vertAlign w:val="superscript"/>
        </w:rPr>
        <w:footnoteReference w:id="3"/>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28"/>
        <w:gridCol w:w="2070"/>
        <w:gridCol w:w="3150"/>
        <w:gridCol w:w="1728"/>
      </w:tblGrid>
      <w:tr w:rsidR="00AB05EA" w:rsidRPr="000A3C73" w:rsidTr="003276E0">
        <w:tc>
          <w:tcPr>
            <w:tcW w:w="2628" w:type="dxa"/>
            <w:shd w:val="clear" w:color="auto" w:fill="BFBFBF"/>
          </w:tcPr>
          <w:p w:rsidR="00185FB6" w:rsidRPr="00850A96" w:rsidRDefault="00185FB6" w:rsidP="00185FB6">
            <w:pPr>
              <w:keepNext/>
              <w:rPr>
                <w:rFonts w:ascii="Calibri" w:hAnsi="Calibri"/>
                <w:b/>
                <w:sz w:val="22"/>
              </w:rPr>
            </w:pPr>
            <w:r w:rsidRPr="00850A96">
              <w:rPr>
                <w:rFonts w:ascii="Calibri" w:hAnsi="Calibri"/>
                <w:b/>
                <w:sz w:val="22"/>
              </w:rPr>
              <w:t>Milestone</w:t>
            </w:r>
          </w:p>
        </w:tc>
        <w:tc>
          <w:tcPr>
            <w:tcW w:w="2070" w:type="dxa"/>
            <w:shd w:val="clear" w:color="auto" w:fill="BFBFBF"/>
          </w:tcPr>
          <w:p w:rsidR="00185FB6" w:rsidRPr="008B7E9A" w:rsidRDefault="00185FB6" w:rsidP="00185FB6">
            <w:pPr>
              <w:keepNext/>
              <w:jc w:val="center"/>
              <w:rPr>
                <w:rFonts w:ascii="Calibri" w:hAnsi="Calibri"/>
                <w:b/>
                <w:sz w:val="22"/>
              </w:rPr>
            </w:pPr>
            <w:r w:rsidRPr="008B7E9A">
              <w:rPr>
                <w:rFonts w:ascii="Calibri" w:hAnsi="Calibri"/>
                <w:b/>
                <w:sz w:val="22"/>
              </w:rPr>
              <w:t>Expected date [A]</w:t>
            </w:r>
          </w:p>
        </w:tc>
        <w:tc>
          <w:tcPr>
            <w:tcW w:w="3150" w:type="dxa"/>
            <w:shd w:val="clear" w:color="auto" w:fill="BFBFBF"/>
          </w:tcPr>
          <w:p w:rsidR="00185FB6" w:rsidRPr="00B71D27" w:rsidRDefault="00185FB6" w:rsidP="00185FB6">
            <w:pPr>
              <w:keepNext/>
              <w:jc w:val="center"/>
              <w:rPr>
                <w:rFonts w:ascii="Calibri" w:hAnsi="Calibri"/>
                <w:b/>
                <w:sz w:val="22"/>
              </w:rPr>
            </w:pPr>
            <w:r w:rsidRPr="000126EE">
              <w:rPr>
                <w:rFonts w:ascii="Calibri" w:hAnsi="Calibri"/>
                <w:b/>
                <w:sz w:val="22"/>
              </w:rPr>
              <w:t>A</w:t>
            </w:r>
            <w:r w:rsidRPr="00B71D27">
              <w:rPr>
                <w:rFonts w:ascii="Calibri" w:hAnsi="Calibri"/>
                <w:b/>
                <w:sz w:val="22"/>
              </w:rPr>
              <w:t>ctual date [B]</w:t>
            </w:r>
          </w:p>
        </w:tc>
        <w:tc>
          <w:tcPr>
            <w:tcW w:w="1728" w:type="dxa"/>
            <w:shd w:val="clear" w:color="auto" w:fill="BFBFBF"/>
          </w:tcPr>
          <w:p w:rsidR="00185FB6" w:rsidRPr="002A69B7" w:rsidRDefault="00185FB6" w:rsidP="00185FB6">
            <w:pPr>
              <w:keepNext/>
              <w:jc w:val="center"/>
              <w:rPr>
                <w:rFonts w:ascii="Calibri" w:hAnsi="Calibri"/>
                <w:b/>
                <w:sz w:val="22"/>
              </w:rPr>
            </w:pPr>
            <w:r w:rsidRPr="00595792">
              <w:rPr>
                <w:rFonts w:ascii="Calibri" w:hAnsi="Calibri"/>
                <w:b/>
                <w:sz w:val="22"/>
              </w:rPr>
              <w:t>Months</w:t>
            </w:r>
            <w:r w:rsidR="008F41DF" w:rsidRPr="00602E30">
              <w:rPr>
                <w:rFonts w:ascii="Calibri" w:hAnsi="Calibri"/>
                <w:b/>
                <w:sz w:val="22"/>
              </w:rPr>
              <w:t xml:space="preserve"> (total)</w:t>
            </w:r>
          </w:p>
        </w:tc>
      </w:tr>
      <w:tr w:rsidR="00AB05EA" w:rsidRPr="000A3C73" w:rsidTr="003276E0">
        <w:tc>
          <w:tcPr>
            <w:tcW w:w="2628" w:type="dxa"/>
          </w:tcPr>
          <w:p w:rsidR="0098263D" w:rsidRPr="002C744B" w:rsidRDefault="00895D15" w:rsidP="004E6944">
            <w:pPr>
              <w:rPr>
                <w:rFonts w:ascii="Calibri" w:hAnsi="Calibri"/>
                <w:sz w:val="22"/>
              </w:rPr>
            </w:pPr>
            <w:r w:rsidRPr="002C744B">
              <w:rPr>
                <w:rFonts w:ascii="Calibri" w:hAnsi="Calibri"/>
                <w:sz w:val="22"/>
              </w:rPr>
              <w:t xml:space="preserve">1. </w:t>
            </w:r>
            <w:r w:rsidR="0098263D" w:rsidRPr="002C744B">
              <w:rPr>
                <w:rFonts w:ascii="Calibri" w:hAnsi="Calibri"/>
                <w:sz w:val="22"/>
              </w:rPr>
              <w:t>Concept received</w:t>
            </w:r>
          </w:p>
        </w:tc>
        <w:tc>
          <w:tcPr>
            <w:tcW w:w="2070" w:type="dxa"/>
            <w:shd w:val="clear" w:color="auto" w:fill="auto"/>
          </w:tcPr>
          <w:p w:rsidR="0098263D" w:rsidRPr="002D3949" w:rsidRDefault="00895D15" w:rsidP="00185FB6">
            <w:pPr>
              <w:jc w:val="center"/>
              <w:rPr>
                <w:rFonts w:ascii="Calibri" w:hAnsi="Calibri"/>
                <w:sz w:val="22"/>
              </w:rPr>
            </w:pPr>
            <w:r w:rsidRPr="00C56966">
              <w:rPr>
                <w:rFonts w:ascii="Calibri" w:hAnsi="Calibri"/>
                <w:sz w:val="22"/>
              </w:rPr>
              <w:t>Not Applica</w:t>
            </w:r>
            <w:r w:rsidRPr="002D3949">
              <w:rPr>
                <w:rFonts w:ascii="Calibri" w:hAnsi="Calibri"/>
                <w:sz w:val="22"/>
              </w:rPr>
              <w:t>ble</w:t>
            </w:r>
          </w:p>
        </w:tc>
        <w:tc>
          <w:tcPr>
            <w:tcW w:w="3150" w:type="dxa"/>
          </w:tcPr>
          <w:p w:rsidR="0098263D" w:rsidRPr="000A3C73" w:rsidRDefault="0098263D" w:rsidP="00185FB6">
            <w:pPr>
              <w:jc w:val="center"/>
              <w:rPr>
                <w:rFonts w:ascii="Calibri" w:hAnsi="Calibri"/>
                <w:sz w:val="22"/>
              </w:rPr>
            </w:pPr>
            <w:r w:rsidRPr="000A3C73">
              <w:rPr>
                <w:rFonts w:ascii="Calibri" w:hAnsi="Calibri"/>
                <w:sz w:val="22"/>
              </w:rPr>
              <w:t>October 30, 2001</w:t>
            </w:r>
          </w:p>
        </w:tc>
        <w:tc>
          <w:tcPr>
            <w:tcW w:w="1728" w:type="dxa"/>
            <w:tcBorders>
              <w:bottom w:val="single" w:sz="4" w:space="0" w:color="000000"/>
            </w:tcBorders>
            <w:shd w:val="clear" w:color="auto" w:fill="D9D9D9"/>
          </w:tcPr>
          <w:p w:rsidR="0098263D" w:rsidRPr="000A3C73" w:rsidRDefault="0098263D" w:rsidP="00185FB6">
            <w:pPr>
              <w:jc w:val="center"/>
              <w:rPr>
                <w:rFonts w:ascii="Calibri" w:hAnsi="Calibri"/>
                <w:sz w:val="22"/>
                <w:highlight w:val="yellow"/>
              </w:rPr>
            </w:pPr>
          </w:p>
        </w:tc>
      </w:tr>
      <w:tr w:rsidR="00AB05EA" w:rsidRPr="000A3C73" w:rsidTr="003276E0">
        <w:tc>
          <w:tcPr>
            <w:tcW w:w="2628" w:type="dxa"/>
          </w:tcPr>
          <w:p w:rsidR="000D4C22" w:rsidRPr="000A3C73" w:rsidRDefault="00895D15" w:rsidP="004E6944">
            <w:pPr>
              <w:rPr>
                <w:rFonts w:ascii="Calibri" w:hAnsi="Calibri"/>
                <w:sz w:val="22"/>
              </w:rPr>
            </w:pPr>
            <w:r w:rsidRPr="000A3C73">
              <w:rPr>
                <w:rFonts w:ascii="Calibri" w:hAnsi="Calibri"/>
                <w:sz w:val="22"/>
              </w:rPr>
              <w:t>2</w:t>
            </w:r>
            <w:r w:rsidR="000D4C22" w:rsidRPr="000A3C73">
              <w:rPr>
                <w:rFonts w:ascii="Calibri" w:hAnsi="Calibri"/>
                <w:sz w:val="22"/>
              </w:rPr>
              <w:t>. Pipeline Entry</w:t>
            </w:r>
          </w:p>
        </w:tc>
        <w:tc>
          <w:tcPr>
            <w:tcW w:w="2070" w:type="dxa"/>
            <w:shd w:val="clear" w:color="auto" w:fill="auto"/>
          </w:tcPr>
          <w:p w:rsidR="000D4C22" w:rsidRPr="000A3C73" w:rsidRDefault="000D4C22" w:rsidP="00185FB6">
            <w:pPr>
              <w:jc w:val="center"/>
              <w:rPr>
                <w:rFonts w:ascii="Calibri" w:hAnsi="Calibri"/>
                <w:sz w:val="22"/>
                <w:highlight w:val="yellow"/>
              </w:rPr>
            </w:pPr>
            <w:r w:rsidRPr="000A3C73">
              <w:rPr>
                <w:rFonts w:ascii="Calibri" w:hAnsi="Calibri"/>
                <w:sz w:val="22"/>
              </w:rPr>
              <w:t>Not Applicable</w:t>
            </w:r>
          </w:p>
        </w:tc>
        <w:tc>
          <w:tcPr>
            <w:tcW w:w="3150" w:type="dxa"/>
          </w:tcPr>
          <w:p w:rsidR="000D4C22" w:rsidRPr="000A3C73" w:rsidRDefault="0098263D" w:rsidP="00185FB6">
            <w:pPr>
              <w:jc w:val="center"/>
              <w:rPr>
                <w:rFonts w:ascii="Calibri" w:hAnsi="Calibri"/>
                <w:sz w:val="22"/>
              </w:rPr>
            </w:pPr>
            <w:r w:rsidRPr="000A3C73">
              <w:rPr>
                <w:rFonts w:ascii="Calibri" w:hAnsi="Calibri"/>
                <w:sz w:val="22"/>
              </w:rPr>
              <w:t>March 5, 2002</w:t>
            </w:r>
          </w:p>
        </w:tc>
        <w:tc>
          <w:tcPr>
            <w:tcW w:w="1728" w:type="dxa"/>
            <w:tcBorders>
              <w:bottom w:val="single" w:sz="4" w:space="0" w:color="000000"/>
            </w:tcBorders>
            <w:shd w:val="clear" w:color="auto" w:fill="auto"/>
          </w:tcPr>
          <w:p w:rsidR="000D4C22" w:rsidRPr="000A3C73" w:rsidRDefault="00144A79" w:rsidP="00185FB6">
            <w:pPr>
              <w:jc w:val="center"/>
              <w:rPr>
                <w:rFonts w:ascii="Calibri" w:hAnsi="Calibri"/>
                <w:sz w:val="22"/>
              </w:rPr>
            </w:pPr>
            <w:r w:rsidRPr="000A3C73">
              <w:rPr>
                <w:rFonts w:ascii="Calibri" w:hAnsi="Calibri"/>
                <w:sz w:val="22"/>
              </w:rPr>
              <w:t>4 (4)</w:t>
            </w:r>
          </w:p>
        </w:tc>
      </w:tr>
      <w:tr w:rsidR="00AB05EA" w:rsidRPr="000A3C73" w:rsidTr="003276E0">
        <w:tc>
          <w:tcPr>
            <w:tcW w:w="2628" w:type="dxa"/>
          </w:tcPr>
          <w:p w:rsidR="00185FB6" w:rsidRPr="000A3C73" w:rsidRDefault="00895D15" w:rsidP="00AD5312">
            <w:pPr>
              <w:rPr>
                <w:rFonts w:ascii="Calibri" w:hAnsi="Calibri"/>
                <w:sz w:val="22"/>
              </w:rPr>
            </w:pPr>
            <w:r w:rsidRPr="000A3C73">
              <w:rPr>
                <w:rFonts w:ascii="Calibri" w:hAnsi="Calibri"/>
                <w:sz w:val="22"/>
              </w:rPr>
              <w:t>3</w:t>
            </w:r>
            <w:r w:rsidR="00185FB6" w:rsidRPr="000A3C73">
              <w:rPr>
                <w:rFonts w:ascii="Calibri" w:hAnsi="Calibri"/>
                <w:sz w:val="22"/>
              </w:rPr>
              <w:t xml:space="preserve">. </w:t>
            </w:r>
            <w:r w:rsidR="0098263D" w:rsidRPr="000A3C73">
              <w:rPr>
                <w:rFonts w:ascii="Calibri" w:hAnsi="Calibri"/>
                <w:sz w:val="22"/>
              </w:rPr>
              <w:t>PDF-B</w:t>
            </w:r>
            <w:r w:rsidR="00876331">
              <w:rPr>
                <w:rFonts w:ascii="Calibri" w:hAnsi="Calibri"/>
                <w:sz w:val="22"/>
              </w:rPr>
              <w:t xml:space="preserve"> </w:t>
            </w:r>
            <w:r w:rsidR="00185FB6" w:rsidRPr="000A3C73">
              <w:rPr>
                <w:rFonts w:ascii="Calibri" w:hAnsi="Calibri"/>
                <w:sz w:val="22"/>
              </w:rPr>
              <w:t>Approval</w:t>
            </w:r>
          </w:p>
        </w:tc>
        <w:tc>
          <w:tcPr>
            <w:tcW w:w="2070" w:type="dxa"/>
            <w:shd w:val="clear" w:color="auto" w:fill="auto"/>
          </w:tcPr>
          <w:p w:rsidR="00185FB6" w:rsidRPr="000A3C73" w:rsidRDefault="00895D15" w:rsidP="00185FB6">
            <w:pPr>
              <w:jc w:val="center"/>
              <w:rPr>
                <w:rFonts w:ascii="Calibri" w:hAnsi="Calibri"/>
                <w:sz w:val="22"/>
                <w:highlight w:val="yellow"/>
              </w:rPr>
            </w:pPr>
            <w:r w:rsidRPr="000A3C73">
              <w:rPr>
                <w:rFonts w:ascii="Calibri" w:hAnsi="Calibri"/>
                <w:sz w:val="22"/>
              </w:rPr>
              <w:t>Not Specified</w:t>
            </w:r>
          </w:p>
        </w:tc>
        <w:tc>
          <w:tcPr>
            <w:tcW w:w="3150" w:type="dxa"/>
          </w:tcPr>
          <w:p w:rsidR="00185FB6" w:rsidRPr="000A3C73" w:rsidRDefault="0098263D" w:rsidP="00185FB6">
            <w:pPr>
              <w:jc w:val="center"/>
              <w:rPr>
                <w:rFonts w:ascii="Calibri" w:hAnsi="Calibri"/>
                <w:sz w:val="22"/>
              </w:rPr>
            </w:pPr>
            <w:r w:rsidRPr="000A3C73">
              <w:rPr>
                <w:rFonts w:ascii="Calibri" w:hAnsi="Calibri"/>
                <w:sz w:val="22"/>
              </w:rPr>
              <w:t>June 5, 2003</w:t>
            </w:r>
          </w:p>
        </w:tc>
        <w:tc>
          <w:tcPr>
            <w:tcW w:w="1728" w:type="dxa"/>
            <w:shd w:val="clear" w:color="auto" w:fill="auto"/>
          </w:tcPr>
          <w:p w:rsidR="00185FB6" w:rsidRPr="000A3C73" w:rsidRDefault="00144A79" w:rsidP="00185FB6">
            <w:pPr>
              <w:jc w:val="center"/>
              <w:rPr>
                <w:rFonts w:ascii="Calibri" w:hAnsi="Calibri"/>
                <w:sz w:val="22"/>
              </w:rPr>
            </w:pPr>
            <w:r w:rsidRPr="000A3C73">
              <w:rPr>
                <w:rFonts w:ascii="Calibri" w:hAnsi="Calibri"/>
                <w:sz w:val="22"/>
              </w:rPr>
              <w:t>15 (19)</w:t>
            </w:r>
          </w:p>
        </w:tc>
      </w:tr>
      <w:tr w:rsidR="00AB05EA" w:rsidRPr="000A3C73" w:rsidTr="003276E0">
        <w:tc>
          <w:tcPr>
            <w:tcW w:w="2628" w:type="dxa"/>
          </w:tcPr>
          <w:p w:rsidR="0098263D" w:rsidRPr="000A3C73" w:rsidRDefault="00895D15" w:rsidP="00821254">
            <w:pPr>
              <w:rPr>
                <w:rFonts w:ascii="Calibri" w:hAnsi="Calibri"/>
                <w:sz w:val="22"/>
              </w:rPr>
            </w:pPr>
            <w:r w:rsidRPr="000A3C73">
              <w:rPr>
                <w:rFonts w:ascii="Calibri" w:hAnsi="Calibri"/>
                <w:sz w:val="22"/>
              </w:rPr>
              <w:t xml:space="preserve">4. </w:t>
            </w:r>
            <w:r w:rsidR="0098263D" w:rsidRPr="000A3C73">
              <w:rPr>
                <w:rFonts w:ascii="Calibri" w:hAnsi="Calibri"/>
                <w:sz w:val="22"/>
              </w:rPr>
              <w:t>Agency PDF-B Approval</w:t>
            </w:r>
          </w:p>
        </w:tc>
        <w:tc>
          <w:tcPr>
            <w:tcW w:w="2070" w:type="dxa"/>
            <w:shd w:val="clear" w:color="auto" w:fill="auto"/>
          </w:tcPr>
          <w:p w:rsidR="0098263D" w:rsidRPr="000A3C73" w:rsidRDefault="00895D15" w:rsidP="00821254">
            <w:pPr>
              <w:jc w:val="center"/>
              <w:rPr>
                <w:rFonts w:ascii="Calibri" w:hAnsi="Calibri"/>
                <w:sz w:val="22"/>
              </w:rPr>
            </w:pPr>
            <w:r w:rsidRPr="000A3C73">
              <w:rPr>
                <w:rFonts w:ascii="Calibri" w:hAnsi="Calibri"/>
                <w:sz w:val="22"/>
              </w:rPr>
              <w:t>Not Specified</w:t>
            </w:r>
          </w:p>
        </w:tc>
        <w:tc>
          <w:tcPr>
            <w:tcW w:w="3150" w:type="dxa"/>
          </w:tcPr>
          <w:p w:rsidR="0098263D" w:rsidRPr="000A3C73" w:rsidRDefault="0098263D" w:rsidP="00821254">
            <w:pPr>
              <w:jc w:val="center"/>
              <w:rPr>
                <w:rFonts w:ascii="Calibri" w:hAnsi="Calibri"/>
                <w:sz w:val="22"/>
              </w:rPr>
            </w:pPr>
            <w:r w:rsidRPr="000A3C73">
              <w:rPr>
                <w:rFonts w:ascii="Calibri" w:hAnsi="Calibri"/>
                <w:sz w:val="22"/>
              </w:rPr>
              <w:t>October 13, 2003</w:t>
            </w:r>
          </w:p>
        </w:tc>
        <w:tc>
          <w:tcPr>
            <w:tcW w:w="1728" w:type="dxa"/>
            <w:shd w:val="clear" w:color="auto" w:fill="auto"/>
          </w:tcPr>
          <w:p w:rsidR="0098263D" w:rsidRPr="000A3C73" w:rsidRDefault="00144A79" w:rsidP="00821254">
            <w:pPr>
              <w:jc w:val="center"/>
              <w:rPr>
                <w:rFonts w:ascii="Calibri" w:hAnsi="Calibri"/>
                <w:sz w:val="22"/>
              </w:rPr>
            </w:pPr>
            <w:r w:rsidRPr="000A3C73">
              <w:rPr>
                <w:rFonts w:ascii="Calibri" w:hAnsi="Calibri"/>
                <w:sz w:val="22"/>
              </w:rPr>
              <w:t>4 (23)</w:t>
            </w:r>
          </w:p>
        </w:tc>
      </w:tr>
      <w:tr w:rsidR="00AB05EA" w:rsidRPr="000A3C73" w:rsidTr="003276E0">
        <w:tc>
          <w:tcPr>
            <w:tcW w:w="2628" w:type="dxa"/>
          </w:tcPr>
          <w:p w:rsidR="00821254" w:rsidRPr="000A3C73" w:rsidRDefault="00895D15" w:rsidP="0098263D">
            <w:pPr>
              <w:rPr>
                <w:rFonts w:ascii="Calibri" w:hAnsi="Calibri"/>
                <w:sz w:val="22"/>
              </w:rPr>
            </w:pPr>
            <w:r w:rsidRPr="000A3C73">
              <w:rPr>
                <w:rFonts w:ascii="Calibri" w:hAnsi="Calibri"/>
                <w:sz w:val="22"/>
              </w:rPr>
              <w:t>5</w:t>
            </w:r>
            <w:r w:rsidR="00821254" w:rsidRPr="000A3C73">
              <w:rPr>
                <w:rFonts w:ascii="Calibri" w:hAnsi="Calibri"/>
                <w:sz w:val="22"/>
              </w:rPr>
              <w:t xml:space="preserve">. </w:t>
            </w:r>
            <w:r w:rsidR="0098263D" w:rsidRPr="000A3C73">
              <w:rPr>
                <w:rFonts w:ascii="Calibri" w:hAnsi="Calibri"/>
                <w:sz w:val="22"/>
              </w:rPr>
              <w:t>Work Program Inclusion</w:t>
            </w:r>
          </w:p>
        </w:tc>
        <w:tc>
          <w:tcPr>
            <w:tcW w:w="2070" w:type="dxa"/>
            <w:shd w:val="clear" w:color="auto" w:fill="auto"/>
          </w:tcPr>
          <w:p w:rsidR="00821254" w:rsidRPr="000A3C73" w:rsidRDefault="0098263D" w:rsidP="00821254">
            <w:pPr>
              <w:jc w:val="center"/>
              <w:rPr>
                <w:rFonts w:ascii="Calibri" w:hAnsi="Calibri"/>
                <w:sz w:val="22"/>
              </w:rPr>
            </w:pPr>
            <w:r w:rsidRPr="000A3C73">
              <w:rPr>
                <w:rFonts w:ascii="Calibri" w:hAnsi="Calibri"/>
                <w:sz w:val="22"/>
              </w:rPr>
              <w:t>July 1, 2005</w:t>
            </w:r>
          </w:p>
        </w:tc>
        <w:tc>
          <w:tcPr>
            <w:tcW w:w="3150" w:type="dxa"/>
          </w:tcPr>
          <w:p w:rsidR="00821254" w:rsidRPr="000A3C73" w:rsidRDefault="0098263D" w:rsidP="00821254">
            <w:pPr>
              <w:jc w:val="center"/>
              <w:rPr>
                <w:rFonts w:ascii="Calibri" w:hAnsi="Calibri"/>
                <w:sz w:val="22"/>
              </w:rPr>
            </w:pPr>
            <w:r w:rsidRPr="000A3C73">
              <w:rPr>
                <w:rFonts w:ascii="Calibri" w:hAnsi="Calibri"/>
                <w:sz w:val="22"/>
              </w:rPr>
              <w:t>September 13, 2005</w:t>
            </w:r>
          </w:p>
        </w:tc>
        <w:tc>
          <w:tcPr>
            <w:tcW w:w="1728" w:type="dxa"/>
            <w:shd w:val="clear" w:color="auto" w:fill="auto"/>
          </w:tcPr>
          <w:p w:rsidR="00821254" w:rsidRPr="000A3C73" w:rsidRDefault="00144A79" w:rsidP="00821254">
            <w:pPr>
              <w:jc w:val="center"/>
              <w:rPr>
                <w:rFonts w:ascii="Calibri" w:hAnsi="Calibri"/>
                <w:sz w:val="22"/>
              </w:rPr>
            </w:pPr>
            <w:r w:rsidRPr="000A3C73">
              <w:rPr>
                <w:rFonts w:ascii="Calibri" w:hAnsi="Calibri"/>
                <w:sz w:val="22"/>
              </w:rPr>
              <w:t>23 (46)</w:t>
            </w:r>
          </w:p>
        </w:tc>
      </w:tr>
      <w:tr w:rsidR="00AB05EA" w:rsidRPr="000A3C73" w:rsidTr="003276E0">
        <w:tc>
          <w:tcPr>
            <w:tcW w:w="2628" w:type="dxa"/>
          </w:tcPr>
          <w:p w:rsidR="00185FB6" w:rsidRPr="000A3C73" w:rsidRDefault="00895D15" w:rsidP="00821254">
            <w:pPr>
              <w:rPr>
                <w:rFonts w:ascii="Calibri" w:hAnsi="Calibri"/>
                <w:sz w:val="22"/>
              </w:rPr>
            </w:pPr>
            <w:r w:rsidRPr="000A3C73">
              <w:rPr>
                <w:rFonts w:ascii="Calibri" w:hAnsi="Calibri"/>
                <w:sz w:val="22"/>
              </w:rPr>
              <w:t>6</w:t>
            </w:r>
            <w:r w:rsidR="00185FB6" w:rsidRPr="000A3C73">
              <w:rPr>
                <w:rFonts w:ascii="Calibri" w:hAnsi="Calibri"/>
                <w:sz w:val="22"/>
              </w:rPr>
              <w:t xml:space="preserve">. </w:t>
            </w:r>
            <w:r w:rsidR="00821254" w:rsidRPr="000A3C73">
              <w:rPr>
                <w:rFonts w:ascii="Calibri" w:hAnsi="Calibri"/>
                <w:sz w:val="22"/>
              </w:rPr>
              <w:t>Council Notification</w:t>
            </w:r>
          </w:p>
        </w:tc>
        <w:tc>
          <w:tcPr>
            <w:tcW w:w="2070" w:type="dxa"/>
            <w:tcBorders>
              <w:bottom w:val="single" w:sz="4" w:space="0" w:color="000000"/>
            </w:tcBorders>
            <w:shd w:val="clear" w:color="auto" w:fill="auto"/>
          </w:tcPr>
          <w:p w:rsidR="00185FB6" w:rsidRPr="000A3C73" w:rsidRDefault="00895D15" w:rsidP="00185FB6">
            <w:pPr>
              <w:jc w:val="center"/>
              <w:rPr>
                <w:rFonts w:ascii="Calibri" w:hAnsi="Calibri"/>
                <w:sz w:val="22"/>
              </w:rPr>
            </w:pPr>
            <w:r w:rsidRPr="000A3C73">
              <w:rPr>
                <w:rFonts w:ascii="Calibri" w:hAnsi="Calibri"/>
                <w:sz w:val="22"/>
              </w:rPr>
              <w:t>Not Specified</w:t>
            </w:r>
          </w:p>
        </w:tc>
        <w:tc>
          <w:tcPr>
            <w:tcW w:w="3150" w:type="dxa"/>
          </w:tcPr>
          <w:p w:rsidR="00185FB6" w:rsidRPr="000A3C73" w:rsidRDefault="0098263D" w:rsidP="00185FB6">
            <w:pPr>
              <w:jc w:val="center"/>
              <w:rPr>
                <w:rFonts w:ascii="Calibri" w:hAnsi="Calibri"/>
                <w:sz w:val="22"/>
              </w:rPr>
            </w:pPr>
            <w:r w:rsidRPr="000A3C73">
              <w:rPr>
                <w:rFonts w:ascii="Calibri" w:hAnsi="Calibri"/>
                <w:sz w:val="22"/>
              </w:rPr>
              <w:t>January 30, 2006</w:t>
            </w:r>
          </w:p>
        </w:tc>
        <w:tc>
          <w:tcPr>
            <w:tcW w:w="1728" w:type="dxa"/>
            <w:shd w:val="clear" w:color="auto" w:fill="auto"/>
          </w:tcPr>
          <w:p w:rsidR="00185FB6" w:rsidRPr="000A3C73" w:rsidRDefault="00144A79" w:rsidP="00185FB6">
            <w:pPr>
              <w:jc w:val="center"/>
              <w:rPr>
                <w:rFonts w:ascii="Calibri" w:hAnsi="Calibri"/>
                <w:sz w:val="22"/>
              </w:rPr>
            </w:pPr>
            <w:r w:rsidRPr="000A3C73">
              <w:rPr>
                <w:rFonts w:ascii="Calibri" w:hAnsi="Calibri"/>
                <w:sz w:val="22"/>
              </w:rPr>
              <w:t>4.5 (50.5)</w:t>
            </w:r>
          </w:p>
        </w:tc>
      </w:tr>
      <w:tr w:rsidR="00AB05EA" w:rsidRPr="000A3C73" w:rsidTr="003276E0">
        <w:tc>
          <w:tcPr>
            <w:tcW w:w="2628" w:type="dxa"/>
          </w:tcPr>
          <w:p w:rsidR="0095622A" w:rsidRPr="000A3C73" w:rsidRDefault="00895D15" w:rsidP="00895D15">
            <w:pPr>
              <w:rPr>
                <w:rFonts w:ascii="Calibri" w:hAnsi="Calibri"/>
                <w:sz w:val="22"/>
              </w:rPr>
            </w:pPr>
            <w:r w:rsidRPr="000A3C73">
              <w:rPr>
                <w:rFonts w:ascii="Calibri" w:hAnsi="Calibri"/>
                <w:sz w:val="22"/>
              </w:rPr>
              <w:t>7</w:t>
            </w:r>
            <w:r w:rsidR="0095622A" w:rsidRPr="000A3C73">
              <w:rPr>
                <w:rFonts w:ascii="Calibri" w:hAnsi="Calibri"/>
                <w:sz w:val="22"/>
              </w:rPr>
              <w:t xml:space="preserve">. CEO </w:t>
            </w:r>
            <w:r w:rsidRPr="000A3C73">
              <w:rPr>
                <w:rFonts w:ascii="Calibri" w:hAnsi="Calibri"/>
                <w:sz w:val="22"/>
              </w:rPr>
              <w:t>Endorsement</w:t>
            </w:r>
          </w:p>
        </w:tc>
        <w:tc>
          <w:tcPr>
            <w:tcW w:w="2070" w:type="dxa"/>
            <w:shd w:val="clear" w:color="auto" w:fill="auto"/>
          </w:tcPr>
          <w:p w:rsidR="0095622A" w:rsidRPr="000A3C73" w:rsidRDefault="00821254" w:rsidP="00185FB6">
            <w:pPr>
              <w:jc w:val="center"/>
              <w:rPr>
                <w:rFonts w:ascii="Calibri" w:hAnsi="Calibri"/>
                <w:sz w:val="22"/>
              </w:rPr>
            </w:pPr>
            <w:r w:rsidRPr="000A3C73">
              <w:rPr>
                <w:rFonts w:ascii="Calibri" w:hAnsi="Calibri"/>
                <w:sz w:val="22"/>
              </w:rPr>
              <w:t>Not Specified</w:t>
            </w:r>
          </w:p>
        </w:tc>
        <w:tc>
          <w:tcPr>
            <w:tcW w:w="3150" w:type="dxa"/>
          </w:tcPr>
          <w:p w:rsidR="0095622A" w:rsidRPr="000A3C73" w:rsidRDefault="0098263D" w:rsidP="00185FB6">
            <w:pPr>
              <w:jc w:val="center"/>
              <w:rPr>
                <w:rFonts w:ascii="Calibri" w:hAnsi="Calibri"/>
                <w:sz w:val="22"/>
              </w:rPr>
            </w:pPr>
            <w:r w:rsidRPr="000A3C73">
              <w:rPr>
                <w:rFonts w:ascii="Calibri" w:hAnsi="Calibri"/>
                <w:sz w:val="22"/>
              </w:rPr>
              <w:t>January 30, 2006</w:t>
            </w:r>
          </w:p>
        </w:tc>
        <w:tc>
          <w:tcPr>
            <w:tcW w:w="1728" w:type="dxa"/>
            <w:shd w:val="clear" w:color="auto" w:fill="auto"/>
          </w:tcPr>
          <w:p w:rsidR="0095622A" w:rsidRPr="000A3C73" w:rsidRDefault="00144A79" w:rsidP="00185FB6">
            <w:pPr>
              <w:jc w:val="center"/>
              <w:rPr>
                <w:rFonts w:ascii="Calibri" w:hAnsi="Calibri"/>
                <w:sz w:val="22"/>
              </w:rPr>
            </w:pPr>
            <w:r w:rsidRPr="000A3C73">
              <w:rPr>
                <w:rFonts w:ascii="Calibri" w:hAnsi="Calibri"/>
                <w:sz w:val="22"/>
              </w:rPr>
              <w:t>0 (50.5)</w:t>
            </w:r>
          </w:p>
        </w:tc>
      </w:tr>
      <w:tr w:rsidR="00AB05EA" w:rsidRPr="000A3C73" w:rsidTr="003276E0">
        <w:tc>
          <w:tcPr>
            <w:tcW w:w="2628" w:type="dxa"/>
          </w:tcPr>
          <w:p w:rsidR="00185FB6" w:rsidRPr="000A3C73" w:rsidRDefault="00895D15" w:rsidP="00185FB6">
            <w:pPr>
              <w:rPr>
                <w:rFonts w:ascii="Calibri" w:hAnsi="Calibri"/>
                <w:sz w:val="22"/>
              </w:rPr>
            </w:pPr>
            <w:r w:rsidRPr="000A3C73">
              <w:rPr>
                <w:rFonts w:ascii="Calibri" w:hAnsi="Calibri"/>
                <w:sz w:val="22"/>
              </w:rPr>
              <w:t>8</w:t>
            </w:r>
            <w:r w:rsidR="00185FB6" w:rsidRPr="000A3C73">
              <w:rPr>
                <w:rFonts w:ascii="Calibri" w:hAnsi="Calibri"/>
                <w:sz w:val="22"/>
              </w:rPr>
              <w:t>. Agency Approval</w:t>
            </w:r>
          </w:p>
        </w:tc>
        <w:tc>
          <w:tcPr>
            <w:tcW w:w="2070" w:type="dxa"/>
          </w:tcPr>
          <w:p w:rsidR="00185FB6" w:rsidRPr="000A3C73" w:rsidRDefault="00821254" w:rsidP="00185FB6">
            <w:pPr>
              <w:jc w:val="center"/>
              <w:rPr>
                <w:rFonts w:ascii="Calibri" w:hAnsi="Calibri"/>
                <w:sz w:val="22"/>
              </w:rPr>
            </w:pPr>
            <w:r w:rsidRPr="000A3C73">
              <w:rPr>
                <w:rFonts w:ascii="Calibri" w:hAnsi="Calibri"/>
                <w:sz w:val="22"/>
              </w:rPr>
              <w:t>Not Specified</w:t>
            </w:r>
          </w:p>
        </w:tc>
        <w:tc>
          <w:tcPr>
            <w:tcW w:w="3150" w:type="dxa"/>
          </w:tcPr>
          <w:p w:rsidR="00102091" w:rsidRPr="000A3C73" w:rsidRDefault="00102091" w:rsidP="006E63EB">
            <w:pPr>
              <w:jc w:val="center"/>
              <w:rPr>
                <w:rFonts w:ascii="Calibri" w:hAnsi="Calibri"/>
                <w:sz w:val="22"/>
              </w:rPr>
            </w:pPr>
            <w:r w:rsidRPr="000A3C73">
              <w:rPr>
                <w:rFonts w:ascii="Calibri" w:hAnsi="Calibri"/>
                <w:sz w:val="22"/>
              </w:rPr>
              <w:t>April 17, 2006 (MK)</w:t>
            </w:r>
          </w:p>
          <w:p w:rsidR="00185FB6" w:rsidRPr="000A3C73" w:rsidRDefault="006E63EB" w:rsidP="006E63EB">
            <w:pPr>
              <w:jc w:val="center"/>
              <w:rPr>
                <w:rFonts w:ascii="Calibri" w:hAnsi="Calibri"/>
                <w:sz w:val="22"/>
              </w:rPr>
            </w:pPr>
            <w:r w:rsidRPr="000A3C73">
              <w:rPr>
                <w:rFonts w:ascii="Calibri" w:hAnsi="Calibri"/>
                <w:sz w:val="22"/>
              </w:rPr>
              <w:t>September 25</w:t>
            </w:r>
            <w:r w:rsidR="0098263D" w:rsidRPr="000A3C73">
              <w:rPr>
                <w:rFonts w:ascii="Calibri" w:hAnsi="Calibri"/>
                <w:sz w:val="22"/>
              </w:rPr>
              <w:t>, 2006</w:t>
            </w:r>
            <w:r w:rsidRPr="000A3C73">
              <w:rPr>
                <w:rFonts w:ascii="Calibri" w:hAnsi="Calibri"/>
                <w:sz w:val="22"/>
              </w:rPr>
              <w:t xml:space="preserve"> (AL)</w:t>
            </w:r>
          </w:p>
          <w:p w:rsidR="00102091" w:rsidRPr="00FC657B" w:rsidRDefault="006A60BA" w:rsidP="00102091">
            <w:pPr>
              <w:jc w:val="center"/>
              <w:rPr>
                <w:rFonts w:ascii="Calibri" w:hAnsi="Calibri"/>
                <w:sz w:val="22"/>
              </w:rPr>
            </w:pPr>
            <w:r w:rsidRPr="00FC657B">
              <w:rPr>
                <w:rFonts w:ascii="Calibri" w:hAnsi="Calibri"/>
                <w:sz w:val="22"/>
              </w:rPr>
              <w:t xml:space="preserve">April </w:t>
            </w:r>
            <w:r w:rsidR="00F92C45">
              <w:rPr>
                <w:rFonts w:ascii="Calibri" w:hAnsi="Calibri"/>
                <w:sz w:val="22"/>
              </w:rPr>
              <w:t xml:space="preserve">17, </w:t>
            </w:r>
            <w:r w:rsidRPr="00FC657B">
              <w:rPr>
                <w:rFonts w:ascii="Calibri" w:hAnsi="Calibri"/>
                <w:sz w:val="22"/>
              </w:rPr>
              <w:t>2006</w:t>
            </w:r>
          </w:p>
        </w:tc>
        <w:tc>
          <w:tcPr>
            <w:tcW w:w="1728" w:type="dxa"/>
            <w:shd w:val="clear" w:color="auto" w:fill="auto"/>
          </w:tcPr>
          <w:p w:rsidR="00B663D8" w:rsidRPr="00D77DF1" w:rsidRDefault="00B663D8" w:rsidP="00185FB6">
            <w:pPr>
              <w:jc w:val="center"/>
              <w:rPr>
                <w:rFonts w:ascii="Calibri" w:hAnsi="Calibri"/>
                <w:sz w:val="22"/>
              </w:rPr>
            </w:pPr>
            <w:r w:rsidRPr="00D77DF1">
              <w:rPr>
                <w:rFonts w:ascii="Calibri" w:hAnsi="Calibri"/>
                <w:sz w:val="22"/>
              </w:rPr>
              <w:t>MK – 2.5 (52.5)</w:t>
            </w:r>
          </w:p>
          <w:p w:rsidR="00185FB6" w:rsidRPr="00CD42DE" w:rsidRDefault="00144A79" w:rsidP="00185FB6">
            <w:pPr>
              <w:jc w:val="center"/>
              <w:rPr>
                <w:rFonts w:ascii="Calibri" w:hAnsi="Calibri"/>
                <w:sz w:val="22"/>
              </w:rPr>
            </w:pPr>
            <w:r w:rsidRPr="00CD42DE">
              <w:rPr>
                <w:rFonts w:ascii="Calibri" w:hAnsi="Calibri"/>
                <w:sz w:val="22"/>
              </w:rPr>
              <w:t>AL – 8 (58.5)</w:t>
            </w:r>
          </w:p>
          <w:p w:rsidR="00102091" w:rsidRPr="00FC657B" w:rsidRDefault="00102091" w:rsidP="00185FB6">
            <w:pPr>
              <w:jc w:val="center"/>
              <w:rPr>
                <w:rFonts w:ascii="Calibri" w:hAnsi="Calibri"/>
                <w:sz w:val="22"/>
              </w:rPr>
            </w:pPr>
            <w:r w:rsidRPr="00F92C45">
              <w:rPr>
                <w:rFonts w:ascii="Calibri" w:hAnsi="Calibri"/>
                <w:sz w:val="22"/>
              </w:rPr>
              <w:t xml:space="preserve">TR – </w:t>
            </w:r>
            <w:r w:rsidR="00F92C45" w:rsidRPr="0089284E">
              <w:rPr>
                <w:rFonts w:ascii="Calibri" w:hAnsi="Calibri"/>
                <w:sz w:val="22"/>
              </w:rPr>
              <w:t>2.5 (52.5)</w:t>
            </w:r>
          </w:p>
        </w:tc>
      </w:tr>
      <w:tr w:rsidR="00AB05EA" w:rsidRPr="000A3C73" w:rsidTr="003276E0">
        <w:tc>
          <w:tcPr>
            <w:tcW w:w="2628" w:type="dxa"/>
          </w:tcPr>
          <w:p w:rsidR="00185FB6" w:rsidRPr="000A3C73" w:rsidRDefault="00895D15" w:rsidP="00185FB6">
            <w:pPr>
              <w:rPr>
                <w:rFonts w:ascii="Calibri" w:hAnsi="Calibri"/>
                <w:sz w:val="22"/>
              </w:rPr>
            </w:pPr>
            <w:r w:rsidRPr="000A3C73">
              <w:rPr>
                <w:rFonts w:ascii="Calibri" w:hAnsi="Calibri"/>
                <w:sz w:val="22"/>
              </w:rPr>
              <w:t>9</w:t>
            </w:r>
            <w:r w:rsidR="00185FB6" w:rsidRPr="000A3C73">
              <w:rPr>
                <w:rFonts w:ascii="Calibri" w:hAnsi="Calibri"/>
                <w:sz w:val="22"/>
              </w:rPr>
              <w:t>. Implementation Start (first disbursement)</w:t>
            </w:r>
          </w:p>
        </w:tc>
        <w:tc>
          <w:tcPr>
            <w:tcW w:w="2070" w:type="dxa"/>
          </w:tcPr>
          <w:p w:rsidR="00185FB6" w:rsidRPr="000A3C73" w:rsidRDefault="00821254" w:rsidP="00185FB6">
            <w:pPr>
              <w:jc w:val="center"/>
              <w:rPr>
                <w:rFonts w:ascii="Calibri" w:hAnsi="Calibri"/>
                <w:sz w:val="22"/>
              </w:rPr>
            </w:pPr>
            <w:r w:rsidRPr="000A3C73">
              <w:rPr>
                <w:rFonts w:ascii="Calibri" w:hAnsi="Calibri"/>
                <w:sz w:val="22"/>
              </w:rPr>
              <w:t>Not Specified</w:t>
            </w:r>
          </w:p>
        </w:tc>
        <w:tc>
          <w:tcPr>
            <w:tcW w:w="3150" w:type="dxa"/>
          </w:tcPr>
          <w:p w:rsidR="00540274" w:rsidRPr="000A3C73" w:rsidRDefault="00540274" w:rsidP="00185FB6">
            <w:pPr>
              <w:jc w:val="center"/>
              <w:rPr>
                <w:rFonts w:ascii="Calibri" w:hAnsi="Calibri"/>
                <w:sz w:val="22"/>
              </w:rPr>
            </w:pPr>
            <w:r w:rsidRPr="000A3C73">
              <w:rPr>
                <w:rFonts w:ascii="Calibri" w:hAnsi="Calibri"/>
                <w:sz w:val="22"/>
              </w:rPr>
              <w:t>June 15, 2006 (MK)</w:t>
            </w:r>
          </w:p>
          <w:p w:rsidR="00185FB6" w:rsidRPr="000A3C73" w:rsidRDefault="006E63EB" w:rsidP="00185FB6">
            <w:pPr>
              <w:jc w:val="center"/>
              <w:rPr>
                <w:rFonts w:ascii="Calibri" w:hAnsi="Calibri"/>
                <w:sz w:val="22"/>
              </w:rPr>
            </w:pPr>
            <w:r w:rsidRPr="000A3C73">
              <w:rPr>
                <w:rFonts w:ascii="Calibri" w:hAnsi="Calibri"/>
                <w:sz w:val="22"/>
              </w:rPr>
              <w:t>November 16, 2006</w:t>
            </w:r>
            <w:r w:rsidR="00540274" w:rsidRPr="000A3C73">
              <w:rPr>
                <w:rFonts w:ascii="Calibri" w:hAnsi="Calibri"/>
                <w:sz w:val="22"/>
              </w:rPr>
              <w:t xml:space="preserve"> (</w:t>
            </w:r>
            <w:r w:rsidR="00102091" w:rsidRPr="000A3C73">
              <w:rPr>
                <w:rFonts w:ascii="Calibri" w:hAnsi="Calibri"/>
                <w:sz w:val="22"/>
              </w:rPr>
              <w:t>TR</w:t>
            </w:r>
            <w:r w:rsidR="00540274" w:rsidRPr="000A3C73">
              <w:rPr>
                <w:rFonts w:ascii="Calibri" w:hAnsi="Calibri"/>
                <w:sz w:val="22"/>
              </w:rPr>
              <w:t>)</w:t>
            </w:r>
          </w:p>
          <w:p w:rsidR="00540274" w:rsidRPr="000A3C73" w:rsidRDefault="00540274" w:rsidP="00185FB6">
            <w:pPr>
              <w:jc w:val="center"/>
              <w:rPr>
                <w:rFonts w:ascii="Calibri" w:hAnsi="Calibri"/>
                <w:sz w:val="22"/>
              </w:rPr>
            </w:pPr>
            <w:r w:rsidRPr="000A3C73">
              <w:rPr>
                <w:rFonts w:ascii="Calibri" w:hAnsi="Calibri"/>
                <w:sz w:val="22"/>
              </w:rPr>
              <w:t>November 22, 2006 (AL)</w:t>
            </w:r>
          </w:p>
        </w:tc>
        <w:tc>
          <w:tcPr>
            <w:tcW w:w="1728" w:type="dxa"/>
            <w:shd w:val="clear" w:color="auto" w:fill="auto"/>
          </w:tcPr>
          <w:p w:rsidR="00B663D8" w:rsidRPr="000A3C73" w:rsidRDefault="00B663D8" w:rsidP="00185FB6">
            <w:pPr>
              <w:jc w:val="center"/>
              <w:rPr>
                <w:rFonts w:ascii="Calibri" w:hAnsi="Calibri"/>
                <w:sz w:val="22"/>
              </w:rPr>
            </w:pPr>
            <w:r w:rsidRPr="000A3C73">
              <w:rPr>
                <w:rFonts w:ascii="Calibri" w:hAnsi="Calibri"/>
                <w:sz w:val="22"/>
              </w:rPr>
              <w:t>MK – 2 (54.5)</w:t>
            </w:r>
          </w:p>
          <w:p w:rsidR="00185FB6" w:rsidRPr="000A3C73" w:rsidRDefault="00144A79" w:rsidP="00185FB6">
            <w:pPr>
              <w:jc w:val="center"/>
              <w:rPr>
                <w:rFonts w:ascii="Calibri" w:hAnsi="Calibri"/>
                <w:sz w:val="22"/>
              </w:rPr>
            </w:pPr>
            <w:r w:rsidRPr="000A3C73">
              <w:rPr>
                <w:rFonts w:ascii="Calibri" w:hAnsi="Calibri"/>
                <w:sz w:val="22"/>
              </w:rPr>
              <w:t>AL – 2 (60.5)</w:t>
            </w:r>
          </w:p>
          <w:p w:rsidR="00102091" w:rsidRPr="000A3C73" w:rsidRDefault="00102091" w:rsidP="00185FB6">
            <w:pPr>
              <w:jc w:val="center"/>
              <w:rPr>
                <w:rFonts w:ascii="Calibri" w:hAnsi="Calibri"/>
                <w:sz w:val="22"/>
              </w:rPr>
            </w:pPr>
            <w:r w:rsidRPr="000A3C73">
              <w:rPr>
                <w:rFonts w:ascii="Calibri" w:hAnsi="Calibri"/>
                <w:sz w:val="22"/>
              </w:rPr>
              <w:t>TR – 10 (6</w:t>
            </w:r>
            <w:r w:rsidR="00F92C45">
              <w:rPr>
                <w:rFonts w:ascii="Calibri" w:hAnsi="Calibri"/>
                <w:sz w:val="22"/>
              </w:rPr>
              <w:t>2</w:t>
            </w:r>
            <w:r w:rsidRPr="000A3C73">
              <w:rPr>
                <w:rFonts w:ascii="Calibri" w:hAnsi="Calibri"/>
                <w:sz w:val="22"/>
              </w:rPr>
              <w:t>.5)</w:t>
            </w:r>
          </w:p>
        </w:tc>
      </w:tr>
      <w:tr w:rsidR="00AB05EA" w:rsidRPr="000A3C73" w:rsidTr="003276E0">
        <w:tc>
          <w:tcPr>
            <w:tcW w:w="2628" w:type="dxa"/>
          </w:tcPr>
          <w:p w:rsidR="00185FB6" w:rsidRPr="000A3C73" w:rsidRDefault="00895D15" w:rsidP="00185FB6">
            <w:pPr>
              <w:rPr>
                <w:rFonts w:ascii="Calibri" w:hAnsi="Calibri"/>
                <w:sz w:val="22"/>
              </w:rPr>
            </w:pPr>
            <w:r w:rsidRPr="000A3C73">
              <w:rPr>
                <w:rFonts w:ascii="Calibri" w:hAnsi="Calibri"/>
                <w:sz w:val="22"/>
              </w:rPr>
              <w:t>10</w:t>
            </w:r>
            <w:r w:rsidR="00185FB6" w:rsidRPr="000A3C73">
              <w:rPr>
                <w:rFonts w:ascii="Calibri" w:hAnsi="Calibri"/>
                <w:sz w:val="22"/>
              </w:rPr>
              <w:t>. Mid-term Evaluation</w:t>
            </w:r>
          </w:p>
        </w:tc>
        <w:tc>
          <w:tcPr>
            <w:tcW w:w="2070" w:type="dxa"/>
          </w:tcPr>
          <w:p w:rsidR="00185FB6" w:rsidRPr="000A3C73" w:rsidRDefault="006E63EB" w:rsidP="000D4C22">
            <w:pPr>
              <w:jc w:val="center"/>
              <w:rPr>
                <w:rFonts w:ascii="Calibri" w:hAnsi="Calibri"/>
                <w:sz w:val="22"/>
              </w:rPr>
            </w:pPr>
            <w:r w:rsidRPr="000A3C73">
              <w:rPr>
                <w:rFonts w:ascii="Calibri" w:hAnsi="Calibri"/>
                <w:sz w:val="22"/>
              </w:rPr>
              <w:t>March 2009</w:t>
            </w:r>
          </w:p>
        </w:tc>
        <w:tc>
          <w:tcPr>
            <w:tcW w:w="3150" w:type="dxa"/>
          </w:tcPr>
          <w:p w:rsidR="00185FB6" w:rsidRPr="000A3C73" w:rsidRDefault="006E63EB" w:rsidP="00F92C45">
            <w:pPr>
              <w:jc w:val="center"/>
              <w:rPr>
                <w:rFonts w:ascii="Calibri" w:hAnsi="Calibri"/>
                <w:sz w:val="22"/>
              </w:rPr>
            </w:pPr>
            <w:r w:rsidRPr="000A3C73">
              <w:rPr>
                <w:rFonts w:ascii="Calibri" w:hAnsi="Calibri"/>
                <w:sz w:val="22"/>
              </w:rPr>
              <w:t>May 2009</w:t>
            </w:r>
            <w:r w:rsidR="00102091" w:rsidRPr="000A3C73">
              <w:rPr>
                <w:rFonts w:ascii="Calibri" w:hAnsi="Calibri"/>
                <w:sz w:val="22"/>
              </w:rPr>
              <w:t xml:space="preserve"> (</w:t>
            </w:r>
            <w:r w:rsidR="00F92C45">
              <w:rPr>
                <w:rFonts w:ascii="Calibri" w:hAnsi="Calibri"/>
                <w:sz w:val="22"/>
              </w:rPr>
              <w:t>all</w:t>
            </w:r>
            <w:r w:rsidR="00102091" w:rsidRPr="000A3C73">
              <w:rPr>
                <w:rFonts w:ascii="Calibri" w:hAnsi="Calibri"/>
                <w:sz w:val="22"/>
              </w:rPr>
              <w:t>)</w:t>
            </w:r>
          </w:p>
        </w:tc>
        <w:tc>
          <w:tcPr>
            <w:tcW w:w="1728" w:type="dxa"/>
            <w:tcBorders>
              <w:bottom w:val="single" w:sz="4" w:space="0" w:color="000000"/>
            </w:tcBorders>
            <w:shd w:val="clear" w:color="auto" w:fill="auto"/>
          </w:tcPr>
          <w:p w:rsidR="00B663D8" w:rsidRPr="000A3C73" w:rsidRDefault="00EB4700" w:rsidP="00EB4700">
            <w:pPr>
              <w:jc w:val="center"/>
              <w:rPr>
                <w:rFonts w:ascii="Calibri" w:hAnsi="Calibri"/>
                <w:sz w:val="22"/>
              </w:rPr>
            </w:pPr>
            <w:r w:rsidRPr="000A3C73">
              <w:rPr>
                <w:rFonts w:ascii="Calibri" w:hAnsi="Calibri"/>
                <w:sz w:val="22"/>
              </w:rPr>
              <w:t>MK – 35.5 (90)</w:t>
            </w:r>
          </w:p>
          <w:p w:rsidR="00185FB6" w:rsidRPr="000A3C73" w:rsidRDefault="00EB4700" w:rsidP="00EB4700">
            <w:pPr>
              <w:jc w:val="center"/>
              <w:rPr>
                <w:rFonts w:ascii="Calibri" w:hAnsi="Calibri"/>
                <w:sz w:val="22"/>
              </w:rPr>
            </w:pPr>
            <w:r w:rsidRPr="000A3C73">
              <w:rPr>
                <w:rFonts w:ascii="Calibri" w:hAnsi="Calibri"/>
                <w:sz w:val="22"/>
              </w:rPr>
              <w:t>AL – 29.5 (90)</w:t>
            </w:r>
          </w:p>
          <w:p w:rsidR="00102091" w:rsidRPr="000A3C73" w:rsidRDefault="00102091" w:rsidP="00EB4700">
            <w:pPr>
              <w:jc w:val="center"/>
              <w:rPr>
                <w:rFonts w:ascii="Calibri" w:hAnsi="Calibri"/>
                <w:sz w:val="22"/>
              </w:rPr>
            </w:pPr>
            <w:r w:rsidRPr="000A3C73">
              <w:rPr>
                <w:rFonts w:ascii="Calibri" w:hAnsi="Calibri"/>
                <w:sz w:val="22"/>
              </w:rPr>
              <w:t xml:space="preserve">TR </w:t>
            </w:r>
            <w:r w:rsidR="00B663D8" w:rsidRPr="000A3C73">
              <w:rPr>
                <w:rFonts w:ascii="Calibri" w:hAnsi="Calibri"/>
                <w:sz w:val="22"/>
              </w:rPr>
              <w:t>–2</w:t>
            </w:r>
            <w:r w:rsidR="00F92C45">
              <w:rPr>
                <w:rFonts w:ascii="Calibri" w:hAnsi="Calibri"/>
                <w:sz w:val="22"/>
              </w:rPr>
              <w:t>7</w:t>
            </w:r>
            <w:r w:rsidR="00B663D8" w:rsidRPr="000A3C73">
              <w:rPr>
                <w:rFonts w:ascii="Calibri" w:hAnsi="Calibri"/>
                <w:sz w:val="22"/>
              </w:rPr>
              <w:t>.5 (90)</w:t>
            </w:r>
          </w:p>
        </w:tc>
      </w:tr>
      <w:tr w:rsidR="00AB05EA" w:rsidRPr="000A3C73" w:rsidTr="003276E0">
        <w:tc>
          <w:tcPr>
            <w:tcW w:w="2628" w:type="dxa"/>
          </w:tcPr>
          <w:p w:rsidR="00185FB6" w:rsidRPr="000A3C73" w:rsidRDefault="00895D15" w:rsidP="00185FB6">
            <w:pPr>
              <w:rPr>
                <w:rFonts w:ascii="Calibri" w:hAnsi="Calibri"/>
                <w:sz w:val="22"/>
              </w:rPr>
            </w:pPr>
            <w:r w:rsidRPr="000A3C73">
              <w:rPr>
                <w:rFonts w:ascii="Calibri" w:hAnsi="Calibri"/>
                <w:sz w:val="22"/>
              </w:rPr>
              <w:t>11</w:t>
            </w:r>
            <w:r w:rsidR="00185FB6" w:rsidRPr="000A3C73">
              <w:rPr>
                <w:rFonts w:ascii="Calibri" w:hAnsi="Calibri"/>
                <w:sz w:val="22"/>
              </w:rPr>
              <w:t>. Project Operational Completion</w:t>
            </w:r>
          </w:p>
        </w:tc>
        <w:tc>
          <w:tcPr>
            <w:tcW w:w="2070" w:type="dxa"/>
          </w:tcPr>
          <w:p w:rsidR="00185FB6" w:rsidRPr="000A3C73" w:rsidRDefault="006E63EB" w:rsidP="00185FB6">
            <w:pPr>
              <w:jc w:val="center"/>
              <w:rPr>
                <w:rFonts w:ascii="Calibri" w:hAnsi="Calibri"/>
                <w:sz w:val="22"/>
              </w:rPr>
            </w:pPr>
            <w:r w:rsidRPr="000A3C73">
              <w:rPr>
                <w:rFonts w:ascii="Calibri" w:hAnsi="Calibri"/>
                <w:sz w:val="22"/>
              </w:rPr>
              <w:t>December 31, 2011</w:t>
            </w:r>
          </w:p>
        </w:tc>
        <w:tc>
          <w:tcPr>
            <w:tcW w:w="3150" w:type="dxa"/>
          </w:tcPr>
          <w:p w:rsidR="00185FB6" w:rsidRPr="000A3C73" w:rsidRDefault="00895D15" w:rsidP="00102091">
            <w:pPr>
              <w:jc w:val="center"/>
              <w:rPr>
                <w:rFonts w:ascii="Calibri" w:hAnsi="Calibri"/>
                <w:sz w:val="22"/>
              </w:rPr>
            </w:pPr>
            <w:r w:rsidRPr="000A3C73">
              <w:rPr>
                <w:rFonts w:ascii="Calibri" w:hAnsi="Calibri"/>
                <w:sz w:val="22"/>
              </w:rPr>
              <w:t>June 30, 2012 (</w:t>
            </w:r>
            <w:r w:rsidR="00102091" w:rsidRPr="000A3C73">
              <w:rPr>
                <w:rFonts w:ascii="Calibri" w:hAnsi="Calibri"/>
                <w:sz w:val="22"/>
              </w:rPr>
              <w:t>TR</w:t>
            </w:r>
            <w:r w:rsidRPr="000A3C73">
              <w:rPr>
                <w:rFonts w:ascii="Calibri" w:hAnsi="Calibri"/>
                <w:sz w:val="22"/>
              </w:rPr>
              <w:t xml:space="preserve"> and MK)</w:t>
            </w:r>
            <w:r w:rsidR="00EB4700" w:rsidRPr="000A3C73">
              <w:rPr>
                <w:rFonts w:ascii="Calibri" w:hAnsi="Calibri"/>
                <w:sz w:val="22"/>
              </w:rPr>
              <w:t>; March 31, 2012 (AL)</w:t>
            </w:r>
          </w:p>
        </w:tc>
        <w:tc>
          <w:tcPr>
            <w:tcW w:w="1728" w:type="dxa"/>
            <w:shd w:val="clear" w:color="auto" w:fill="auto"/>
          </w:tcPr>
          <w:p w:rsidR="00B663D8" w:rsidRPr="000A3C73" w:rsidRDefault="00B663D8" w:rsidP="00185FB6">
            <w:pPr>
              <w:jc w:val="center"/>
              <w:rPr>
                <w:rFonts w:ascii="Calibri" w:hAnsi="Calibri"/>
                <w:sz w:val="22"/>
              </w:rPr>
            </w:pPr>
            <w:r w:rsidRPr="000A3C73">
              <w:rPr>
                <w:rFonts w:ascii="Calibri" w:hAnsi="Calibri"/>
                <w:sz w:val="22"/>
              </w:rPr>
              <w:t>MK – 25 (115)</w:t>
            </w:r>
          </w:p>
          <w:p w:rsidR="00185FB6" w:rsidRPr="000A3C73" w:rsidRDefault="00EB4700" w:rsidP="00185FB6">
            <w:pPr>
              <w:jc w:val="center"/>
              <w:rPr>
                <w:rFonts w:ascii="Calibri" w:hAnsi="Calibri"/>
                <w:sz w:val="22"/>
              </w:rPr>
            </w:pPr>
            <w:r w:rsidRPr="000A3C73">
              <w:rPr>
                <w:rFonts w:ascii="Calibri" w:hAnsi="Calibri"/>
                <w:sz w:val="22"/>
              </w:rPr>
              <w:t>AL – 22 (112)</w:t>
            </w:r>
          </w:p>
          <w:p w:rsidR="00B663D8" w:rsidRPr="000A3C73" w:rsidRDefault="00B663D8" w:rsidP="00185FB6">
            <w:pPr>
              <w:jc w:val="center"/>
              <w:rPr>
                <w:rFonts w:ascii="Calibri" w:hAnsi="Calibri"/>
                <w:sz w:val="22"/>
              </w:rPr>
            </w:pPr>
            <w:r w:rsidRPr="000A3C73">
              <w:rPr>
                <w:rFonts w:ascii="Calibri" w:hAnsi="Calibri"/>
                <w:sz w:val="22"/>
              </w:rPr>
              <w:t>TR – 25 (115)</w:t>
            </w:r>
          </w:p>
        </w:tc>
      </w:tr>
      <w:tr w:rsidR="00AB05EA" w:rsidRPr="000A3C73" w:rsidTr="003276E0">
        <w:tc>
          <w:tcPr>
            <w:tcW w:w="2628" w:type="dxa"/>
          </w:tcPr>
          <w:p w:rsidR="00185FB6" w:rsidRPr="000A3C73" w:rsidRDefault="00895D15" w:rsidP="00E62019">
            <w:pPr>
              <w:rPr>
                <w:rFonts w:ascii="Calibri" w:hAnsi="Calibri"/>
                <w:sz w:val="22"/>
              </w:rPr>
            </w:pPr>
            <w:r w:rsidRPr="000A3C73">
              <w:rPr>
                <w:rFonts w:ascii="Calibri" w:hAnsi="Calibri"/>
                <w:sz w:val="22"/>
              </w:rPr>
              <w:t>12</w:t>
            </w:r>
            <w:r w:rsidR="00185FB6" w:rsidRPr="000A3C73">
              <w:rPr>
                <w:rFonts w:ascii="Calibri" w:hAnsi="Calibri"/>
                <w:sz w:val="22"/>
              </w:rPr>
              <w:t>. Terminal Evaluation</w:t>
            </w:r>
          </w:p>
        </w:tc>
        <w:tc>
          <w:tcPr>
            <w:tcW w:w="2070" w:type="dxa"/>
          </w:tcPr>
          <w:p w:rsidR="00185FB6" w:rsidRPr="000A3C73" w:rsidRDefault="00AB05EA" w:rsidP="00185FB6">
            <w:pPr>
              <w:jc w:val="center"/>
              <w:rPr>
                <w:rFonts w:ascii="Calibri" w:hAnsi="Calibri"/>
                <w:sz w:val="22"/>
              </w:rPr>
            </w:pPr>
            <w:r w:rsidRPr="000A3C73">
              <w:rPr>
                <w:rFonts w:ascii="Calibri" w:hAnsi="Calibri"/>
                <w:sz w:val="22"/>
              </w:rPr>
              <w:t>October 2011</w:t>
            </w:r>
          </w:p>
        </w:tc>
        <w:tc>
          <w:tcPr>
            <w:tcW w:w="3150" w:type="dxa"/>
          </w:tcPr>
          <w:p w:rsidR="00185FB6" w:rsidRPr="000A3C73" w:rsidRDefault="00895D15" w:rsidP="00185FB6">
            <w:pPr>
              <w:jc w:val="center"/>
              <w:rPr>
                <w:rFonts w:ascii="Calibri" w:hAnsi="Calibri"/>
                <w:sz w:val="22"/>
              </w:rPr>
            </w:pPr>
            <w:r w:rsidRPr="000A3C73">
              <w:rPr>
                <w:rFonts w:ascii="Calibri" w:hAnsi="Calibri"/>
                <w:sz w:val="22"/>
              </w:rPr>
              <w:t>June 2012</w:t>
            </w:r>
          </w:p>
        </w:tc>
        <w:tc>
          <w:tcPr>
            <w:tcW w:w="1728" w:type="dxa"/>
            <w:shd w:val="clear" w:color="auto" w:fill="auto"/>
          </w:tcPr>
          <w:p w:rsidR="00B663D8" w:rsidRPr="000A3C73" w:rsidRDefault="00EB4700" w:rsidP="00B663D8">
            <w:pPr>
              <w:jc w:val="center"/>
              <w:rPr>
                <w:rFonts w:ascii="Calibri" w:hAnsi="Calibri"/>
                <w:sz w:val="22"/>
              </w:rPr>
            </w:pPr>
            <w:r w:rsidRPr="000A3C73">
              <w:rPr>
                <w:rFonts w:ascii="Calibri" w:hAnsi="Calibri"/>
                <w:sz w:val="22"/>
              </w:rPr>
              <w:t>MK – 0 (115)</w:t>
            </w:r>
          </w:p>
          <w:p w:rsidR="00185FB6" w:rsidRPr="000A3C73" w:rsidRDefault="00EB4700" w:rsidP="00185FB6">
            <w:pPr>
              <w:jc w:val="center"/>
              <w:rPr>
                <w:rFonts w:ascii="Calibri" w:hAnsi="Calibri"/>
                <w:sz w:val="22"/>
              </w:rPr>
            </w:pPr>
            <w:r w:rsidRPr="000A3C73">
              <w:rPr>
                <w:rFonts w:ascii="Calibri" w:hAnsi="Calibri"/>
                <w:sz w:val="22"/>
              </w:rPr>
              <w:t>AL – (-3) (115)</w:t>
            </w:r>
          </w:p>
          <w:p w:rsidR="00B663D8" w:rsidRPr="000A3C73" w:rsidRDefault="00B663D8" w:rsidP="00185FB6">
            <w:pPr>
              <w:jc w:val="center"/>
              <w:rPr>
                <w:rFonts w:ascii="Calibri" w:hAnsi="Calibri"/>
                <w:sz w:val="22"/>
              </w:rPr>
            </w:pPr>
            <w:r w:rsidRPr="000A3C73">
              <w:rPr>
                <w:rFonts w:ascii="Calibri" w:hAnsi="Calibri"/>
                <w:sz w:val="22"/>
              </w:rPr>
              <w:t>TR –</w:t>
            </w:r>
            <w:r w:rsidR="009A6171" w:rsidRPr="000A3C73">
              <w:rPr>
                <w:rFonts w:ascii="Calibri" w:hAnsi="Calibri"/>
                <w:sz w:val="22"/>
              </w:rPr>
              <w:t xml:space="preserve"> 0 (115)</w:t>
            </w:r>
          </w:p>
        </w:tc>
      </w:tr>
      <w:tr w:rsidR="00AB05EA" w:rsidRPr="000A3C73" w:rsidTr="003276E0">
        <w:tc>
          <w:tcPr>
            <w:tcW w:w="2628" w:type="dxa"/>
          </w:tcPr>
          <w:p w:rsidR="00185FB6" w:rsidRPr="000A3C73" w:rsidRDefault="00895D15" w:rsidP="00185FB6">
            <w:pPr>
              <w:rPr>
                <w:rFonts w:ascii="Calibri" w:hAnsi="Calibri"/>
                <w:sz w:val="22"/>
              </w:rPr>
            </w:pPr>
            <w:r w:rsidRPr="000A3C73">
              <w:rPr>
                <w:rFonts w:ascii="Calibri" w:hAnsi="Calibri"/>
                <w:sz w:val="22"/>
              </w:rPr>
              <w:t>13</w:t>
            </w:r>
            <w:r w:rsidR="00185FB6" w:rsidRPr="000A3C73">
              <w:rPr>
                <w:rFonts w:ascii="Calibri" w:hAnsi="Calibri"/>
                <w:sz w:val="22"/>
              </w:rPr>
              <w:t>. Project Financial Closing</w:t>
            </w:r>
          </w:p>
        </w:tc>
        <w:tc>
          <w:tcPr>
            <w:tcW w:w="2070" w:type="dxa"/>
          </w:tcPr>
          <w:p w:rsidR="00185FB6" w:rsidRPr="000A3C73" w:rsidRDefault="00AB05EA" w:rsidP="00AB7580">
            <w:pPr>
              <w:jc w:val="center"/>
              <w:rPr>
                <w:rFonts w:ascii="Calibri" w:hAnsi="Calibri"/>
                <w:sz w:val="22"/>
              </w:rPr>
            </w:pPr>
            <w:r w:rsidRPr="000A3C73">
              <w:rPr>
                <w:rFonts w:ascii="Calibri" w:hAnsi="Calibri"/>
                <w:sz w:val="22"/>
              </w:rPr>
              <w:t>Not Specified</w:t>
            </w:r>
          </w:p>
        </w:tc>
        <w:tc>
          <w:tcPr>
            <w:tcW w:w="3150" w:type="dxa"/>
          </w:tcPr>
          <w:p w:rsidR="00185FB6" w:rsidRPr="000A3C73" w:rsidRDefault="00AB05EA" w:rsidP="00AB7580">
            <w:pPr>
              <w:jc w:val="center"/>
              <w:rPr>
                <w:rFonts w:ascii="Calibri" w:hAnsi="Calibri"/>
                <w:sz w:val="22"/>
              </w:rPr>
            </w:pPr>
            <w:r w:rsidRPr="000A3C73">
              <w:rPr>
                <w:rFonts w:ascii="Calibri" w:hAnsi="Calibri"/>
                <w:sz w:val="22"/>
              </w:rPr>
              <w:t>December 31, 2012</w:t>
            </w:r>
          </w:p>
        </w:tc>
        <w:tc>
          <w:tcPr>
            <w:tcW w:w="1728" w:type="dxa"/>
            <w:shd w:val="clear" w:color="auto" w:fill="auto"/>
          </w:tcPr>
          <w:p w:rsidR="00185FB6" w:rsidRPr="000A3C73" w:rsidRDefault="00EB4700" w:rsidP="00185FB6">
            <w:pPr>
              <w:jc w:val="center"/>
              <w:rPr>
                <w:rFonts w:ascii="Calibri" w:hAnsi="Calibri"/>
                <w:sz w:val="22"/>
              </w:rPr>
            </w:pPr>
            <w:r w:rsidRPr="000A3C73">
              <w:rPr>
                <w:rFonts w:ascii="Calibri" w:hAnsi="Calibri"/>
                <w:sz w:val="22"/>
              </w:rPr>
              <w:t>6 (121)</w:t>
            </w:r>
          </w:p>
        </w:tc>
      </w:tr>
    </w:tbl>
    <w:p w:rsidR="006D23D3" w:rsidRPr="000A3C73" w:rsidRDefault="006D23D3" w:rsidP="00B41E00">
      <w:pPr>
        <w:pStyle w:val="BodyText"/>
        <w:numPr>
          <w:ilvl w:val="0"/>
          <w:numId w:val="0"/>
        </w:numPr>
      </w:pPr>
    </w:p>
    <w:p w:rsidR="002778C0" w:rsidRPr="000A3C73" w:rsidRDefault="002778C0" w:rsidP="00846B9F">
      <w:pPr>
        <w:pStyle w:val="Caption"/>
        <w:jc w:val="both"/>
      </w:pPr>
      <w:bookmarkStart w:id="23" w:name="_Ref146959141"/>
      <w:bookmarkStart w:id="24" w:name="_Toc152154268"/>
    </w:p>
    <w:p w:rsidR="005F6FE3" w:rsidRPr="000A3C73" w:rsidRDefault="0017446E" w:rsidP="00846B9F">
      <w:pPr>
        <w:pStyle w:val="Caption"/>
        <w:jc w:val="both"/>
      </w:pPr>
      <w:r w:rsidRPr="000A3C73">
        <w:br w:type="page"/>
      </w:r>
    </w:p>
    <w:p w:rsidR="00B41E00" w:rsidRPr="000A3C73" w:rsidRDefault="00B41E00" w:rsidP="00B41E00">
      <w:pPr>
        <w:pStyle w:val="Heading1"/>
        <w:ind w:left="360" w:hanging="360"/>
      </w:pPr>
      <w:bookmarkStart w:id="25" w:name="_Toc152154269"/>
      <w:bookmarkStart w:id="26" w:name="_Ref203725697"/>
      <w:bookmarkStart w:id="27" w:name="_Toc238551054"/>
      <w:bookmarkEnd w:id="23"/>
      <w:bookmarkEnd w:id="24"/>
      <w:r w:rsidRPr="000A3C73">
        <w:lastRenderedPageBreak/>
        <w:t xml:space="preserve">Project </w:t>
      </w:r>
      <w:r w:rsidR="009E77C4" w:rsidRPr="000A3C73">
        <w:t xml:space="preserve">Design and </w:t>
      </w:r>
      <w:r w:rsidRPr="000A3C73">
        <w:t>Implementation</w:t>
      </w:r>
      <w:bookmarkEnd w:id="25"/>
      <w:bookmarkEnd w:id="26"/>
      <w:bookmarkEnd w:id="27"/>
    </w:p>
    <w:p w:rsidR="007C748C" w:rsidRPr="000A3C73" w:rsidRDefault="007C748C" w:rsidP="00B41E00">
      <w:pPr>
        <w:pStyle w:val="Heading2"/>
        <w:ind w:left="1080" w:hanging="360"/>
      </w:pPr>
      <w:bookmarkStart w:id="28" w:name="_Ref210988268"/>
      <w:bookmarkStart w:id="29" w:name="_Toc238551055"/>
      <w:bookmarkStart w:id="30" w:name="_Ref199405295"/>
      <w:bookmarkStart w:id="31" w:name="_Ref148839516"/>
      <w:bookmarkStart w:id="32" w:name="_Toc152154271"/>
      <w:r w:rsidRPr="000A3C73">
        <w:t>Key Elements of Project Design and Planning</w:t>
      </w:r>
      <w:bookmarkEnd w:id="28"/>
      <w:bookmarkEnd w:id="29"/>
    </w:p>
    <w:p w:rsidR="000B5547" w:rsidRPr="000A3C73" w:rsidRDefault="000B5547" w:rsidP="000B5547">
      <w:pPr>
        <w:pStyle w:val="Heading3"/>
        <w:ind w:left="1440"/>
      </w:pPr>
      <w:bookmarkStart w:id="33" w:name="_Toc238551056"/>
      <w:r w:rsidRPr="000A3C73">
        <w:t>Stakeholder Participation in Project Development</w:t>
      </w:r>
      <w:bookmarkEnd w:id="33"/>
    </w:p>
    <w:p w:rsidR="000B5547" w:rsidRPr="00AA7D1F" w:rsidRDefault="000B5547" w:rsidP="000B5547">
      <w:pPr>
        <w:pStyle w:val="BodyText"/>
      </w:pPr>
      <w:r w:rsidRPr="000A3C73">
        <w:t xml:space="preserve">Through many years of GEF portfolio assessment, adequate stakeholder participation and input to the project design and development process has been identified as an important element for project success. Since the Prespa IEM project was developed through the PPCC mechanism it should be safe to assume that stakeholder participation was appropriate and adequate to ensure a satisfactory project design. However, anecdotal evidence collected during the terminal evaluation, and reflected in the mid-term evaluation, suggests that the project design did not adequately address the needs and priorities of all stakeholders. For example, one stakeholder noted that the outcomes that the country representatives wanted to see included in the project document were not adequately reflected. The MTE quotes one participant as describing the PDF-B process as “the worst he had ever seen.” </w:t>
      </w:r>
      <w:r w:rsidR="00F92C45">
        <w:t xml:space="preserve">At the same time, country representatives initially wanted to include among the project outcomes activities that were not eligible for GEF funding, such as wastewater treatment infrastructure, and water supply infrastructure. </w:t>
      </w:r>
      <w:r w:rsidRPr="000A3C73">
        <w:t xml:space="preserve">It is not possible within the scope of this evaluation to comprehensively analyze the project development process, but the anecdotal evidence suggests that </w:t>
      </w:r>
      <w:r w:rsidR="00711C6D" w:rsidRPr="000A3C73">
        <w:t xml:space="preserve">at the very least, </w:t>
      </w:r>
      <w:r w:rsidRPr="000A3C73">
        <w:t xml:space="preserve">stakeholder expectations were not </w:t>
      </w:r>
      <w:r w:rsidR="004D4CB2" w:rsidRPr="000A3C73">
        <w:t>well managed</w:t>
      </w:r>
      <w:r w:rsidRPr="000A3C73">
        <w:t>. This is also partially likely due to the inherently challenging nature of designing a project to meet the expectations of three different countries (and finding a balance of resource allocation between countries), the challenges of clearly articulating eligible activities for GEF funding, and the extended project deve</w:t>
      </w:r>
      <w:r w:rsidR="00711C6D" w:rsidRPr="000A3C73">
        <w:t>lopment timeframe</w:t>
      </w:r>
      <w:r w:rsidR="00F92C45">
        <w:t xml:space="preserve"> (also due to the extensive consultation processes required)</w:t>
      </w:r>
      <w:r w:rsidR="00711C6D" w:rsidRPr="000A3C73">
        <w:t xml:space="preserve"> since the practical and political context shifts over time and stakeholders lose interest and become disillusioned about the prospect of any concrete and practical assistance</w:t>
      </w:r>
      <w:r w:rsidR="00711C6D" w:rsidRPr="00CD42DE">
        <w:t>.</w:t>
      </w:r>
    </w:p>
    <w:p w:rsidR="000B5547" w:rsidRPr="005E69C8" w:rsidRDefault="000B5547" w:rsidP="000B5547">
      <w:pPr>
        <w:pStyle w:val="Heading3"/>
        <w:ind w:left="1440"/>
      </w:pPr>
      <w:bookmarkStart w:id="34" w:name="_Ref209709397"/>
      <w:bookmarkStart w:id="35" w:name="_Toc238551057"/>
      <w:r w:rsidRPr="005E69C8">
        <w:t>Project Design Factors</w:t>
      </w:r>
      <w:bookmarkEnd w:id="34"/>
      <w:bookmarkEnd w:id="35"/>
    </w:p>
    <w:p w:rsidR="00A5354E" w:rsidRPr="00AA7D1F" w:rsidRDefault="00A5354E" w:rsidP="007C748C">
      <w:pPr>
        <w:pStyle w:val="BodyText"/>
      </w:pPr>
      <w:r w:rsidRPr="00850A96">
        <w:t xml:space="preserve">A large number of project stakeholders have highlighted issues related to the Prespa IEM project design that led to </w:t>
      </w:r>
      <w:r w:rsidR="003F39F6" w:rsidRPr="008B7E9A">
        <w:t>some of the lat</w:t>
      </w:r>
      <w:r w:rsidR="003F39F6" w:rsidRPr="000126EE">
        <w:t xml:space="preserve">er challenges, particularly with respect to integration and synergy of the project, and </w:t>
      </w:r>
      <w:r w:rsidR="00DD7B6C" w:rsidRPr="00B71D27">
        <w:t>the status of transboundary cooperation for IEM. Perhaps the most significant lesson with respect to project design is that a project for integrated environmental manag</w:t>
      </w:r>
      <w:r w:rsidR="00DD7B6C" w:rsidRPr="00595792">
        <w:t>ement should have an integrated design. The very ba</w:t>
      </w:r>
      <w:r w:rsidR="00DD7B6C" w:rsidRPr="00602E30">
        <w:t>sis for the justification of the project as a regional, transboundary project is the fact that resources that are shared across national boundaries should be managed in a coordinated manner. The implementation approach codified in the project design immedi</w:t>
      </w:r>
      <w:r w:rsidR="00DD7B6C" w:rsidRPr="002A69B7">
        <w:t>ately undercuts this rationale however, by having the three project components implemen</w:t>
      </w:r>
      <w:r w:rsidR="00DD7B6C" w:rsidRPr="002C744B">
        <w:t>ted under different execution modalities, with three project management units. The project document even goes so far as to specify that the transboundary PMU, in Macedonia, would b</w:t>
      </w:r>
      <w:r w:rsidR="00DD7B6C" w:rsidRPr="00C56966">
        <w:t xml:space="preserve">e located in a separate office from the Macedonia </w:t>
      </w:r>
      <w:r w:rsidR="002B43AA" w:rsidRPr="002D3949">
        <w:t xml:space="preserve">national </w:t>
      </w:r>
      <w:r w:rsidR="00DD7B6C" w:rsidRPr="000A3C73">
        <w:t>component PMU. There is not a clear</w:t>
      </w:r>
      <w:r w:rsidR="002B43AA" w:rsidRPr="000A3C73">
        <w:t xml:space="preserve"> technical</w:t>
      </w:r>
      <w:r w:rsidR="00DD7B6C" w:rsidRPr="000A3C73">
        <w:t xml:space="preserve"> rationale for this </w:t>
      </w:r>
      <w:r w:rsidR="00522056" w:rsidRPr="000A3C73">
        <w:t xml:space="preserve">implementation structure, and the </w:t>
      </w:r>
      <w:r w:rsidR="00711C6D" w:rsidRPr="000A3C73">
        <w:t xml:space="preserve">external </w:t>
      </w:r>
      <w:r w:rsidR="00522056" w:rsidRPr="000A3C73">
        <w:t xml:space="preserve">observer may </w:t>
      </w:r>
      <w:r w:rsidR="00531AF9" w:rsidRPr="000A3C73">
        <w:t>conclude</w:t>
      </w:r>
      <w:r w:rsidR="00522056" w:rsidRPr="000A3C73">
        <w:t xml:space="preserve"> that there were </w:t>
      </w:r>
      <w:r w:rsidR="00711C6D" w:rsidRPr="000A3C73">
        <w:t xml:space="preserve">political </w:t>
      </w:r>
      <w:r w:rsidR="00522056" w:rsidRPr="000A3C73">
        <w:t xml:space="preserve">considerations of fairness and balance between the three countries involved, and particularly between Albanian and Macedonia as they are the GEF recipient countries and the ones with UNDP offices. </w:t>
      </w:r>
      <w:r w:rsidR="00A8128D" w:rsidRPr="000A3C73">
        <w:t xml:space="preserve">Because the three components were implemented as separate discrete sets of </w:t>
      </w:r>
      <w:r w:rsidR="00A8128D" w:rsidRPr="000A3C73">
        <w:lastRenderedPageBreak/>
        <w:t xml:space="preserve">activities, the timing and coordination of the three sets of activities were out of sync. As highlighted in Section </w:t>
      </w:r>
      <w:r w:rsidR="008269C6" w:rsidRPr="00850A96">
        <w:fldChar w:fldCharType="begin"/>
      </w:r>
      <w:r w:rsidR="00A8128D" w:rsidRPr="000A3C73">
        <w:instrText xml:space="preserve"> REF _Ref207354549 \w \h </w:instrText>
      </w:r>
      <w:r w:rsidR="008269C6" w:rsidRPr="00850A96">
        <w:fldChar w:fldCharType="separate"/>
      </w:r>
      <w:r w:rsidR="006E18A7" w:rsidRPr="00850A96">
        <w:t>III.B.iii</w:t>
      </w:r>
      <w:r w:rsidR="008269C6" w:rsidRPr="00850A96">
        <w:fldChar w:fldCharType="end"/>
      </w:r>
      <w:r w:rsidR="00A8128D" w:rsidRPr="00CD42DE">
        <w:t xml:space="preserve"> above, for various reasons the transboundary and AL component</w:t>
      </w:r>
      <w:r w:rsidR="00A8128D" w:rsidRPr="00AA7D1F">
        <w:t xml:space="preserve">s started after the MK component. This further contributed to a lower level of coordination of activities than would have been the case if the project were implemented through a single integrated mechanism. </w:t>
      </w:r>
    </w:p>
    <w:p w:rsidR="00B72F66" w:rsidRPr="00D77DF1" w:rsidRDefault="00DA6E8C" w:rsidP="007C748C">
      <w:pPr>
        <w:pStyle w:val="BodyText"/>
      </w:pPr>
      <w:r w:rsidRPr="005E69C8">
        <w:t>Because the project had three components, the trans</w:t>
      </w:r>
      <w:r w:rsidRPr="00850A96">
        <w:t xml:space="preserve">boundary PMU was a stand-alone entity, but there was no </w:t>
      </w:r>
      <w:r w:rsidR="00711C6D" w:rsidRPr="008B7E9A">
        <w:t>“</w:t>
      </w:r>
      <w:r w:rsidRPr="000126EE">
        <w:t>stand-alone</w:t>
      </w:r>
      <w:r w:rsidR="00711C6D" w:rsidRPr="00B71D27">
        <w:t>”</w:t>
      </w:r>
      <w:r w:rsidRPr="00595792">
        <w:t xml:space="preserve"> location where it could be located. It wouldn’t have made sense for </w:t>
      </w:r>
      <w:r w:rsidR="00711C6D" w:rsidRPr="00602E30">
        <w:t>the transboundary PMU</w:t>
      </w:r>
      <w:r w:rsidRPr="002A69B7">
        <w:t xml:space="preserve"> to be based outside the region, and thus it had to be based in either Albania or Macedonia as they had UNDP offices, and thus </w:t>
      </w:r>
      <w:r w:rsidR="00711C6D" w:rsidRPr="002C744B">
        <w:t xml:space="preserve">it </w:t>
      </w:r>
      <w:r w:rsidRPr="002C744B">
        <w:t>was based in Macedonia. There</w:t>
      </w:r>
      <w:r w:rsidRPr="00C56966">
        <w:t xml:space="preserve"> is no </w:t>
      </w:r>
      <w:r w:rsidR="0031504C" w:rsidRPr="002D3949">
        <w:t xml:space="preserve">major </w:t>
      </w:r>
      <w:r w:rsidRPr="000A3C73">
        <w:t xml:space="preserve">problem with this from a technical perspective, but it created some practical and bureaucratic issues. In any transboundary project activities in the other countries, UNDP MK had to treat contracts and financial transfers as “international” transactions rather than “national” transactions. For example, for any project related tenders Macedonian applicants would be considered “national” consultants while applicants from Albania or Greece would be treated as “international” consultants. Yet in most cases the project </w:t>
      </w:r>
      <w:r w:rsidR="00206E7A">
        <w:t>ideally would have used</w:t>
      </w:r>
      <w:r w:rsidR="00F92C45" w:rsidRPr="000A3C73">
        <w:t xml:space="preserve"> </w:t>
      </w:r>
      <w:r w:rsidRPr="000A3C73">
        <w:t>expertise from within the region, not “truly” international consultants from further abroad</w:t>
      </w:r>
      <w:r w:rsidR="00F92C45" w:rsidRPr="00F92C45">
        <w:t xml:space="preserve"> </w:t>
      </w:r>
      <w:r w:rsidR="00F92C45">
        <w:t>(although international tenders are open to all international applicants)</w:t>
      </w:r>
      <w:r w:rsidRPr="00FC657B">
        <w:t xml:space="preserve">. The project team and both the UNDP AL and UNDP </w:t>
      </w:r>
      <w:r w:rsidRPr="00D77DF1">
        <w:t xml:space="preserve">MK offices took measures to try to address these issues, but some </w:t>
      </w:r>
      <w:r w:rsidR="00001356" w:rsidRPr="00CD42DE">
        <w:t xml:space="preserve">hurdles were difficult to overcome – for example, Albanian project participants indicated they had a difficult time convincing potential Albanian </w:t>
      </w:r>
      <w:r w:rsidR="0031504C" w:rsidRPr="00CD42DE">
        <w:t>contractors</w:t>
      </w:r>
      <w:r w:rsidR="00001356" w:rsidRPr="00AA7D1F">
        <w:t xml:space="preserve"> to apply for tenders contracted through the UNDP </w:t>
      </w:r>
      <w:r w:rsidR="00001356" w:rsidRPr="005E69C8">
        <w:t xml:space="preserve">MK </w:t>
      </w:r>
      <w:r w:rsidR="00001356" w:rsidRPr="00850A96">
        <w:t xml:space="preserve">office, as </w:t>
      </w:r>
      <w:r w:rsidR="0031504C" w:rsidRPr="00850A96">
        <w:t>potential candidates</w:t>
      </w:r>
      <w:r w:rsidR="00001356" w:rsidRPr="008B7E9A">
        <w:t xml:space="preserve"> did not believe they would receive the same consideration as applicants from Macedonia</w:t>
      </w:r>
      <w:r w:rsidR="00206E7A">
        <w:t>, even though UNDP procurement procedures are in fact designed to be fair and transparent</w:t>
      </w:r>
      <w:r w:rsidR="00001356" w:rsidRPr="00FC657B">
        <w:t>. In addition, project stakeholders indicated that the provision of logistical support (transportation, per diems, et</w:t>
      </w:r>
      <w:r w:rsidR="00001356" w:rsidRPr="00D77DF1">
        <w:t>c.) for Greek and Albanian participation in transboundary project activities was not smooth, although it does not appear to have been a problem for Macedonian participants</w:t>
      </w:r>
      <w:r w:rsidR="00001356" w:rsidRPr="00FC657B">
        <w:t xml:space="preserve">. </w:t>
      </w:r>
    </w:p>
    <w:p w:rsidR="007F67C0" w:rsidRPr="000A3C73" w:rsidRDefault="00001356" w:rsidP="007F67C0">
      <w:pPr>
        <w:pStyle w:val="BodyText"/>
      </w:pPr>
      <w:r w:rsidRPr="00CD42DE">
        <w:t>The issue</w:t>
      </w:r>
      <w:r w:rsidR="000F329E" w:rsidRPr="00CD42DE">
        <w:t>s</w:t>
      </w:r>
      <w:r w:rsidRPr="00AA7D1F">
        <w:t xml:space="preserve"> of PMU location </w:t>
      </w:r>
      <w:r w:rsidR="000F329E" w:rsidRPr="005E69C8">
        <w:t>and integrated project implementation speak</w:t>
      </w:r>
      <w:r w:rsidRPr="00850A96">
        <w:t xml:space="preserve"> to a larger question about whe</w:t>
      </w:r>
      <w:r w:rsidRPr="008B7E9A">
        <w:t>re the PMUs for regio</w:t>
      </w:r>
      <w:r w:rsidR="000F329E" w:rsidRPr="000126EE">
        <w:t xml:space="preserve">nal projects should be located. In reality, in the case of most multi-country </w:t>
      </w:r>
      <w:r w:rsidR="007F67C0" w:rsidRPr="00B71D27">
        <w:t>GEF projects</w:t>
      </w:r>
      <w:r w:rsidR="000F329E" w:rsidRPr="00595792">
        <w:t xml:space="preserve"> there are political sensitivities that have to be taken into consideration and accommodated, and these can be based on real and valid concerns related to balance, fairness, and appropriate access</w:t>
      </w:r>
      <w:r w:rsidR="000F329E" w:rsidRPr="00602E30">
        <w:t xml:space="preserve"> to resources. </w:t>
      </w:r>
      <w:r w:rsidR="007F67C0" w:rsidRPr="002A69B7">
        <w:t xml:space="preserve">For some projects there is a legitimate challenge of deciding how a PMU </w:t>
      </w:r>
      <w:r w:rsidR="007F67C0" w:rsidRPr="002C744B">
        <w:t>should be structured</w:t>
      </w:r>
      <w:r w:rsidR="0031504C" w:rsidRPr="002C744B">
        <w:t>,</w:t>
      </w:r>
      <w:r w:rsidR="007F67C0" w:rsidRPr="002C744B">
        <w:t xml:space="preserve"> and where it should be physically located to ensure the most appropriate balance of needs between involved countries, and to avoid even the perception of </w:t>
      </w:r>
      <w:r w:rsidR="0031504C" w:rsidRPr="00C56966">
        <w:t>the</w:t>
      </w:r>
      <w:r w:rsidR="007F67C0" w:rsidRPr="002D3949">
        <w:t xml:space="preserve"> project being dominated by one country or another. </w:t>
      </w:r>
      <w:r w:rsidRPr="000A3C73">
        <w:t>This is an issue faced by many projects, and there is no standard easy solution; the optimum approach must be considered in each particular circumstance.</w:t>
      </w:r>
      <w:r w:rsidR="0031504C" w:rsidRPr="000A3C73">
        <w:t xml:space="preserve"> In some regional projects there is a relevant regional multilateral or civil society organization executing the project, and it makes sense to have the PMU at the organization’s offices, wherever that may be.</w:t>
      </w:r>
      <w:r w:rsidR="006A18B5" w:rsidRPr="000A3C73">
        <w:t xml:space="preserve"> </w:t>
      </w:r>
      <w:r w:rsidR="0031504C" w:rsidRPr="000A3C73">
        <w:t xml:space="preserve">There was no such organization involved in the Prespa IEM project. </w:t>
      </w:r>
      <w:r w:rsidR="007F67C0" w:rsidRPr="000A3C73">
        <w:t xml:space="preserve">Past experience with GEF projects indicates that effectiveness and efficiency is increased when project execution is handled closer to the project site rather than further away; for the Prespa IEM project, </w:t>
      </w:r>
      <w:r w:rsidR="008325C4" w:rsidRPr="000A3C73">
        <w:t xml:space="preserve">at least having the </w:t>
      </w:r>
      <w:r w:rsidR="004E7BC0" w:rsidRPr="000A3C73">
        <w:t xml:space="preserve">transboundary </w:t>
      </w:r>
      <w:r w:rsidR="008325C4" w:rsidRPr="000A3C73">
        <w:t xml:space="preserve">PMU </w:t>
      </w:r>
      <w:r w:rsidR="004E7BC0" w:rsidRPr="000A3C73">
        <w:t>located in the region, in the municipality of Resen, was highly beneficial.</w:t>
      </w:r>
      <w:r w:rsidR="007F67C0" w:rsidRPr="000A3C73">
        <w:t xml:space="preserve"> </w:t>
      </w:r>
      <w:r w:rsidR="007F67C0" w:rsidRPr="000A3C73">
        <w:lastRenderedPageBreak/>
        <w:t xml:space="preserve">With </w:t>
      </w:r>
      <w:r w:rsidR="0031504C" w:rsidRPr="000A3C73">
        <w:t xml:space="preserve">a </w:t>
      </w:r>
      <w:r w:rsidR="007F67C0" w:rsidRPr="000A3C73">
        <w:t xml:space="preserve">more integrated project </w:t>
      </w:r>
      <w:r w:rsidR="0031504C" w:rsidRPr="000A3C73">
        <w:t>design</w:t>
      </w:r>
      <w:r w:rsidR="007F67C0" w:rsidRPr="000A3C73">
        <w:t xml:space="preserve"> it might have been possible to have a disbursed PMU with staff in at least AL and MK working </w:t>
      </w:r>
      <w:r w:rsidR="0031504C" w:rsidRPr="000A3C73">
        <w:t xml:space="preserve">together and </w:t>
      </w:r>
      <w:r w:rsidR="007F67C0" w:rsidRPr="000A3C73">
        <w:t>in direct regular contact.</w:t>
      </w:r>
      <w:r w:rsidR="006A18B5" w:rsidRPr="000A3C73">
        <w:t xml:space="preserve"> </w:t>
      </w:r>
      <w:r w:rsidR="007F67C0" w:rsidRPr="000A3C73">
        <w:t xml:space="preserve">In addition, the mid-term evaluation for the Prespa IEM project suggested that the project </w:t>
      </w:r>
      <w:r w:rsidR="00876331">
        <w:t>international technical advisor (</w:t>
      </w:r>
      <w:r w:rsidR="007F67C0" w:rsidRPr="000A3C73">
        <w:t>ITA</w:t>
      </w:r>
      <w:r w:rsidR="00876331">
        <w:t>)</w:t>
      </w:r>
      <w:r w:rsidR="007F67C0" w:rsidRPr="000A3C73">
        <w:t xml:space="preserve"> should have been reporting to UNDP’s Bratislava Regional Centre office, rather than to UNDP-MK, although this terminal evaluation considers that this would have been impractical as the UNDP-GEF staff at the Bratislava Regional Cen</w:t>
      </w:r>
      <w:r w:rsidR="0031504C" w:rsidRPr="000A3C73">
        <w:t>tre do not have the available capacity</w:t>
      </w:r>
      <w:r w:rsidR="007F67C0" w:rsidRPr="000A3C73">
        <w:t xml:space="preserve"> to monitor projects more closely than they already do. </w:t>
      </w:r>
    </w:p>
    <w:p w:rsidR="0021378A" w:rsidRPr="000A3C73" w:rsidRDefault="00B64D15" w:rsidP="007F67C0">
      <w:pPr>
        <w:pStyle w:val="BodyText"/>
      </w:pPr>
      <w:r w:rsidRPr="000A3C73">
        <w:t>Further to the PMU design question is the</w:t>
      </w:r>
      <w:r w:rsidR="0021378A" w:rsidRPr="000A3C73">
        <w:t xml:space="preserve"> issue </w:t>
      </w:r>
      <w:r w:rsidRPr="000A3C73">
        <w:t>of</w:t>
      </w:r>
      <w:r w:rsidR="0021378A" w:rsidRPr="000A3C73">
        <w:t xml:space="preserve"> the level of integration between a GEF International Waters project PMU and the corresponding regional </w:t>
      </w:r>
      <w:r w:rsidR="00E66F9D" w:rsidRPr="000A3C73">
        <w:t>water body</w:t>
      </w:r>
      <w:r w:rsidR="0021378A" w:rsidRPr="000A3C73">
        <w:t xml:space="preserve"> commission that it is </w:t>
      </w:r>
      <w:r w:rsidRPr="000A3C73">
        <w:t xml:space="preserve">intending to </w:t>
      </w:r>
      <w:r w:rsidR="0021378A" w:rsidRPr="000A3C73">
        <w:t>support</w:t>
      </w:r>
      <w:r w:rsidR="000069BC" w:rsidRPr="000A3C73">
        <w:t>; i</w:t>
      </w:r>
      <w:r w:rsidR="0021378A" w:rsidRPr="000A3C73">
        <w:t>n the case of Prespa, this is the</w:t>
      </w:r>
      <w:r w:rsidR="00572FEB">
        <w:t xml:space="preserve"> Prespa Park Management Committee</w:t>
      </w:r>
      <w:r w:rsidR="0021378A" w:rsidRPr="000A3C73">
        <w:t xml:space="preserve"> </w:t>
      </w:r>
      <w:r w:rsidR="00572FEB">
        <w:t>(</w:t>
      </w:r>
      <w:r w:rsidR="0021378A" w:rsidRPr="000A3C73">
        <w:t>PPMC</w:t>
      </w:r>
      <w:r w:rsidR="00572FEB">
        <w:t>)</w:t>
      </w:r>
      <w:r w:rsidR="0021378A" w:rsidRPr="000A3C73">
        <w:t xml:space="preserve"> (former PPCC). </w:t>
      </w:r>
      <w:r w:rsidRPr="000A3C73">
        <w:t>There was some confusion in the initial stages of project implementation about whether the transboundary ITA was supposed to serve as the Executive Secretary of the PPCC</w:t>
      </w:r>
      <w:r w:rsidR="009E408E" w:rsidRPr="000A3C73">
        <w:t>,</w:t>
      </w:r>
      <w:r w:rsidR="000069BC" w:rsidRPr="00FC657B">
        <w:rPr>
          <w:rStyle w:val="FootnoteReference"/>
        </w:rPr>
        <w:footnoteReference w:id="4"/>
      </w:r>
      <w:r w:rsidRPr="00FC657B">
        <w:t xml:space="preserve"> although it was later clarified that this was not to be the case. </w:t>
      </w:r>
      <w:r w:rsidR="00265268" w:rsidRPr="00D77DF1">
        <w:t>Commission Secretariats and PMUs do have different mandates and duties; i</w:t>
      </w:r>
      <w:r w:rsidR="00265268" w:rsidRPr="00CD42DE">
        <w:t>n the case where there is already a well-functioning secretariat, (e.g. Danube Commission) it is possible for a project PMU to work successfully in parallel. In</w:t>
      </w:r>
      <w:r w:rsidR="00550E16" w:rsidRPr="00AA7D1F">
        <w:t xml:space="preserve"> another example, in</w:t>
      </w:r>
      <w:r w:rsidR="00265268" w:rsidRPr="005E69C8">
        <w:t xml:space="preserve"> the case of the UNEP-GEF South China Sea International Waters project, </w:t>
      </w:r>
      <w:r w:rsidR="005C6B51" w:rsidRPr="00850A96">
        <w:t xml:space="preserve">the project was nominally implemented under the </w:t>
      </w:r>
      <w:r w:rsidR="00502D1E" w:rsidRPr="00850A96">
        <w:t xml:space="preserve">Secretariat of the </w:t>
      </w:r>
      <w:r w:rsidR="005C6B51" w:rsidRPr="008B7E9A">
        <w:t xml:space="preserve">regional body, </w:t>
      </w:r>
      <w:r w:rsidR="00265268" w:rsidRPr="000126EE">
        <w:t>the Coordinating Body on th</w:t>
      </w:r>
      <w:r w:rsidR="005C6B51" w:rsidRPr="00B71D27">
        <w:t>e Se</w:t>
      </w:r>
      <w:r w:rsidR="00502D1E" w:rsidRPr="00595792">
        <w:t>as of East Asia (</w:t>
      </w:r>
      <w:r w:rsidR="005C6B51" w:rsidRPr="00602E30">
        <w:t xml:space="preserve">COBSEA), </w:t>
      </w:r>
      <w:r w:rsidR="00502D1E" w:rsidRPr="002A69B7">
        <w:t>though in reality the p</w:t>
      </w:r>
      <w:r w:rsidR="00502D1E" w:rsidRPr="002C744B">
        <w:t xml:space="preserve">roject implementation unit had much more technical capacity than the Secretariat. For a period of time one staff member </w:t>
      </w:r>
      <w:r w:rsidR="00642FB9" w:rsidRPr="00C56966">
        <w:t>worked</w:t>
      </w:r>
      <w:r w:rsidR="00502D1E" w:rsidRPr="002D3949">
        <w:t xml:space="preserve"> half time for both the project and the Secretariat, which facilitated coordination a</w:t>
      </w:r>
      <w:r w:rsidR="00550E16" w:rsidRPr="000A3C73">
        <w:t>nd communication between the PMU and COBSEA</w:t>
      </w:r>
      <w:r w:rsidR="00502D1E" w:rsidRPr="000A3C73">
        <w:t xml:space="preserve">. The SCS project manager also reported </w:t>
      </w:r>
      <w:r w:rsidR="00642FB9" w:rsidRPr="000A3C73">
        <w:t xml:space="preserve">on project implementation </w:t>
      </w:r>
      <w:r w:rsidR="00502D1E" w:rsidRPr="000A3C73">
        <w:t>to the COBSEA Executive Secretary, while UNEP provided managerial oversight. At the end of the project</w:t>
      </w:r>
      <w:r w:rsidR="00642FB9" w:rsidRPr="000A3C73">
        <w:t>,</w:t>
      </w:r>
      <w:r w:rsidR="00502D1E" w:rsidRPr="000A3C73">
        <w:t xml:space="preserve"> the COBSEA Secretariat incorporated as much of the SCS project’s results and activities as was feasible and practicable, though the fact that the COBSEA Secretariat still had limited capacity negatively influenced the sustainability of carrying th</w:t>
      </w:r>
      <w:r w:rsidR="00550E16" w:rsidRPr="000A3C73">
        <w:t xml:space="preserve">e project-produced SAP forward - </w:t>
      </w:r>
      <w:r w:rsidR="00502D1E" w:rsidRPr="000A3C73">
        <w:t xml:space="preserve">as it has for the Prespa </w:t>
      </w:r>
      <w:r w:rsidR="00550E16" w:rsidRPr="000A3C73">
        <w:t xml:space="preserve">IEM </w:t>
      </w:r>
      <w:r w:rsidR="00502D1E" w:rsidRPr="000A3C73">
        <w:t xml:space="preserve">project. </w:t>
      </w:r>
    </w:p>
    <w:p w:rsidR="002B43AA" w:rsidRPr="000A3C73" w:rsidRDefault="00883DE7" w:rsidP="007C748C">
      <w:pPr>
        <w:pStyle w:val="BodyText"/>
      </w:pPr>
      <w:r w:rsidRPr="000A3C73">
        <w:t>For the Prespa IEM project a</w:t>
      </w:r>
      <w:r w:rsidR="006F5C7B" w:rsidRPr="000A3C73">
        <w:t xml:space="preserve">nother important issue is that some aspects of the transboundary component were only budgeted for 2.5 years, with the anticipation that the participating governments would take over financing some of the transboundary activities. </w:t>
      </w:r>
      <w:r w:rsidR="00642FB9" w:rsidRPr="000A3C73">
        <w:t xml:space="preserve">This included </w:t>
      </w:r>
      <w:r w:rsidR="00776954" w:rsidRPr="000A3C73">
        <w:t>only part-time</w:t>
      </w:r>
      <w:r w:rsidR="00642FB9" w:rsidRPr="000A3C73">
        <w:t xml:space="preserve"> financing for the ITA</w:t>
      </w:r>
      <w:r w:rsidR="00776954" w:rsidRPr="000A3C73">
        <w:t xml:space="preserve"> in the latter part of the project</w:t>
      </w:r>
      <w:r w:rsidR="00642FB9" w:rsidRPr="000A3C73">
        <w:t xml:space="preserve">, the key project staff member for the transboundary component. </w:t>
      </w:r>
      <w:r w:rsidR="006F5C7B" w:rsidRPr="000A3C73">
        <w:t xml:space="preserve">As the project progressed it became clear that the timing of this handover </w:t>
      </w:r>
      <w:r w:rsidRPr="000A3C73">
        <w:t xml:space="preserve">of financing </w:t>
      </w:r>
      <w:r w:rsidR="006F5C7B" w:rsidRPr="000A3C73">
        <w:t xml:space="preserve">was not realistic, and in fact even by the end of the project the three participating governments have not committed the financial resources necessary to continue operating the PPMC. This is an important sustainability issue relating to the project design that was recognized early on (for example in internal project discussions in February 2008) but a solution was not found other than to extend the budgeted transboundary activities to the end of the project. </w:t>
      </w:r>
      <w:r w:rsidR="00642FB9" w:rsidRPr="000A3C73">
        <w:t>At the same time, the position of ITA changed three times during the course of the project (with significant gaps between individuals), and shifted from an on-site full-time senior staff member to a remotely-based senior advisor wi</w:t>
      </w:r>
      <w:r w:rsidR="00776954" w:rsidRPr="000A3C73">
        <w:t xml:space="preserve">th limited time </w:t>
      </w:r>
      <w:r w:rsidR="00776954" w:rsidRPr="000A3C73">
        <w:lastRenderedPageBreak/>
        <w:t xml:space="preserve">allocation. The ITA position was envisioned as an international recruitment, but a </w:t>
      </w:r>
      <w:r w:rsidR="003B3B87" w:rsidRPr="000A3C73">
        <w:t xml:space="preserve">planned shift to a </w:t>
      </w:r>
      <w:r w:rsidR="00776954" w:rsidRPr="000A3C73">
        <w:t xml:space="preserve">part-time on-site position is simply not feasible for an international staff member. </w:t>
      </w:r>
    </w:p>
    <w:p w:rsidR="007F67C0" w:rsidRPr="00B71D27" w:rsidRDefault="00642FB9" w:rsidP="007F67C0">
      <w:pPr>
        <w:pStyle w:val="BodyText"/>
      </w:pPr>
      <w:r w:rsidRPr="000A3C73">
        <w:t xml:space="preserve">The approach for producing some key outputs was also a factor. </w:t>
      </w:r>
      <w:r w:rsidR="00F14ACA" w:rsidRPr="000A3C73">
        <w:t>T</w:t>
      </w:r>
      <w:r w:rsidR="00B41EDF" w:rsidRPr="000A3C73">
        <w:t xml:space="preserve">o produce the </w:t>
      </w:r>
      <w:r w:rsidR="00572FEB">
        <w:t>SAP</w:t>
      </w:r>
      <w:r w:rsidR="00B41EDF" w:rsidRPr="000A3C73">
        <w:t xml:space="preserve"> </w:t>
      </w:r>
      <w:r w:rsidR="007B4D24" w:rsidRPr="000A3C73">
        <w:t>a tender process was</w:t>
      </w:r>
      <w:r w:rsidR="00BD3713" w:rsidRPr="000A3C73">
        <w:t xml:space="preserve"> </w:t>
      </w:r>
      <w:r w:rsidR="00B41EDF" w:rsidRPr="000A3C73">
        <w:t xml:space="preserve">undertaken </w:t>
      </w:r>
      <w:r w:rsidR="007B4D24" w:rsidRPr="000A3C73">
        <w:t>– i.</w:t>
      </w:r>
      <w:r w:rsidR="004B726A" w:rsidRPr="000A3C73">
        <w:t xml:space="preserve">e. an organization </w:t>
      </w:r>
      <w:r w:rsidR="007B4D24" w:rsidRPr="000A3C73">
        <w:t xml:space="preserve">was contracted to produce the SAP as an output. This contrasts with the process for SAP development in some other GEF International Waters projects, </w:t>
      </w:r>
      <w:r w:rsidR="008E401D" w:rsidRPr="000A3C73">
        <w:t>where</w:t>
      </w:r>
      <w:r w:rsidR="007B4D24" w:rsidRPr="000A3C73">
        <w:t xml:space="preserve"> a large number of subject-matter technical experts from each of the participating countries produce</w:t>
      </w:r>
      <w:r w:rsidR="008E401D" w:rsidRPr="000A3C73">
        <w:t>d</w:t>
      </w:r>
      <w:r w:rsidR="007B4D24" w:rsidRPr="000A3C73">
        <w:t xml:space="preserve"> inputs to an overall document that is integrated by a sub-set of the stakeholders into a single SAP, with widely agreed priorities, recommendations, etc. In some projects that have followed the latter approach </w:t>
      </w:r>
      <w:r w:rsidR="008E401D" w:rsidRPr="000A3C73">
        <w:t>– for example, in the Caribbean and in the South China Sea - a</w:t>
      </w:r>
      <w:r w:rsidR="007B4D24" w:rsidRPr="000A3C73">
        <w:t xml:space="preserve">n SAP with </w:t>
      </w:r>
      <w:r w:rsidR="00F14ACA" w:rsidRPr="000A3C73">
        <w:t>comparatively better</w:t>
      </w:r>
      <w:r w:rsidR="007B4D24" w:rsidRPr="000A3C73">
        <w:t xml:space="preserve"> stakeholder ow</w:t>
      </w:r>
      <w:r w:rsidR="008E401D" w:rsidRPr="000A3C73">
        <w:t xml:space="preserve">nership and buy-in has resulted. </w:t>
      </w:r>
      <w:r w:rsidR="00206E7A">
        <w:t xml:space="preserve">The development of the </w:t>
      </w:r>
      <w:r w:rsidR="009A0891">
        <w:t xml:space="preserve">Prespa SAP did consist of a participatory process, with nine consultative workshops to discuss different stages of development, and the draft document circulated to the PPCC multiple times. Despite </w:t>
      </w:r>
      <w:r w:rsidR="007B4D24" w:rsidRPr="000A3C73">
        <w:t xml:space="preserve">the </w:t>
      </w:r>
      <w:r w:rsidR="009A0891">
        <w:t xml:space="preserve">participatory effort, due </w:t>
      </w:r>
      <w:r w:rsidR="00552EEF">
        <w:t xml:space="preserve">at least partially </w:t>
      </w:r>
      <w:r w:rsidR="009A0891">
        <w:t xml:space="preserve">to the externally facilitated approach for </w:t>
      </w:r>
      <w:r w:rsidR="007B4D24" w:rsidRPr="000A3C73">
        <w:t>Presp</w:t>
      </w:r>
      <w:r w:rsidR="009A0891">
        <w:t>a the</w:t>
      </w:r>
      <w:r w:rsidR="007B4D24" w:rsidRPr="000A3C73">
        <w:t xml:space="preserve"> SAP is considered to have a low level of </w:t>
      </w:r>
      <w:r w:rsidR="00F14ACA" w:rsidRPr="000A3C73">
        <w:t xml:space="preserve">ownership </w:t>
      </w:r>
      <w:r w:rsidR="009C01E9" w:rsidRPr="000A3C73">
        <w:t>from</w:t>
      </w:r>
      <w:r w:rsidR="00F14ACA" w:rsidRPr="000A3C73">
        <w:t xml:space="preserve"> the key relevant stakeholders in the region</w:t>
      </w:r>
      <w:r w:rsidR="005E6EB4" w:rsidRPr="000A3C73">
        <w:t xml:space="preserve"> (particularly the governments of the three countries</w:t>
      </w:r>
      <w:r w:rsidR="005E6EB4" w:rsidRPr="00FC657B">
        <w:t>)</w:t>
      </w:r>
      <w:r w:rsidR="007B4D24" w:rsidRPr="00D77DF1">
        <w:t xml:space="preserve">. </w:t>
      </w:r>
      <w:r w:rsidRPr="00CD42DE">
        <w:t>This contrasts with the approach taken by the Prespa</w:t>
      </w:r>
      <w:r w:rsidR="005E6EB4" w:rsidRPr="00AA7D1F">
        <w:t xml:space="preserve"> IEM</w:t>
      </w:r>
      <w:r w:rsidRPr="005E69C8">
        <w:t xml:space="preserve"> project </w:t>
      </w:r>
      <w:r w:rsidR="005E6EB4" w:rsidRPr="00850A96">
        <w:t xml:space="preserve">in producing </w:t>
      </w:r>
      <w:r w:rsidRPr="00850A96">
        <w:t>the transboundary monitoring framework, which was produced through a consultative process involving technical e</w:t>
      </w:r>
      <w:r w:rsidR="005E6EB4" w:rsidRPr="008B7E9A">
        <w:t>xperts from all three countries; the transboundary monitoring framework was cited by multiple stakeholders as a useful an</w:t>
      </w:r>
      <w:r w:rsidR="005E6EB4" w:rsidRPr="000126EE">
        <w:t xml:space="preserve">d valuable output from the project. </w:t>
      </w:r>
    </w:p>
    <w:p w:rsidR="00736D23" w:rsidRPr="008B7E9A" w:rsidRDefault="00736D23" w:rsidP="007F67C0">
      <w:pPr>
        <w:pStyle w:val="BodyText"/>
      </w:pPr>
      <w:r w:rsidRPr="00595792">
        <w:t xml:space="preserve">Additionally, </w:t>
      </w:r>
      <w:r w:rsidRPr="00602E30">
        <w:t xml:space="preserve">the project design created execution challenges because of the degree of </w:t>
      </w:r>
      <w:r w:rsidR="007B4549" w:rsidRPr="002A69B7">
        <w:t>integration wi</w:t>
      </w:r>
      <w:r w:rsidR="007B4549" w:rsidRPr="002C744B">
        <w:t xml:space="preserve">th the planned KfW interventions in both Albania and Macedonia to support </w:t>
      </w:r>
      <w:r w:rsidR="00DF1869" w:rsidRPr="002C744B">
        <w:t>the protected areas in these countries within the Prespa watershed. The project design includes specific p</w:t>
      </w:r>
      <w:r w:rsidR="00DF1869" w:rsidRPr="00C56966">
        <w:t>roject outputs that are to be completely funded by non-GEF sources. This is a positive approach in general as it promotes donor coordination and potential synergistic benefits from combining investments from multiple donors. In another sense, this is often</w:t>
      </w:r>
      <w:r w:rsidR="00DF1869" w:rsidRPr="002D3949">
        <w:t xml:space="preserve"> what is envisioned as “co-financing” for GEF projects, in contrast to the more common approach of funding that is related to a project’s objectives but not directly linked to project </w:t>
      </w:r>
      <w:r w:rsidR="00DF1869" w:rsidRPr="000A3C73">
        <w:t>activities. However, this degree of integration is only useful if it is well coordinated, otherwise it can lead to challenges in implementation. This turned out to be the case for the Prespa project; the KfW support in Macedonia was implemented mostly ahead of the GEF-funded activities because of the long timeframe for the development and approval process of the GEF project</w:t>
      </w:r>
      <w:r w:rsidR="00DF1869" w:rsidRPr="00FC657B">
        <w:t xml:space="preserve">, while in Albania the KfW supported activities only began in late 2011, following years of discussions on </w:t>
      </w:r>
      <w:r w:rsidR="00E66F9D" w:rsidRPr="00FC657B">
        <w:t>conditionality’s</w:t>
      </w:r>
      <w:r w:rsidR="009F5192" w:rsidRPr="00D77DF1">
        <w:t xml:space="preserve"> r</w:t>
      </w:r>
      <w:r w:rsidR="009F5192" w:rsidRPr="00CD42DE">
        <w:t>elated to protected area governance</w:t>
      </w:r>
      <w:r w:rsidR="00DF1869" w:rsidRPr="00AA7D1F">
        <w:t xml:space="preserve"> with the Albanian government. Thus, activities that were planned as interdependent </w:t>
      </w:r>
      <w:r w:rsidR="00552EEF">
        <w:t>between</w:t>
      </w:r>
      <w:r w:rsidR="00552EEF" w:rsidRPr="00AA7D1F">
        <w:t xml:space="preserve"> </w:t>
      </w:r>
      <w:r w:rsidR="00DF1869" w:rsidRPr="00AA7D1F">
        <w:t xml:space="preserve">GEF and KfW funding ended up being out of sync, and required adaptive approaches. In addition, some aspects of the Albanian component were slower to </w:t>
      </w:r>
      <w:r w:rsidR="00DF1869" w:rsidRPr="005E69C8">
        <w:t>sta</w:t>
      </w:r>
      <w:r w:rsidR="00DF1869" w:rsidRPr="00850A96">
        <w:t xml:space="preserve">rt than they could have been as </w:t>
      </w:r>
      <w:r w:rsidR="00436B55" w:rsidRPr="00850A96">
        <w:t xml:space="preserve">the team initially tried to wait for the KfW project to start. </w:t>
      </w:r>
    </w:p>
    <w:p w:rsidR="007C748C" w:rsidRPr="000A3C73" w:rsidRDefault="00D961FC" w:rsidP="007C748C">
      <w:pPr>
        <w:pStyle w:val="BodyText"/>
      </w:pPr>
      <w:r w:rsidRPr="000126EE">
        <w:t xml:space="preserve">The project document includes a </w:t>
      </w:r>
      <w:r w:rsidR="009F5192" w:rsidRPr="00B71D27">
        <w:t>technically progressive</w:t>
      </w:r>
      <w:r w:rsidRPr="00595792">
        <w:t xml:space="preserve"> assessment of the main environmental stresses faced in the Prespa basin, and a slightly less comprehensive assessment of the main barriers to effective tra</w:t>
      </w:r>
      <w:r w:rsidRPr="00602E30">
        <w:t xml:space="preserve">nsboundary integrated ecosystem management. </w:t>
      </w:r>
      <w:r w:rsidR="005D7119" w:rsidRPr="002A69B7">
        <w:t>At the same time, t</w:t>
      </w:r>
      <w:r w:rsidR="003121E5" w:rsidRPr="002C744B">
        <w:t>he documen</w:t>
      </w:r>
      <w:r w:rsidR="005D7119" w:rsidRPr="002C744B">
        <w:t xml:space="preserve">t does not have threat matrix or other logical </w:t>
      </w:r>
      <w:r w:rsidR="009F5192" w:rsidRPr="002C744B">
        <w:t>analysis</w:t>
      </w:r>
      <w:r w:rsidR="005D7119" w:rsidRPr="002C744B">
        <w:t xml:space="preserve"> tool</w:t>
      </w:r>
      <w:r w:rsidR="009F5192" w:rsidRPr="002C744B">
        <w:t>s</w:t>
      </w:r>
      <w:r w:rsidR="005D7119" w:rsidRPr="002C744B">
        <w:t xml:space="preserve"> showing how the project components are designed to specifically address the threats and barriers </w:t>
      </w:r>
      <w:r w:rsidR="005D7119" w:rsidRPr="002C744B">
        <w:lastRenderedPageBreak/>
        <w:t xml:space="preserve">identified. </w:t>
      </w:r>
      <w:r w:rsidR="005E6EB4" w:rsidRPr="00C56966">
        <w:t>A more clearly articula</w:t>
      </w:r>
      <w:r w:rsidR="005E6EB4" w:rsidRPr="002D3949">
        <w:t xml:space="preserve">ted theory of change related to the specific threats and barriers in the region might have facilitated a strengthened project design. </w:t>
      </w:r>
    </w:p>
    <w:p w:rsidR="007C748C" w:rsidRPr="000A3C73" w:rsidRDefault="00A64FB0" w:rsidP="007C748C">
      <w:pPr>
        <w:pStyle w:val="BodyText"/>
      </w:pPr>
      <w:r w:rsidRPr="000A3C73">
        <w:t xml:space="preserve"> The project document did not include an adequate risk analysis and </w:t>
      </w:r>
      <w:r w:rsidR="000E39B5" w:rsidRPr="000A3C73">
        <w:t xml:space="preserve">mitigation strategy. Had a more comprehensive approach been taken on this element some of the challenges and issues the project had to face might have been avoided, though it is generally difficult to see into the future and anticipate the full range of risks a project may face throughout implementation, </w:t>
      </w:r>
      <w:r w:rsidR="005E6EB4" w:rsidRPr="000A3C73">
        <w:t xml:space="preserve">especially when this </w:t>
      </w:r>
      <w:r w:rsidR="000E39B5" w:rsidRPr="000A3C73">
        <w:t>stretch</w:t>
      </w:r>
      <w:r w:rsidR="005E6EB4" w:rsidRPr="000A3C73">
        <w:t>es</w:t>
      </w:r>
      <w:r w:rsidR="000E39B5" w:rsidRPr="000A3C73">
        <w:t xml:space="preserve"> six or seven years from the </w:t>
      </w:r>
      <w:r w:rsidR="005E6EB4" w:rsidRPr="000A3C73">
        <w:t>time of</w:t>
      </w:r>
      <w:r w:rsidR="000E39B5" w:rsidRPr="000A3C73">
        <w:t xml:space="preserve"> project </w:t>
      </w:r>
      <w:r w:rsidR="005E6EB4" w:rsidRPr="000A3C73">
        <w:t>development</w:t>
      </w:r>
      <w:r w:rsidR="000E39B5" w:rsidRPr="000A3C73">
        <w:t xml:space="preserve">. The project document includes a brief risk assessment section, with eight risks identified. Risk mitigation strategies are given for only three of the risks identified, and are not comprehensive. Often a project’s risk analysis is updated at the inception workshop phase, but based on the three inception workshop reports for the Prespa project, it does not appear that this was carried out </w:t>
      </w:r>
      <w:r w:rsidR="00C92E21" w:rsidRPr="000A3C73">
        <w:t xml:space="preserve">in any systematic or comprehensive manner </w:t>
      </w:r>
      <w:r w:rsidR="000E39B5" w:rsidRPr="000A3C73">
        <w:t xml:space="preserve">in this case. </w:t>
      </w:r>
    </w:p>
    <w:p w:rsidR="00A7506B" w:rsidRPr="000A3C73" w:rsidRDefault="00A7506B" w:rsidP="00B41E00">
      <w:pPr>
        <w:pStyle w:val="Heading2"/>
        <w:ind w:left="1080" w:hanging="360"/>
      </w:pPr>
      <w:bookmarkStart w:id="36" w:name="_Toc238551058"/>
      <w:r w:rsidRPr="000A3C73">
        <w:t>Project Outcomes-Impacts Theory of Change</w:t>
      </w:r>
      <w:bookmarkEnd w:id="30"/>
      <w:bookmarkEnd w:id="36"/>
    </w:p>
    <w:p w:rsidR="00721163" w:rsidRPr="00FC657B" w:rsidRDefault="00A7506B" w:rsidP="00721163">
      <w:pPr>
        <w:pStyle w:val="BodyText"/>
      </w:pPr>
      <w:r w:rsidRPr="000A3C73">
        <w:t xml:space="preserve">A project’s logical intervention approach, or theory of change, is the expression of the strategy chosen to achieve the objective. Based on the objective and strategy chosen, the project inputs and activities are designed to produce the outputs and outcomes required to eventually achieve impact level results. This “logic chain” defines the outcomes-impacts pathway. </w:t>
      </w:r>
      <w:r w:rsidR="008269C6" w:rsidRPr="00D77DF1">
        <w:fldChar w:fldCharType="begin"/>
      </w:r>
      <w:r w:rsidR="00721163" w:rsidRPr="000A3C73">
        <w:instrText xml:space="preserve"> REF _Ref195091338 \h </w:instrText>
      </w:r>
      <w:r w:rsidR="008269C6" w:rsidRPr="00D77DF1">
        <w:fldChar w:fldCharType="separate"/>
      </w:r>
      <w:r w:rsidR="006E18A7" w:rsidRPr="00D77DF1">
        <w:t xml:space="preserve">Figure </w:t>
      </w:r>
      <w:r w:rsidR="006E18A7" w:rsidRPr="00CD42DE">
        <w:rPr>
          <w:noProof/>
        </w:rPr>
        <w:t>1</w:t>
      </w:r>
      <w:r w:rsidR="008269C6" w:rsidRPr="00D77DF1">
        <w:fldChar w:fldCharType="end"/>
      </w:r>
      <w:r w:rsidR="00721163" w:rsidRPr="00FC657B">
        <w:t xml:space="preserve"> below indicates a generic project logic chain pathway. </w:t>
      </w:r>
    </w:p>
    <w:p w:rsidR="00721163" w:rsidRPr="000A3C73" w:rsidRDefault="00721163" w:rsidP="00721163">
      <w:pPr>
        <w:pStyle w:val="Caption"/>
        <w:jc w:val="both"/>
      </w:pPr>
      <w:bookmarkStart w:id="37" w:name="_Ref195091338"/>
      <w:r w:rsidRPr="00D77DF1">
        <w:t xml:space="preserve">Figure </w:t>
      </w:r>
      <w:r w:rsidR="008269C6" w:rsidRPr="00F92C45">
        <w:fldChar w:fldCharType="begin"/>
      </w:r>
      <w:r w:rsidR="00CF23E9" w:rsidRPr="000A3C73">
        <w:instrText xml:space="preserve"> SEQ Figure \* ARABIC </w:instrText>
      </w:r>
      <w:r w:rsidR="008269C6" w:rsidRPr="00F92C45">
        <w:fldChar w:fldCharType="separate"/>
      </w:r>
      <w:r w:rsidR="006E18A7" w:rsidRPr="000A3C73">
        <w:rPr>
          <w:noProof/>
        </w:rPr>
        <w:t>1</w:t>
      </w:r>
      <w:r w:rsidR="008269C6" w:rsidRPr="00F92C45">
        <w:rPr>
          <w:noProof/>
        </w:rPr>
        <w:fldChar w:fldCharType="end"/>
      </w:r>
      <w:bookmarkEnd w:id="37"/>
      <w:r w:rsidRPr="000A3C73">
        <w:t xml:space="preserve"> Generic Theory of Change for Outcome-Impacts Pathways</w:t>
      </w:r>
      <w:r w:rsidRPr="000A3C73">
        <w:rPr>
          <w:rStyle w:val="FootnoteReference"/>
        </w:rPr>
        <w:footnoteReference w:id="5"/>
      </w:r>
    </w:p>
    <w:p w:rsidR="00721163" w:rsidRPr="00FC657B" w:rsidRDefault="009D4E74" w:rsidP="00721163">
      <w:pPr>
        <w:pStyle w:val="BodyText"/>
        <w:numPr>
          <w:ilvl w:val="0"/>
          <w:numId w:val="0"/>
        </w:numPr>
      </w:pPr>
      <w:r w:rsidRPr="00FC657B">
        <w:rPr>
          <w:noProof/>
        </w:rPr>
        <w:drawing>
          <wp:inline distT="0" distB="0" distL="0" distR="0">
            <wp:extent cx="5588000" cy="2174240"/>
            <wp:effectExtent l="25400" t="25400" r="25400" b="3556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588000" cy="2174240"/>
                    </a:xfrm>
                    <a:prstGeom prst="rect">
                      <a:avLst/>
                    </a:prstGeom>
                    <a:noFill/>
                    <a:ln w="9525" cmpd="sng">
                      <a:solidFill>
                        <a:srgbClr val="000000"/>
                      </a:solidFill>
                      <a:miter lim="800000"/>
                      <a:headEnd/>
                      <a:tailEnd/>
                    </a:ln>
                    <a:effectLst/>
                  </pic:spPr>
                </pic:pic>
              </a:graphicData>
            </a:graphic>
          </wp:inline>
        </w:drawing>
      </w:r>
    </w:p>
    <w:p w:rsidR="00721163" w:rsidRPr="00D77DF1" w:rsidRDefault="00721163" w:rsidP="00721163">
      <w:pPr>
        <w:pStyle w:val="BodyText"/>
        <w:numPr>
          <w:ilvl w:val="0"/>
          <w:numId w:val="0"/>
        </w:numPr>
      </w:pPr>
    </w:p>
    <w:p w:rsidR="000A7C6A" w:rsidRPr="000A3C73" w:rsidRDefault="00721163" w:rsidP="00C03440">
      <w:pPr>
        <w:pStyle w:val="BodyText"/>
      </w:pPr>
      <w:r w:rsidRPr="00CD42DE">
        <w:t xml:space="preserve">Articulating and understanding a project’s theory of change can be a valuable step toward later assessment of the potential results. This is particularly true for a project such as the </w:t>
      </w:r>
      <w:r w:rsidR="006C758C" w:rsidRPr="00AA7D1F">
        <w:t>Prespa IEM</w:t>
      </w:r>
      <w:r w:rsidRPr="005E69C8">
        <w:t xml:space="preserve"> project, which has an extended theory of change – that is, there are multiple steps in the process between the outcomes produced by the project and the </w:t>
      </w:r>
      <w:r w:rsidRPr="00850A96">
        <w:t>intended results.</w:t>
      </w:r>
      <w:r w:rsidR="00832265" w:rsidRPr="008B7E9A">
        <w:t xml:space="preserve">  </w:t>
      </w:r>
      <w:r w:rsidR="00C01501" w:rsidRPr="000126EE">
        <w:t xml:space="preserve">The project is working to </w:t>
      </w:r>
      <w:r w:rsidR="00E179DA" w:rsidRPr="00B71D27">
        <w:t>catalyze transboundary integrated ecosystem management in the Prespa basin</w:t>
      </w:r>
      <w:r w:rsidR="00C01501" w:rsidRPr="00595792">
        <w:t xml:space="preserve">, eventually leading to positive </w:t>
      </w:r>
      <w:r w:rsidR="00E179DA" w:rsidRPr="00602E30">
        <w:t>environmental</w:t>
      </w:r>
      <w:r w:rsidR="00C01501" w:rsidRPr="002A69B7">
        <w:t xml:space="preserve"> benefits</w:t>
      </w:r>
      <w:r w:rsidR="00E179DA" w:rsidRPr="002C744B">
        <w:t xml:space="preserve"> in the Prespa watershed</w:t>
      </w:r>
      <w:r w:rsidR="00C01501" w:rsidRPr="002C744B">
        <w:t xml:space="preserve">. </w:t>
      </w:r>
      <w:r w:rsidR="006B199D" w:rsidRPr="002C744B">
        <w:t>To assess the likelihood of impact, the GEF Evaluation Office applies the Review of Outcomes to Impacts (ROtI) methodo</w:t>
      </w:r>
      <w:r w:rsidR="006B199D" w:rsidRPr="00C56966">
        <w:t xml:space="preserve">logy. </w:t>
      </w:r>
    </w:p>
    <w:p w:rsidR="002A59DA" w:rsidRPr="000A3C73" w:rsidRDefault="002A59DA" w:rsidP="002A59DA">
      <w:pPr>
        <w:pStyle w:val="BodyText"/>
      </w:pPr>
      <w:r w:rsidRPr="000A3C73">
        <w:lastRenderedPageBreak/>
        <w:t xml:space="preserve">The ROtI methodology acknowledges and recognizes that time is required </w:t>
      </w:r>
      <w:r w:rsidR="00FF7828" w:rsidRPr="000A3C73">
        <w:t xml:space="preserve">following completion of most GEF projects </w:t>
      </w:r>
      <w:r w:rsidRPr="000A3C73">
        <w:t xml:space="preserve">for sustained execution of the conditions processes leading to eventual changes in threats to or improved management of environmental resources. This is particularly true in the case of </w:t>
      </w:r>
      <w:r w:rsidR="000135BA" w:rsidRPr="000A3C73">
        <w:t>ecosystem-focused</w:t>
      </w:r>
      <w:r w:rsidRPr="000A3C73">
        <w:t xml:space="preserve"> projects, as </w:t>
      </w:r>
      <w:r w:rsidR="000135BA" w:rsidRPr="000A3C73">
        <w:t xml:space="preserve">ecological conditions and </w:t>
      </w:r>
      <w:r w:rsidRPr="000A3C73">
        <w:t>species populations take time to respond to project interventions to the extent that changes in environmental status can be identified and documented.</w:t>
      </w:r>
    </w:p>
    <w:p w:rsidR="00452538" w:rsidRPr="000A3C73" w:rsidRDefault="002625AD" w:rsidP="002625AD">
      <w:pPr>
        <w:pStyle w:val="BodyText"/>
      </w:pPr>
      <w:r w:rsidRPr="000A3C73">
        <w:t xml:space="preserve">For the </w:t>
      </w:r>
      <w:r w:rsidR="006C758C" w:rsidRPr="000A3C73">
        <w:t>Prespa IEM</w:t>
      </w:r>
      <w:r w:rsidR="00832265" w:rsidRPr="000A3C73">
        <w:t xml:space="preserve"> </w:t>
      </w:r>
      <w:r w:rsidRPr="000A3C73">
        <w:t xml:space="preserve">project </w:t>
      </w:r>
      <w:r w:rsidR="00C03440" w:rsidRPr="000A3C73">
        <w:t>it was</w:t>
      </w:r>
      <w:r w:rsidRPr="000A3C73">
        <w:t xml:space="preserve"> expected that during the project lifetime there </w:t>
      </w:r>
      <w:r w:rsidR="00C03440" w:rsidRPr="000A3C73">
        <w:t>would</w:t>
      </w:r>
      <w:r w:rsidRPr="000A3C73">
        <w:t xml:space="preserve"> be progress toward </w:t>
      </w:r>
      <w:r w:rsidR="00E179DA" w:rsidRPr="000A3C73">
        <w:t xml:space="preserve">implementation of integrated ecosystem management in the region. Though it was anticipated that some impact-level results might be produced through the demonstration activities planned in each of the three countries, large-scale ecosystem or watershed level impacts due to project contributions would not be expected in such a large system within five years of project implementation start, considering the time necessary to </w:t>
      </w:r>
      <w:r w:rsidR="0024232F" w:rsidRPr="000A3C73">
        <w:t xml:space="preserve">actually undertake activities. In fact, in the Macedonia national component, the project contributed to the </w:t>
      </w:r>
      <w:r w:rsidR="0024232F" w:rsidRPr="000A3C73">
        <w:rPr>
          <w:i/>
          <w:u w:val="single"/>
        </w:rPr>
        <w:t>development</w:t>
      </w:r>
      <w:r w:rsidR="0024232F" w:rsidRPr="000A3C73">
        <w:t xml:space="preserve"> of the watershed management plan for Macedonian Prespa, and that plan is now being </w:t>
      </w:r>
      <w:r w:rsidR="0024232F" w:rsidRPr="000A3C73">
        <w:rPr>
          <w:i/>
          <w:u w:val="single"/>
        </w:rPr>
        <w:t>implemented</w:t>
      </w:r>
      <w:r w:rsidR="0024232F" w:rsidRPr="000A3C73">
        <w:t xml:space="preserve"> in the follow-up project supported by the Swiss Development Corporation. </w:t>
      </w:r>
    </w:p>
    <w:p w:rsidR="00B41E00" w:rsidRPr="000A3C73" w:rsidRDefault="006C758C" w:rsidP="00B41E00">
      <w:pPr>
        <w:pStyle w:val="Heading2"/>
        <w:ind w:left="1080" w:hanging="360"/>
      </w:pPr>
      <w:bookmarkStart w:id="38" w:name="_Ref199309733"/>
      <w:bookmarkStart w:id="39" w:name="_Toc238551059"/>
      <w:r w:rsidRPr="000A3C73">
        <w:t>Prespa IEM</w:t>
      </w:r>
      <w:r w:rsidR="00832265" w:rsidRPr="000A3C73">
        <w:t xml:space="preserve"> </w:t>
      </w:r>
      <w:r w:rsidR="00B41E00" w:rsidRPr="000A3C73">
        <w:t>Project Implementation Approach</w:t>
      </w:r>
      <w:bookmarkEnd w:id="31"/>
      <w:bookmarkEnd w:id="32"/>
      <w:bookmarkEnd w:id="38"/>
      <w:bookmarkEnd w:id="39"/>
    </w:p>
    <w:p w:rsidR="00FC1DAD" w:rsidRPr="000126EE" w:rsidRDefault="001845BC" w:rsidP="00292F27">
      <w:pPr>
        <w:pStyle w:val="BodyText"/>
      </w:pPr>
      <w:r w:rsidRPr="000A3C73">
        <w:t xml:space="preserve">The project </w:t>
      </w:r>
      <w:r w:rsidR="00D16F3C" w:rsidRPr="000A3C73">
        <w:t>was</w:t>
      </w:r>
      <w:r w:rsidRPr="000A3C73">
        <w:t xml:space="preserve"> implemented under </w:t>
      </w:r>
      <w:r w:rsidR="00D15F24" w:rsidRPr="000A3C73">
        <w:t xml:space="preserve">both the UNDP NEX and DEX approach, with the MK and AL national components implemented under the NEX approach, and the transboundary component implemented under the DEX approach. </w:t>
      </w:r>
      <w:r w:rsidR="00920349" w:rsidRPr="000A3C73">
        <w:t xml:space="preserve">A diagram of the execution arrangements is shown in </w:t>
      </w:r>
      <w:r w:rsidR="008269C6" w:rsidRPr="00D77DF1">
        <w:fldChar w:fldCharType="begin"/>
      </w:r>
      <w:r w:rsidR="00920349" w:rsidRPr="000A3C73">
        <w:instrText xml:space="preserve"> REF _Ref196910025 \h </w:instrText>
      </w:r>
      <w:r w:rsidR="008269C6" w:rsidRPr="00D77DF1">
        <w:fldChar w:fldCharType="separate"/>
      </w:r>
      <w:r w:rsidR="006E18A7" w:rsidRPr="00D77DF1">
        <w:t xml:space="preserve">Figure </w:t>
      </w:r>
      <w:r w:rsidR="006E18A7" w:rsidRPr="00CD42DE">
        <w:rPr>
          <w:noProof/>
        </w:rPr>
        <w:t>2</w:t>
      </w:r>
      <w:r w:rsidR="008269C6" w:rsidRPr="00D77DF1">
        <w:fldChar w:fldCharType="end"/>
      </w:r>
      <w:r w:rsidR="007E0B24">
        <w:t xml:space="preserve"> </w:t>
      </w:r>
      <w:r w:rsidR="00920349" w:rsidRPr="00FC657B">
        <w:t xml:space="preserve">below. </w:t>
      </w:r>
      <w:r w:rsidR="003F2A0E" w:rsidRPr="00D77DF1">
        <w:t xml:space="preserve">In AL the national executing agency was the </w:t>
      </w:r>
      <w:r w:rsidR="003F2A0E" w:rsidRPr="00CD42DE">
        <w:t xml:space="preserve">Ministry of Environment, Forestry and Water Administration; in MK the national executing agency was the Ministry of Environment and Physical Planning. </w:t>
      </w:r>
      <w:r w:rsidR="00DB48A6" w:rsidRPr="00CD42DE">
        <w:t>As wi</w:t>
      </w:r>
      <w:r w:rsidR="00DB48A6" w:rsidRPr="00AA7D1F">
        <w:t>th many NEX projects, the government agencies involved were not the ones actually carrying out the project activities. In Albania a project office with staff contracted through UNDP was based in an office in Tirana separate from both the UNDP and governmen</w:t>
      </w:r>
      <w:r w:rsidR="00DB48A6" w:rsidRPr="005E69C8">
        <w:t>t o</w:t>
      </w:r>
      <w:r w:rsidR="00DB48A6" w:rsidRPr="00850A96">
        <w:t xml:space="preserve">ffices. The project team included a project liaison officer based in </w:t>
      </w:r>
      <w:r w:rsidR="00BD3DD2" w:rsidRPr="00BD3DD2">
        <w:t>Korça</w:t>
      </w:r>
      <w:r w:rsidR="00DB48A6" w:rsidRPr="00850A96">
        <w:t>, outside but only a short drive from the AL Prespa region; there are only small villages within the AL Prespa region. In MK, the project team was also contracted by UNDP, and the pr</w:t>
      </w:r>
      <w:r w:rsidR="00DB48A6" w:rsidRPr="008B7E9A">
        <w:t>oject office was located in the municipal offices of the Macedonian town of Resen, the largest population center within t</w:t>
      </w:r>
      <w:r w:rsidR="00AF4DB8" w:rsidRPr="000126EE">
        <w:t xml:space="preserve">he full Prespa watershed. The MK component also had at least one </w:t>
      </w:r>
      <w:r w:rsidR="00D605F8">
        <w:t xml:space="preserve">full-time </w:t>
      </w:r>
      <w:r w:rsidR="00AF4DB8" w:rsidRPr="000126EE">
        <w:t xml:space="preserve">staff member based at the </w:t>
      </w:r>
      <w:r w:rsidR="00D605F8">
        <w:t>project offices of the MoEPP</w:t>
      </w:r>
      <w:r w:rsidR="00AF4DB8" w:rsidRPr="000126EE">
        <w:t xml:space="preserve"> in Skopje for a portion of the </w:t>
      </w:r>
      <w:r w:rsidR="00D605F8">
        <w:t>project implementation period</w:t>
      </w:r>
      <w:r w:rsidR="00AF4DB8" w:rsidRPr="00FC657B">
        <w:t>, and the UNDP</w:t>
      </w:r>
      <w:r w:rsidR="00D605F8">
        <w:t>-MK</w:t>
      </w:r>
      <w:r w:rsidR="00AF4DB8" w:rsidRPr="00FC657B">
        <w:t xml:space="preserve"> communications specialist supporting the </w:t>
      </w:r>
      <w:r w:rsidR="00D605F8">
        <w:t>MK and transboundary project activities</w:t>
      </w:r>
      <w:r w:rsidR="00D605F8" w:rsidRPr="00FC657B">
        <w:t xml:space="preserve"> </w:t>
      </w:r>
      <w:r w:rsidR="00AF4DB8" w:rsidRPr="00FC657B">
        <w:t>was also based on Skopje.</w:t>
      </w:r>
      <w:r w:rsidR="00D605F8">
        <w:t xml:space="preserve"> The </w:t>
      </w:r>
      <w:r w:rsidR="007E0B24">
        <w:t>UNDP-AL communication staff in Tirana supported the project activities in Albania</w:t>
      </w:r>
      <w:r w:rsidR="00D605F8">
        <w:t>.</w:t>
      </w:r>
      <w:r w:rsidR="00D16F3C" w:rsidRPr="00D77DF1">
        <w:t xml:space="preserve"> The t</w:t>
      </w:r>
      <w:r w:rsidR="00DB48A6" w:rsidRPr="00CD42DE">
        <w:t xml:space="preserve">ransboundary project team consisted of the ITA (when there was one in place) and a project assistant; the transboundary team shared offices with the Macedonian national component in the Resen municipal building. </w:t>
      </w:r>
      <w:r w:rsidR="00643421" w:rsidRPr="00AA7D1F">
        <w:t>There was no project team or implementation unit in Greece that was comparable to those of the national components in AL and MK, but the NGO SPP continued to play an active role, and the Greek Pres</w:t>
      </w:r>
      <w:r w:rsidR="00643421" w:rsidRPr="005E69C8">
        <w:t xml:space="preserve">pa </w:t>
      </w:r>
      <w:r w:rsidR="00643421" w:rsidRPr="00850A96">
        <w:t>National Park served as the go</w:t>
      </w:r>
      <w:r w:rsidR="00896069" w:rsidRPr="008B7E9A">
        <w:t xml:space="preserve">vernment’s project focal point in the region, while the Greek Ministry of Environment was the national counterpart. </w:t>
      </w:r>
    </w:p>
    <w:p w:rsidR="00797024" w:rsidRPr="000A3C73" w:rsidRDefault="00797024" w:rsidP="00797024">
      <w:pPr>
        <w:pStyle w:val="Caption"/>
        <w:jc w:val="both"/>
      </w:pPr>
      <w:bookmarkStart w:id="40" w:name="_Ref196910025"/>
      <w:r w:rsidRPr="000126EE">
        <w:lastRenderedPageBreak/>
        <w:t xml:space="preserve">Figure </w:t>
      </w:r>
      <w:r w:rsidR="008269C6" w:rsidRPr="00F92C45">
        <w:fldChar w:fldCharType="begin"/>
      </w:r>
      <w:r w:rsidR="00CF23E9" w:rsidRPr="000A3C73">
        <w:instrText xml:space="preserve"> SEQ Figure \* ARABIC </w:instrText>
      </w:r>
      <w:r w:rsidR="008269C6" w:rsidRPr="00F92C45">
        <w:fldChar w:fldCharType="separate"/>
      </w:r>
      <w:r w:rsidR="006E18A7" w:rsidRPr="000A3C73">
        <w:rPr>
          <w:noProof/>
        </w:rPr>
        <w:t>2</w:t>
      </w:r>
      <w:r w:rsidR="008269C6" w:rsidRPr="00F92C45">
        <w:rPr>
          <w:noProof/>
        </w:rPr>
        <w:fldChar w:fldCharType="end"/>
      </w:r>
      <w:bookmarkEnd w:id="40"/>
      <w:r w:rsidR="006C758C" w:rsidRPr="000A3C73">
        <w:t>Prespa IEM</w:t>
      </w:r>
      <w:r w:rsidRPr="000A3C73">
        <w:t xml:space="preserve"> Project Implementation Arrangements</w:t>
      </w:r>
    </w:p>
    <w:p w:rsidR="00797024" w:rsidRPr="00CD42DE" w:rsidRDefault="00B93476" w:rsidP="00797024">
      <w:pPr>
        <w:pStyle w:val="BodyText"/>
        <w:numPr>
          <w:ilvl w:val="0"/>
          <w:numId w:val="0"/>
        </w:numPr>
        <w:rPr>
          <w:i/>
          <w:sz w:val="20"/>
          <w:szCs w:val="20"/>
        </w:rPr>
      </w:pPr>
      <w:r w:rsidRPr="00FC657B">
        <w:rPr>
          <w:noProof/>
        </w:rPr>
        <w:drawing>
          <wp:inline distT="0" distB="0" distL="0" distR="0">
            <wp:extent cx="5940425" cy="4432935"/>
            <wp:effectExtent l="0" t="0" r="3175" b="1206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940425" cy="4432935"/>
                    </a:xfrm>
                    <a:prstGeom prst="rect">
                      <a:avLst/>
                    </a:prstGeom>
                    <a:noFill/>
                    <a:ln>
                      <a:noFill/>
                    </a:ln>
                  </pic:spPr>
                </pic:pic>
              </a:graphicData>
            </a:graphic>
          </wp:inline>
        </w:drawing>
      </w:r>
      <w:r w:rsidR="00797024" w:rsidRPr="00FC657B">
        <w:rPr>
          <w:i/>
          <w:sz w:val="20"/>
          <w:szCs w:val="20"/>
        </w:rPr>
        <w:t xml:space="preserve">Source: </w:t>
      </w:r>
      <w:r w:rsidR="002971B2" w:rsidRPr="00D77DF1">
        <w:rPr>
          <w:i/>
          <w:sz w:val="20"/>
          <w:szCs w:val="20"/>
        </w:rPr>
        <w:t>Project Document</w:t>
      </w:r>
    </w:p>
    <w:p w:rsidR="00301CFD" w:rsidRPr="00FC657B" w:rsidRDefault="00301CFD" w:rsidP="00301CFD">
      <w:pPr>
        <w:pStyle w:val="BodyText"/>
      </w:pPr>
      <w:r w:rsidRPr="00CD42DE">
        <w:t xml:space="preserve">As outlined in the project document and the project inception report, the transboundary component was overseen by a Project Oversight Committee (POC), a function which was fulfilled in actuality by the already-standing </w:t>
      </w:r>
      <w:r w:rsidR="00572FEB">
        <w:t>PPCC</w:t>
      </w:r>
      <w:r w:rsidRPr="00AA7D1F">
        <w:t>. The POC’s detailed TORs were outlined in the project document, and, according to the transboundary inception report, the POC was to meet annually</w:t>
      </w:r>
      <w:r w:rsidRPr="00FC657B">
        <w:rPr>
          <w:rStyle w:val="FootnoteReference"/>
        </w:rPr>
        <w:footnoteReference w:id="6"/>
      </w:r>
      <w:r w:rsidRPr="00FC657B">
        <w:t xml:space="preserve"> and had three main responsibilities: </w:t>
      </w:r>
    </w:p>
    <w:p w:rsidR="00301CFD" w:rsidRPr="0089284E" w:rsidRDefault="00301CFD" w:rsidP="000A0F25">
      <w:pPr>
        <w:pStyle w:val="BodyText"/>
        <w:numPr>
          <w:ilvl w:val="0"/>
          <w:numId w:val="20"/>
        </w:numPr>
      </w:pPr>
      <w:r w:rsidRPr="0089284E">
        <w:rPr>
          <w:szCs w:val="21"/>
        </w:rPr>
        <w:t>T</w:t>
      </w:r>
      <w:r w:rsidRPr="0089284E">
        <w:t>he POC will serve as a forum for stakeholder input and discussion;</w:t>
      </w:r>
    </w:p>
    <w:p w:rsidR="00301CFD" w:rsidRPr="0089284E" w:rsidRDefault="00301CFD" w:rsidP="000A0F25">
      <w:pPr>
        <w:pStyle w:val="BodyText"/>
        <w:numPr>
          <w:ilvl w:val="0"/>
          <w:numId w:val="20"/>
        </w:numPr>
      </w:pPr>
      <w:r w:rsidRPr="0089284E">
        <w:rPr>
          <w:szCs w:val="21"/>
        </w:rPr>
        <w:t>T</w:t>
      </w:r>
      <w:r w:rsidRPr="0089284E">
        <w:t xml:space="preserve">he POC will oversee project implementation and meet on a semi-annual basis to review project progress, and provide input to the finalization of annual project work plans; </w:t>
      </w:r>
    </w:p>
    <w:p w:rsidR="00301CFD" w:rsidRPr="0089284E" w:rsidRDefault="00301CFD" w:rsidP="000A0F25">
      <w:pPr>
        <w:pStyle w:val="BodyText"/>
        <w:numPr>
          <w:ilvl w:val="0"/>
          <w:numId w:val="20"/>
        </w:numPr>
      </w:pPr>
      <w:r w:rsidRPr="0089284E">
        <w:t xml:space="preserve">POC members will facilitate the implementation of project activities in their respective organizations, ensure that cooperative activities are implemented in a timely manner, and facilitate the integration of project-inspired activities into existing programs and practices. </w:t>
      </w:r>
    </w:p>
    <w:p w:rsidR="00301CFD" w:rsidRPr="002C744B" w:rsidRDefault="00301CFD" w:rsidP="00301CFD">
      <w:pPr>
        <w:pStyle w:val="BodyText"/>
      </w:pPr>
      <w:r w:rsidRPr="00FC657B">
        <w:lastRenderedPageBreak/>
        <w:t xml:space="preserve">There were a number of practical implications for the PPCC based on the TORs provided in the project document however, and many administrative issues requiring clarification were outlined in Annex 6 of the transboundary inception report. UNDP and the ITA clarified the issues and functioning of the </w:t>
      </w:r>
      <w:r w:rsidRPr="00D77DF1">
        <w:t>PPCC as the POC at the second (“1</w:t>
      </w:r>
      <w:r w:rsidRPr="00CD42DE">
        <w:rPr>
          <w:vertAlign w:val="superscript"/>
        </w:rPr>
        <w:t>st</w:t>
      </w:r>
      <w:r w:rsidRPr="00CD42DE">
        <w:t xml:space="preserve"> Regular”) POC meeting on March 7</w:t>
      </w:r>
      <w:r w:rsidRPr="00AA7D1F">
        <w:rPr>
          <w:vertAlign w:val="superscript"/>
        </w:rPr>
        <w:t>th</w:t>
      </w:r>
      <w:r w:rsidRPr="005E69C8">
        <w:t>, 2008, where a revised TOR for the POC was approved. The PPCC membership consisted of 15 nominated individuals from each of the three countries. POC meetings were held annually, although on multiple occasi</w:t>
      </w:r>
      <w:r w:rsidRPr="00850A96">
        <w:t>ons the attending members were limited to six to nine representatives from a few key stakeholder organizations (i.e. not the full 15</w:t>
      </w:r>
      <w:r w:rsidRPr="000126EE">
        <w:t xml:space="preserve"> person PPCC delegation from each of the countries), with additional participation from the Prespa project staff (including</w:t>
      </w:r>
      <w:r w:rsidRPr="00B71D27">
        <w:t xml:space="preserve"> national component staff)</w:t>
      </w:r>
      <w:r w:rsidR="00911F33" w:rsidRPr="00595792">
        <w:t xml:space="preserve">, UNDP </w:t>
      </w:r>
      <w:r w:rsidR="007E0B24">
        <w:t>p</w:t>
      </w:r>
      <w:r w:rsidR="00911F33" w:rsidRPr="00595792">
        <w:t xml:space="preserve">rogram </w:t>
      </w:r>
      <w:r w:rsidR="007E0B24">
        <w:t>s</w:t>
      </w:r>
      <w:r w:rsidR="00911F33" w:rsidRPr="00595792">
        <w:t>taff</w:t>
      </w:r>
      <w:r w:rsidRPr="00602E30">
        <w:t xml:space="preserve"> an</w:t>
      </w:r>
      <w:r w:rsidRPr="002A69B7">
        <w:t>d observers. The POC functioned well in its oversight and decision-making responsibilit</w:t>
      </w:r>
      <w:r w:rsidRPr="002C744B">
        <w:t xml:space="preserve">ies, but the limited participation did not facilitate the building of stakeholder ownership as originally envisioned and intended. </w:t>
      </w:r>
    </w:p>
    <w:p w:rsidR="00301CFD" w:rsidRPr="002D3949" w:rsidRDefault="00301CFD" w:rsidP="00301CFD">
      <w:pPr>
        <w:pStyle w:val="BodyText"/>
      </w:pPr>
      <w:r w:rsidRPr="00C56966">
        <w:t xml:space="preserve">Both the AL and MK national components also had </w:t>
      </w:r>
      <w:r w:rsidRPr="002D3949">
        <w:t xml:space="preserve">Project Boards made up of national representatives overseeing their activities and supporting project implementation decision-making. </w:t>
      </w:r>
    </w:p>
    <w:p w:rsidR="00301CFD" w:rsidRPr="000A3C73" w:rsidRDefault="008269C6" w:rsidP="00301CFD">
      <w:pPr>
        <w:pStyle w:val="BodyText"/>
      </w:pPr>
      <w:r w:rsidRPr="00206E7A">
        <w:fldChar w:fldCharType="begin"/>
      </w:r>
      <w:r w:rsidR="00301CFD" w:rsidRPr="000A3C73">
        <w:instrText xml:space="preserve"> REF _Ref207706462 \h </w:instrText>
      </w:r>
      <w:r w:rsidRPr="00206E7A">
        <w:fldChar w:fldCharType="separate"/>
      </w:r>
      <w:r w:rsidR="006E18A7" w:rsidRPr="000A3C73">
        <w:t xml:space="preserve">Table </w:t>
      </w:r>
      <w:r w:rsidR="006E18A7" w:rsidRPr="000A3C73">
        <w:rPr>
          <w:noProof/>
        </w:rPr>
        <w:t>3</w:t>
      </w:r>
      <w:r w:rsidRPr="00206E7A">
        <w:fldChar w:fldCharType="end"/>
      </w:r>
      <w:r w:rsidR="00301CFD" w:rsidRPr="000A3C73">
        <w:t xml:space="preserve"> below highlights the organizations and institutions participating in the respective POC and project board meetings. </w:t>
      </w:r>
    </w:p>
    <w:p w:rsidR="00301CFD" w:rsidRPr="000A3C73" w:rsidRDefault="00301CFD" w:rsidP="00301CFD">
      <w:pPr>
        <w:pStyle w:val="Caption"/>
      </w:pPr>
      <w:bookmarkStart w:id="41" w:name="_Ref207706462"/>
      <w:r w:rsidRPr="000A3C73">
        <w:t xml:space="preserve">Table </w:t>
      </w:r>
      <w:r w:rsidR="008269C6" w:rsidRPr="00552EEF">
        <w:fldChar w:fldCharType="begin"/>
      </w:r>
      <w:r w:rsidR="00CF23E9" w:rsidRPr="000A3C73">
        <w:instrText xml:space="preserve"> SEQ Table \* ARABIC </w:instrText>
      </w:r>
      <w:r w:rsidR="008269C6" w:rsidRPr="00552EEF">
        <w:fldChar w:fldCharType="separate"/>
      </w:r>
      <w:r w:rsidR="006E18A7" w:rsidRPr="000A3C73">
        <w:rPr>
          <w:noProof/>
        </w:rPr>
        <w:t>3</w:t>
      </w:r>
      <w:r w:rsidR="008269C6" w:rsidRPr="00552EEF">
        <w:rPr>
          <w:noProof/>
        </w:rPr>
        <w:fldChar w:fldCharType="end"/>
      </w:r>
      <w:bookmarkEnd w:id="41"/>
      <w:r w:rsidRPr="000A3C73">
        <w:t xml:space="preserve"> Prespa Project Oversight Bodies</w:t>
      </w:r>
    </w:p>
    <w:tbl>
      <w:tblPr>
        <w:tblStyle w:val="TableGrid"/>
        <w:tblW w:w="0" w:type="auto"/>
        <w:tblLook w:val="04A0"/>
      </w:tblPr>
      <w:tblGrid>
        <w:gridCol w:w="3888"/>
        <w:gridCol w:w="2970"/>
        <w:gridCol w:w="2718"/>
      </w:tblGrid>
      <w:tr w:rsidR="00301CFD" w:rsidRPr="000A3C73" w:rsidTr="00E179DA">
        <w:tc>
          <w:tcPr>
            <w:tcW w:w="3888" w:type="dxa"/>
          </w:tcPr>
          <w:p w:rsidR="00301CFD" w:rsidRPr="000A3C73" w:rsidRDefault="00301CFD" w:rsidP="00E179DA">
            <w:pPr>
              <w:pStyle w:val="BodyText"/>
              <w:numPr>
                <w:ilvl w:val="0"/>
                <w:numId w:val="0"/>
              </w:numPr>
              <w:rPr>
                <w:b/>
                <w:sz w:val="20"/>
              </w:rPr>
            </w:pPr>
            <w:r w:rsidRPr="000A3C73">
              <w:rPr>
                <w:b/>
                <w:sz w:val="20"/>
              </w:rPr>
              <w:t>Transboundary Project Oversight Committee</w:t>
            </w:r>
          </w:p>
        </w:tc>
        <w:tc>
          <w:tcPr>
            <w:tcW w:w="2970" w:type="dxa"/>
          </w:tcPr>
          <w:p w:rsidR="00301CFD" w:rsidRPr="000A3C73" w:rsidRDefault="00301CFD" w:rsidP="00E179DA">
            <w:pPr>
              <w:pStyle w:val="BodyText"/>
              <w:numPr>
                <w:ilvl w:val="0"/>
                <w:numId w:val="0"/>
              </w:numPr>
              <w:rPr>
                <w:b/>
                <w:sz w:val="20"/>
              </w:rPr>
            </w:pPr>
            <w:r w:rsidRPr="000A3C73">
              <w:rPr>
                <w:b/>
                <w:sz w:val="20"/>
              </w:rPr>
              <w:t>Albania Project Board</w:t>
            </w:r>
          </w:p>
        </w:tc>
        <w:tc>
          <w:tcPr>
            <w:tcW w:w="2718" w:type="dxa"/>
          </w:tcPr>
          <w:p w:rsidR="00301CFD" w:rsidRPr="000A3C73" w:rsidRDefault="00301CFD" w:rsidP="00E179DA">
            <w:pPr>
              <w:pStyle w:val="BodyText"/>
              <w:numPr>
                <w:ilvl w:val="0"/>
                <w:numId w:val="0"/>
              </w:numPr>
              <w:rPr>
                <w:b/>
                <w:sz w:val="20"/>
              </w:rPr>
            </w:pPr>
            <w:r w:rsidRPr="000A3C73">
              <w:rPr>
                <w:b/>
                <w:sz w:val="20"/>
              </w:rPr>
              <w:t>Macedonia Project Board</w:t>
            </w:r>
          </w:p>
        </w:tc>
      </w:tr>
      <w:tr w:rsidR="00301CFD" w:rsidRPr="000A3C73" w:rsidTr="00E179DA">
        <w:tc>
          <w:tcPr>
            <w:tcW w:w="3888" w:type="dxa"/>
          </w:tcPr>
          <w:p w:rsidR="00301CFD" w:rsidRPr="000A3C73" w:rsidRDefault="00301CFD" w:rsidP="000A0F25">
            <w:pPr>
              <w:pStyle w:val="BodyText"/>
              <w:numPr>
                <w:ilvl w:val="0"/>
                <w:numId w:val="21"/>
              </w:numPr>
              <w:rPr>
                <w:sz w:val="20"/>
              </w:rPr>
            </w:pPr>
            <w:r w:rsidRPr="000A3C73">
              <w:rPr>
                <w:sz w:val="20"/>
              </w:rPr>
              <w:t>Ministry of Environment, Forests and Water Administration (Albania)</w:t>
            </w:r>
          </w:p>
          <w:p w:rsidR="00301CFD" w:rsidRPr="000A3C73" w:rsidRDefault="00301CFD" w:rsidP="000A0F25">
            <w:pPr>
              <w:pStyle w:val="BodyText"/>
              <w:numPr>
                <w:ilvl w:val="0"/>
                <w:numId w:val="21"/>
              </w:numPr>
              <w:rPr>
                <w:sz w:val="20"/>
              </w:rPr>
            </w:pPr>
            <w:r w:rsidRPr="000A3C73">
              <w:rPr>
                <w:sz w:val="20"/>
              </w:rPr>
              <w:t>Ministry of Environment and Physical Planning (Macedonia)</w:t>
            </w:r>
          </w:p>
          <w:p w:rsidR="00301CFD" w:rsidRPr="000A3C73" w:rsidRDefault="00301CFD" w:rsidP="000A0F25">
            <w:pPr>
              <w:pStyle w:val="BodyText"/>
              <w:numPr>
                <w:ilvl w:val="0"/>
                <w:numId w:val="21"/>
              </w:numPr>
              <w:rPr>
                <w:sz w:val="20"/>
              </w:rPr>
            </w:pPr>
            <w:r w:rsidRPr="000A3C73">
              <w:rPr>
                <w:sz w:val="20"/>
              </w:rPr>
              <w:t>Ministry of Environment, Physical Planning, and Public Works (Greece)</w:t>
            </w:r>
          </w:p>
          <w:p w:rsidR="00301CFD" w:rsidRPr="000A3C73" w:rsidRDefault="00301CFD" w:rsidP="000A0F25">
            <w:pPr>
              <w:pStyle w:val="BodyText"/>
              <w:numPr>
                <w:ilvl w:val="0"/>
                <w:numId w:val="21"/>
              </w:numPr>
              <w:rPr>
                <w:sz w:val="20"/>
              </w:rPr>
            </w:pPr>
            <w:r w:rsidRPr="000A3C73">
              <w:rPr>
                <w:sz w:val="20"/>
              </w:rPr>
              <w:t>Society for the Protection of Prespa</w:t>
            </w:r>
          </w:p>
          <w:p w:rsidR="00301CFD" w:rsidRPr="000A3C73" w:rsidRDefault="00301CFD" w:rsidP="000A0F25">
            <w:pPr>
              <w:pStyle w:val="BodyText"/>
              <w:numPr>
                <w:ilvl w:val="0"/>
                <w:numId w:val="21"/>
              </w:numPr>
              <w:rPr>
                <w:sz w:val="20"/>
              </w:rPr>
            </w:pPr>
            <w:r w:rsidRPr="000A3C73">
              <w:rPr>
                <w:sz w:val="20"/>
              </w:rPr>
              <w:t>NGO Coalition for Prosperous Prespa</w:t>
            </w:r>
          </w:p>
          <w:p w:rsidR="00301CFD" w:rsidRPr="000A3C73" w:rsidRDefault="00301CFD" w:rsidP="000A0F25">
            <w:pPr>
              <w:pStyle w:val="BodyText"/>
              <w:numPr>
                <w:ilvl w:val="0"/>
                <w:numId w:val="21"/>
              </w:numPr>
              <w:rPr>
                <w:sz w:val="20"/>
              </w:rPr>
            </w:pPr>
            <w:r w:rsidRPr="000A3C73">
              <w:rPr>
                <w:sz w:val="20"/>
              </w:rPr>
              <w:t>MedWet</w:t>
            </w:r>
          </w:p>
          <w:p w:rsidR="00301CFD" w:rsidRPr="000A3C73" w:rsidRDefault="00301CFD" w:rsidP="000A0F25">
            <w:pPr>
              <w:pStyle w:val="BodyText"/>
              <w:numPr>
                <w:ilvl w:val="0"/>
                <w:numId w:val="21"/>
              </w:numPr>
              <w:rPr>
                <w:sz w:val="20"/>
              </w:rPr>
            </w:pPr>
            <w:r w:rsidRPr="000A3C73">
              <w:rPr>
                <w:sz w:val="20"/>
              </w:rPr>
              <w:t>UNDP Albania Country Office</w:t>
            </w:r>
          </w:p>
          <w:p w:rsidR="00301CFD" w:rsidRPr="000A3C73" w:rsidRDefault="00301CFD" w:rsidP="000A0F25">
            <w:pPr>
              <w:pStyle w:val="BodyText"/>
              <w:numPr>
                <w:ilvl w:val="0"/>
                <w:numId w:val="21"/>
              </w:numPr>
              <w:rPr>
                <w:sz w:val="20"/>
              </w:rPr>
            </w:pPr>
            <w:r w:rsidRPr="000A3C73">
              <w:rPr>
                <w:sz w:val="20"/>
              </w:rPr>
              <w:t>UNDP Macedonia Country Office</w:t>
            </w:r>
          </w:p>
          <w:p w:rsidR="00301CFD" w:rsidRPr="000A3C73" w:rsidRDefault="00301CFD" w:rsidP="000A0F25">
            <w:pPr>
              <w:pStyle w:val="BodyText"/>
              <w:numPr>
                <w:ilvl w:val="0"/>
                <w:numId w:val="21"/>
              </w:numPr>
              <w:rPr>
                <w:sz w:val="20"/>
              </w:rPr>
            </w:pPr>
            <w:r w:rsidRPr="000A3C73">
              <w:rPr>
                <w:sz w:val="20"/>
              </w:rPr>
              <w:t>Municipality of Resen</w:t>
            </w:r>
          </w:p>
          <w:p w:rsidR="00301CFD" w:rsidRPr="000A3C73" w:rsidRDefault="00301CFD" w:rsidP="000A0F25">
            <w:pPr>
              <w:pStyle w:val="BodyText"/>
              <w:numPr>
                <w:ilvl w:val="0"/>
                <w:numId w:val="21"/>
              </w:numPr>
              <w:rPr>
                <w:sz w:val="20"/>
              </w:rPr>
            </w:pPr>
            <w:r w:rsidRPr="000A3C73">
              <w:rPr>
                <w:sz w:val="20"/>
              </w:rPr>
              <w:t>Municipality of Lemos (Greek Prespa)</w:t>
            </w:r>
          </w:p>
          <w:p w:rsidR="00301CFD" w:rsidRPr="000A3C73" w:rsidRDefault="00301CFD" w:rsidP="000A0F25">
            <w:pPr>
              <w:pStyle w:val="BodyText"/>
              <w:numPr>
                <w:ilvl w:val="0"/>
                <w:numId w:val="21"/>
              </w:numPr>
              <w:rPr>
                <w:sz w:val="20"/>
              </w:rPr>
            </w:pPr>
            <w:r w:rsidRPr="000A3C73">
              <w:rPr>
                <w:sz w:val="20"/>
              </w:rPr>
              <w:t>Municipality of Liqenas (Albania)</w:t>
            </w:r>
          </w:p>
          <w:p w:rsidR="00301CFD" w:rsidRPr="000A3C73" w:rsidRDefault="00301CFD" w:rsidP="000A0F25">
            <w:pPr>
              <w:pStyle w:val="BodyText"/>
              <w:numPr>
                <w:ilvl w:val="0"/>
                <w:numId w:val="21"/>
              </w:numPr>
              <w:rPr>
                <w:sz w:val="20"/>
              </w:rPr>
            </w:pPr>
            <w:r w:rsidRPr="000A3C73">
              <w:rPr>
                <w:sz w:val="20"/>
              </w:rPr>
              <w:t>Albanian Institute of Nature Protection</w:t>
            </w:r>
          </w:p>
        </w:tc>
        <w:tc>
          <w:tcPr>
            <w:tcW w:w="2970" w:type="dxa"/>
          </w:tcPr>
          <w:p w:rsidR="00301CFD" w:rsidRPr="000A3C73" w:rsidRDefault="00301CFD" w:rsidP="000A0F25">
            <w:pPr>
              <w:pStyle w:val="BodyText"/>
              <w:numPr>
                <w:ilvl w:val="0"/>
                <w:numId w:val="21"/>
              </w:numPr>
              <w:rPr>
                <w:sz w:val="20"/>
              </w:rPr>
            </w:pPr>
            <w:r w:rsidRPr="000A3C73">
              <w:rPr>
                <w:sz w:val="20"/>
              </w:rPr>
              <w:t>National Project Director, Ministry of Environment, Forests and Water Administration</w:t>
            </w:r>
          </w:p>
          <w:p w:rsidR="00301CFD" w:rsidRPr="000A3C73" w:rsidRDefault="00301CFD" w:rsidP="000A0F25">
            <w:pPr>
              <w:pStyle w:val="BodyText"/>
              <w:numPr>
                <w:ilvl w:val="0"/>
                <w:numId w:val="21"/>
              </w:numPr>
              <w:rPr>
                <w:sz w:val="20"/>
              </w:rPr>
            </w:pPr>
            <w:r w:rsidRPr="000A3C73">
              <w:rPr>
                <w:sz w:val="20"/>
              </w:rPr>
              <w:t>Albania Prespa Park Director</w:t>
            </w:r>
          </w:p>
          <w:p w:rsidR="00301CFD" w:rsidRPr="000A3C73" w:rsidRDefault="00301CFD" w:rsidP="000A0F25">
            <w:pPr>
              <w:pStyle w:val="BodyText"/>
              <w:numPr>
                <w:ilvl w:val="0"/>
                <w:numId w:val="21"/>
              </w:numPr>
              <w:rPr>
                <w:sz w:val="20"/>
              </w:rPr>
            </w:pPr>
            <w:r w:rsidRPr="000A3C73">
              <w:rPr>
                <w:sz w:val="20"/>
              </w:rPr>
              <w:t>Head of Liqenas Commune</w:t>
            </w:r>
          </w:p>
          <w:p w:rsidR="00301CFD" w:rsidRPr="000A3C73" w:rsidRDefault="00301CFD" w:rsidP="000A0F25">
            <w:pPr>
              <w:pStyle w:val="BodyText"/>
              <w:numPr>
                <w:ilvl w:val="0"/>
                <w:numId w:val="21"/>
              </w:numPr>
              <w:rPr>
                <w:sz w:val="20"/>
              </w:rPr>
            </w:pPr>
            <w:r w:rsidRPr="000A3C73">
              <w:rPr>
                <w:sz w:val="20"/>
              </w:rPr>
              <w:t>Head of Proger Commune</w:t>
            </w:r>
          </w:p>
          <w:p w:rsidR="00301CFD" w:rsidRPr="000A3C73" w:rsidRDefault="00301CFD" w:rsidP="000A0F25">
            <w:pPr>
              <w:pStyle w:val="BodyText"/>
              <w:numPr>
                <w:ilvl w:val="0"/>
                <w:numId w:val="21"/>
              </w:numPr>
              <w:rPr>
                <w:sz w:val="20"/>
              </w:rPr>
            </w:pPr>
            <w:r w:rsidRPr="000A3C73">
              <w:rPr>
                <w:sz w:val="20"/>
              </w:rPr>
              <w:t>UNDP Albania Country Office</w:t>
            </w:r>
          </w:p>
        </w:tc>
        <w:tc>
          <w:tcPr>
            <w:tcW w:w="2718" w:type="dxa"/>
          </w:tcPr>
          <w:p w:rsidR="00301CFD" w:rsidRPr="000A3C73" w:rsidRDefault="00301CFD" w:rsidP="000A0F25">
            <w:pPr>
              <w:pStyle w:val="BodyText"/>
              <w:numPr>
                <w:ilvl w:val="0"/>
                <w:numId w:val="21"/>
              </w:numPr>
              <w:rPr>
                <w:sz w:val="20"/>
              </w:rPr>
            </w:pPr>
            <w:r w:rsidRPr="000A3C73">
              <w:rPr>
                <w:sz w:val="20"/>
              </w:rPr>
              <w:t>National Project Director, Ministry of Environment and Physical Planning</w:t>
            </w:r>
          </w:p>
          <w:p w:rsidR="00301CFD" w:rsidRPr="000A3C73" w:rsidRDefault="00301CFD" w:rsidP="000A0F25">
            <w:pPr>
              <w:pStyle w:val="BodyText"/>
              <w:numPr>
                <w:ilvl w:val="0"/>
                <w:numId w:val="21"/>
              </w:numPr>
              <w:rPr>
                <w:sz w:val="20"/>
              </w:rPr>
            </w:pPr>
            <w:r w:rsidRPr="000A3C73">
              <w:rPr>
                <w:sz w:val="20"/>
              </w:rPr>
              <w:t>Mayor of Resen Municipality</w:t>
            </w:r>
          </w:p>
          <w:p w:rsidR="00301CFD" w:rsidRPr="000A3C73" w:rsidRDefault="00301CFD" w:rsidP="000A0F25">
            <w:pPr>
              <w:pStyle w:val="BodyText"/>
              <w:numPr>
                <w:ilvl w:val="0"/>
                <w:numId w:val="21"/>
              </w:numPr>
              <w:rPr>
                <w:sz w:val="20"/>
              </w:rPr>
            </w:pPr>
            <w:r w:rsidRPr="000A3C73">
              <w:rPr>
                <w:sz w:val="20"/>
              </w:rPr>
              <w:t>UNDP Macedonia Country Office</w:t>
            </w:r>
          </w:p>
        </w:tc>
      </w:tr>
    </w:tbl>
    <w:p w:rsidR="00301CFD" w:rsidRPr="000A3C73" w:rsidRDefault="00301CFD" w:rsidP="00301CFD">
      <w:pPr>
        <w:pStyle w:val="BodyText"/>
        <w:numPr>
          <w:ilvl w:val="0"/>
          <w:numId w:val="0"/>
        </w:numPr>
        <w:rPr>
          <w:highlight w:val="yellow"/>
        </w:rPr>
      </w:pPr>
    </w:p>
    <w:p w:rsidR="00B41E00" w:rsidRPr="000A3C73" w:rsidRDefault="006C758C" w:rsidP="00B41E00">
      <w:pPr>
        <w:pStyle w:val="Heading2"/>
        <w:ind w:left="1080" w:hanging="360"/>
      </w:pPr>
      <w:bookmarkStart w:id="42" w:name="_Toc152154272"/>
      <w:bookmarkStart w:id="43" w:name="_Ref195062227"/>
      <w:bookmarkStart w:id="44" w:name="_Toc238551060"/>
      <w:r w:rsidRPr="000A3C73">
        <w:t>Prespa IEM</w:t>
      </w:r>
      <w:r w:rsidR="00EE560B" w:rsidRPr="000A3C73">
        <w:t xml:space="preserve"> </w:t>
      </w:r>
      <w:r w:rsidR="00B41E00" w:rsidRPr="000A3C73">
        <w:t>Project Relevance</w:t>
      </w:r>
      <w:bookmarkEnd w:id="42"/>
      <w:bookmarkEnd w:id="43"/>
      <w:bookmarkEnd w:id="44"/>
    </w:p>
    <w:p w:rsidR="009F5A4F" w:rsidRPr="000A3C73" w:rsidRDefault="009F5A4F" w:rsidP="00DA5AA5">
      <w:pPr>
        <w:pStyle w:val="BodyText"/>
      </w:pPr>
      <w:r w:rsidRPr="000A3C73">
        <w:t xml:space="preserve">Based on the assessment of project relevance to local and national priorities and policies, priorities related to relevant international conventions, and to the GEF’s strategic priorities and objectives, overall </w:t>
      </w:r>
      <w:r w:rsidR="00F8346A" w:rsidRPr="000A3C73">
        <w:t xml:space="preserve">the </w:t>
      </w:r>
      <w:r w:rsidRPr="000A3C73">
        <w:t xml:space="preserve">project is considered to be </w:t>
      </w:r>
      <w:r w:rsidR="00F8346A" w:rsidRPr="000A3C73">
        <w:rPr>
          <w:b/>
          <w:i/>
          <w:u w:val="single"/>
        </w:rPr>
        <w:t>relevant</w:t>
      </w:r>
      <w:r w:rsidRPr="000A3C73">
        <w:t>.</w:t>
      </w:r>
    </w:p>
    <w:p w:rsidR="008F7D83" w:rsidRPr="000A3C73" w:rsidRDefault="008F7D83" w:rsidP="005371F3">
      <w:pPr>
        <w:pStyle w:val="Heading3"/>
        <w:ind w:left="1440"/>
      </w:pPr>
      <w:bookmarkStart w:id="45" w:name="_Toc238551061"/>
      <w:r w:rsidRPr="000A3C73">
        <w:lastRenderedPageBreak/>
        <w:t xml:space="preserve">Relevance at Local and </w:t>
      </w:r>
      <w:r w:rsidR="003C7A08" w:rsidRPr="000A3C73">
        <w:t>National</w:t>
      </w:r>
      <w:r w:rsidRPr="000A3C73">
        <w:t xml:space="preserve"> Levels</w:t>
      </w:r>
      <w:bookmarkEnd w:id="45"/>
    </w:p>
    <w:p w:rsidR="00194911" w:rsidRPr="000A3C73" w:rsidRDefault="001C2AFC" w:rsidP="00194911">
      <w:pPr>
        <w:pStyle w:val="BodyText"/>
      </w:pPr>
      <w:r w:rsidRPr="000A3C73">
        <w:t xml:space="preserve">The Prespa project is clearly relevant at both the local and national levels in each of the three participating countries. This is first and foremost indicated by the Prespa Park agreement signed by all three countries in 2000, which was the catalyst for this project. Within each of the three countries there is a legislative and policy foundation for environmental protection and management that is supported through this project. </w:t>
      </w:r>
      <w:r w:rsidR="00092467" w:rsidRPr="000A3C73">
        <w:t xml:space="preserve">At the time of project approval relevant national laws and policies in Albania included the </w:t>
      </w:r>
      <w:r w:rsidR="00092467" w:rsidRPr="000A3C73">
        <w:rPr>
          <w:i/>
        </w:rPr>
        <w:t>Law on the Protection of Trans-boundary Lakes (2003)</w:t>
      </w:r>
      <w:r w:rsidR="00092467" w:rsidRPr="000A3C73">
        <w:t xml:space="preserve">, the </w:t>
      </w:r>
      <w:r w:rsidR="00092467" w:rsidRPr="000A3C73">
        <w:rPr>
          <w:i/>
        </w:rPr>
        <w:t>Law on Water Resources (1996)</w:t>
      </w:r>
      <w:r w:rsidR="00092467" w:rsidRPr="000A3C73">
        <w:t xml:space="preserve">, the </w:t>
      </w:r>
      <w:r w:rsidR="00092467" w:rsidRPr="000A3C73">
        <w:rPr>
          <w:i/>
        </w:rPr>
        <w:t>Law on Fishing and Aquatic Life (1995 and 2002 amendment)</w:t>
      </w:r>
      <w:r w:rsidR="00092467" w:rsidRPr="000A3C73">
        <w:t xml:space="preserve">, the </w:t>
      </w:r>
      <w:r w:rsidR="00092467" w:rsidRPr="000A3C73">
        <w:rPr>
          <w:i/>
        </w:rPr>
        <w:t>Law on Forest Management</w:t>
      </w:r>
      <w:r w:rsidR="00092467" w:rsidRPr="000A3C73">
        <w:t xml:space="preserve">, and the </w:t>
      </w:r>
      <w:r w:rsidR="00092467" w:rsidRPr="000A3C73">
        <w:rPr>
          <w:i/>
        </w:rPr>
        <w:t>Law on Protected Areas (2002)</w:t>
      </w:r>
      <w:r w:rsidR="00092467" w:rsidRPr="000A3C73">
        <w:t xml:space="preserve">. </w:t>
      </w:r>
      <w:r w:rsidR="006F27E4" w:rsidRPr="000A3C73">
        <w:t xml:space="preserve">The Prespa project is relevant to national legislation in Macedonia including the </w:t>
      </w:r>
      <w:r w:rsidR="006F27E4" w:rsidRPr="000A3C73">
        <w:rPr>
          <w:i/>
        </w:rPr>
        <w:t>Law on Spatial and Urban Planning (1996)</w:t>
      </w:r>
      <w:r w:rsidR="006F27E4" w:rsidRPr="000A3C73">
        <w:t xml:space="preserve">, the </w:t>
      </w:r>
      <w:r w:rsidR="006F27E4" w:rsidRPr="000A3C73">
        <w:rPr>
          <w:i/>
        </w:rPr>
        <w:t>Law on Waters (1998)</w:t>
      </w:r>
      <w:r w:rsidR="006F27E4" w:rsidRPr="000A3C73">
        <w:t xml:space="preserve">, the </w:t>
      </w:r>
      <w:r w:rsidR="006F27E4" w:rsidRPr="000A3C73">
        <w:rPr>
          <w:i/>
        </w:rPr>
        <w:t>Law on Fisheries (1993)</w:t>
      </w:r>
      <w:r w:rsidR="006F27E4" w:rsidRPr="000A3C73">
        <w:t xml:space="preserve">, the </w:t>
      </w:r>
      <w:r w:rsidR="006F27E4" w:rsidRPr="000A3C73">
        <w:rPr>
          <w:i/>
        </w:rPr>
        <w:t>Law on Environment and Nature Protection and Promotion (rev. 2000)</w:t>
      </w:r>
      <w:r w:rsidR="006F27E4" w:rsidRPr="000A3C73">
        <w:t xml:space="preserve">, and the </w:t>
      </w:r>
      <w:r w:rsidR="006F27E4" w:rsidRPr="000A3C73">
        <w:rPr>
          <w:i/>
        </w:rPr>
        <w:t>Nature Protection Act (2004)</w:t>
      </w:r>
      <w:r w:rsidR="006F27E4" w:rsidRPr="000A3C73">
        <w:t xml:space="preserve">. </w:t>
      </w:r>
      <w:r w:rsidR="00D9555A" w:rsidRPr="000A3C73">
        <w:t xml:space="preserve">Although Greece is not a GEF recipient country, the project was relevant to multiple aspects </w:t>
      </w:r>
      <w:r w:rsidR="003907F0" w:rsidRPr="000A3C73">
        <w:t xml:space="preserve">of Greece’s environmental obligations as a European Union member, including the </w:t>
      </w:r>
      <w:r w:rsidR="00F647DE" w:rsidRPr="000A3C73">
        <w:t>Waters and Habitats Directives.</w:t>
      </w:r>
    </w:p>
    <w:p w:rsidR="00F647DE" w:rsidRPr="000A3C73" w:rsidRDefault="00F647DE" w:rsidP="00194911">
      <w:pPr>
        <w:pStyle w:val="BodyText"/>
      </w:pPr>
      <w:r w:rsidRPr="000A3C73">
        <w:t xml:space="preserve">At the local level in each of the three countries there are important sustainable development issues for the local communities that the project helped address. The project’s work on reducing the application of agricultural inputs was among the most frequently cited benefits for the Prespa communities in both Albania and Macedonia, but many of the other project activities were relevant to local needs and priorities as well, such as the work on developing tourism, improving fisheries management, and contributing to waste management. The relevance and the value of the project </w:t>
      </w:r>
      <w:r w:rsidR="00C64C75" w:rsidRPr="000A3C73">
        <w:t>were</w:t>
      </w:r>
      <w:r w:rsidRPr="000A3C73">
        <w:t xml:space="preserve"> confirmed during the terminal evaluation mission by the municipal heads in each country’s Prespa region. </w:t>
      </w:r>
    </w:p>
    <w:p w:rsidR="005371F3" w:rsidRPr="000A3C73" w:rsidRDefault="005371F3" w:rsidP="005371F3">
      <w:pPr>
        <w:pStyle w:val="Heading3"/>
        <w:ind w:left="1440"/>
      </w:pPr>
      <w:bookmarkStart w:id="46" w:name="_Toc238551062"/>
      <w:r w:rsidRPr="000A3C73">
        <w:t>Relevance to Multilateral Environmental Agreements</w:t>
      </w:r>
      <w:bookmarkEnd w:id="46"/>
    </w:p>
    <w:p w:rsidR="00CA071D" w:rsidRPr="000A3C73" w:rsidRDefault="00F56086" w:rsidP="0021494F">
      <w:pPr>
        <w:pStyle w:val="BodyText"/>
      </w:pPr>
      <w:r w:rsidRPr="000A3C73">
        <w:t xml:space="preserve">At the time of project development and approval there was no legally binding regional multilateral environmental agreement relating specifically to the Prespa basin, as there is in the targeted regions in many other GEF-supported International Waters projects. </w:t>
      </w:r>
      <w:r w:rsidR="001610C0" w:rsidRPr="000A3C73">
        <w:t>The project clearly contributed to the signing of the 2010 agreement between all three countries, which is still going through national ratification processes.</w:t>
      </w:r>
    </w:p>
    <w:p w:rsidR="007C2708" w:rsidRPr="000A3C73" w:rsidRDefault="00CA071D" w:rsidP="0021494F">
      <w:pPr>
        <w:pStyle w:val="BodyText"/>
      </w:pPr>
      <w:r w:rsidRPr="000A3C73">
        <w:t>T</w:t>
      </w:r>
      <w:r w:rsidR="001610C0" w:rsidRPr="000A3C73">
        <w:t xml:space="preserve">he three countries are parties to multiple global-level MEAs to </w:t>
      </w:r>
      <w:r w:rsidR="003566F2" w:rsidRPr="000A3C73">
        <w:t>which the project was relevant. These include the Conv</w:t>
      </w:r>
      <w:r w:rsidR="00E9568E" w:rsidRPr="000A3C73">
        <w:t xml:space="preserve">ention on Biological Diversity, </w:t>
      </w:r>
      <w:r w:rsidR="003566F2" w:rsidRPr="000A3C73">
        <w:t>for which the GEF is a financial mech</w:t>
      </w:r>
      <w:r w:rsidR="00E9568E" w:rsidRPr="000A3C73">
        <w:t>anism).</w:t>
      </w:r>
      <w:r w:rsidR="00CA5215">
        <w:t xml:space="preserve"> </w:t>
      </w:r>
      <w:r w:rsidRPr="000A3C73">
        <w:t xml:space="preserve">For the CBD </w:t>
      </w:r>
      <w:r w:rsidR="00E9568E" w:rsidRPr="000A3C73">
        <w:t xml:space="preserve">the project is relevant to the following articles: Article 6 (General measures for conservation and sustainable use); Article 7 (Identification and monitoring); Article 8 (In-situ conservation); Article 10 (Sustainable use of components of biological diversity); Article 11 (Incentive measures); Article 12 (Research and training); Article 13 (Education and awareness); and Article 17 (Exchange of information). </w:t>
      </w:r>
      <w:r w:rsidR="003566F2" w:rsidRPr="000A3C73">
        <w:t xml:space="preserve">The project also supports </w:t>
      </w:r>
      <w:r w:rsidR="002C10B0" w:rsidRPr="000A3C73">
        <w:t xml:space="preserve">the objectives of </w:t>
      </w:r>
      <w:r w:rsidR="003566F2" w:rsidRPr="000A3C73">
        <w:t xml:space="preserve">other MEAs such as the </w:t>
      </w:r>
      <w:r w:rsidRPr="000A3C73">
        <w:t xml:space="preserve">Ramsar Convention </w:t>
      </w:r>
      <w:r w:rsidR="00E9568E" w:rsidRPr="000A3C73">
        <w:t xml:space="preserve">and </w:t>
      </w:r>
      <w:r w:rsidR="003566F2" w:rsidRPr="000A3C73">
        <w:t xml:space="preserve">Convention on Migratory Species. </w:t>
      </w:r>
    </w:p>
    <w:p w:rsidR="008F7D83" w:rsidRPr="000A3C73" w:rsidRDefault="008F7D83" w:rsidP="005371F3">
      <w:pPr>
        <w:pStyle w:val="Heading3"/>
        <w:ind w:left="1440"/>
      </w:pPr>
      <w:bookmarkStart w:id="47" w:name="_Ref209869116"/>
      <w:bookmarkStart w:id="48" w:name="_Toc238551063"/>
      <w:r w:rsidRPr="000A3C73">
        <w:t>Relevance to GEF Strategies, Priorities and Principles</w:t>
      </w:r>
      <w:bookmarkEnd w:id="47"/>
      <w:bookmarkEnd w:id="48"/>
    </w:p>
    <w:p w:rsidR="00081AE3" w:rsidRPr="000A3C73" w:rsidRDefault="009C15BA" w:rsidP="004E3137">
      <w:pPr>
        <w:pStyle w:val="BodyText"/>
      </w:pPr>
      <w:r w:rsidRPr="000A3C73">
        <w:t xml:space="preserve">The Prespa IEM project is a multi-focal area project, </w:t>
      </w:r>
      <w:r w:rsidR="00641064" w:rsidRPr="000A3C73">
        <w:t xml:space="preserve">bringing together the biodiversity and international waters focal areas. The project was classified as an Operational Program 12 </w:t>
      </w:r>
      <w:r w:rsidR="00641064" w:rsidRPr="000A3C73">
        <w:lastRenderedPageBreak/>
        <w:t>(OP 12) project, with the relevant biodiversity operational programs as OP 2 (Coastal, marine, and freshwater ecosystems (including wetlands)) and OP 4 (Mountain ecosystems), and the relevant international waters focal areas as OP 8 (</w:t>
      </w:r>
      <w:r w:rsidR="00E66F9D" w:rsidRPr="000A3C73">
        <w:t>Water body</w:t>
      </w:r>
      <w:r w:rsidR="00641064" w:rsidRPr="000A3C73">
        <w:t xml:space="preserve">-based program) and OP 9 (Integrated land and water multiple focal area). </w:t>
      </w:r>
      <w:r w:rsidR="00D00DA8" w:rsidRPr="000A3C73">
        <w:t xml:space="preserve">The GEF operational programs </w:t>
      </w:r>
      <w:r w:rsidR="00D01394" w:rsidRPr="000A3C73">
        <w:t>have been</w:t>
      </w:r>
      <w:r w:rsidR="00D00DA8" w:rsidRPr="000A3C73">
        <w:t xml:space="preserve"> superseded by the focal area strategic priorities and results frameworks. </w:t>
      </w:r>
    </w:p>
    <w:p w:rsidR="000F7729" w:rsidRPr="00FC657B" w:rsidRDefault="002B43FD" w:rsidP="004E3137">
      <w:pPr>
        <w:pStyle w:val="BodyText"/>
      </w:pPr>
      <w:r w:rsidRPr="000A3C73">
        <w:t>The GEF strategic priorities for each</w:t>
      </w:r>
      <w:r w:rsidR="00F4256A" w:rsidRPr="000A3C73">
        <w:t xml:space="preserve"> of its</w:t>
      </w:r>
      <w:r w:rsidR="00912EB0" w:rsidRPr="000A3C73">
        <w:t xml:space="preserve"> </w:t>
      </w:r>
      <w:r w:rsidR="00F4256A" w:rsidRPr="000A3C73">
        <w:t xml:space="preserve">thematic </w:t>
      </w:r>
      <w:r w:rsidRPr="000A3C73">
        <w:t>focal area</w:t>
      </w:r>
      <w:r w:rsidR="00F4256A" w:rsidRPr="000A3C73">
        <w:t xml:space="preserve">s (biodiversity, </w:t>
      </w:r>
      <w:r w:rsidR="00C82E06" w:rsidRPr="000A3C73">
        <w:t>international waters</w:t>
      </w:r>
      <w:r w:rsidR="00F4256A" w:rsidRPr="000A3C73">
        <w:t>, etc.)</w:t>
      </w:r>
      <w:r w:rsidRPr="000A3C73">
        <w:t xml:space="preserve"> have evolved from one GEF phase to the next, but </w:t>
      </w:r>
      <w:r w:rsidR="00F80E2D" w:rsidRPr="000A3C73">
        <w:t xml:space="preserve">have </w:t>
      </w:r>
      <w:r w:rsidRPr="000A3C73">
        <w:t xml:space="preserve">overall remained roughly focused on the same broad areas of intervention. The project was </w:t>
      </w:r>
      <w:r w:rsidR="00C82E06" w:rsidRPr="000A3C73">
        <w:t xml:space="preserve">primarily </w:t>
      </w:r>
      <w:r w:rsidR="00DA2BF9" w:rsidRPr="000A3C73">
        <w:t xml:space="preserve">developed under GEF-3 (July 2002-June 2006), </w:t>
      </w:r>
      <w:r w:rsidR="00C82E06" w:rsidRPr="000A3C73">
        <w:t xml:space="preserve">and implemented under strategic </w:t>
      </w:r>
      <w:r w:rsidRPr="000A3C73">
        <w:t xml:space="preserve">priorities for </w:t>
      </w:r>
      <w:r w:rsidR="00C82E06" w:rsidRPr="000A3C73">
        <w:t xml:space="preserve">both </w:t>
      </w:r>
      <w:r w:rsidRPr="000A3C73">
        <w:t>GEF-4 (July 2006 – June 2010)</w:t>
      </w:r>
      <w:r w:rsidR="00EA145F" w:rsidRPr="00FC657B">
        <w:rPr>
          <w:rStyle w:val="FootnoteReference"/>
        </w:rPr>
        <w:footnoteReference w:id="7"/>
      </w:r>
      <w:r w:rsidR="00CA5215">
        <w:t xml:space="preserve"> </w:t>
      </w:r>
      <w:r w:rsidR="00DA2BF9" w:rsidRPr="00FC657B">
        <w:t>and</w:t>
      </w:r>
      <w:r w:rsidR="00CA5215">
        <w:t xml:space="preserve"> </w:t>
      </w:r>
      <w:r w:rsidR="005E0E7D" w:rsidRPr="00D77DF1">
        <w:t>for GEF-5 (July 2010 – June 2014).</w:t>
      </w:r>
      <w:r w:rsidR="00EA145F" w:rsidRPr="00FC657B">
        <w:rPr>
          <w:rStyle w:val="FootnoteReference"/>
        </w:rPr>
        <w:footnoteReference w:id="8"/>
      </w:r>
    </w:p>
    <w:p w:rsidR="000F7729" w:rsidRPr="0089284E" w:rsidRDefault="00D00DA8" w:rsidP="000F7729">
      <w:pPr>
        <w:pStyle w:val="BodyText"/>
      </w:pPr>
      <w:r w:rsidRPr="00D77DF1">
        <w:t>It appears th</w:t>
      </w:r>
      <w:r w:rsidRPr="00CD42DE">
        <w:t>at during development and approval the project was not specifically associated with biodiversity and international waters strategi</w:t>
      </w:r>
      <w:r w:rsidR="00F80E2D" w:rsidRPr="00AA7D1F">
        <w:t xml:space="preserve">c priorities for GEF-3 or GEF-4, but it can be retrospectively defined this way. In the biodiversity focal area the project supports the first </w:t>
      </w:r>
      <w:r w:rsidR="00F80E2D" w:rsidRPr="005E69C8">
        <w:t>two</w:t>
      </w:r>
      <w:r w:rsidR="00F80E2D" w:rsidRPr="00850A96">
        <w:t xml:space="preserve"> strategic objectives: Objective 1: Improve the sustainability of protected area systems; and Objective 2: Mainstream biodiversity conservation and sustainable use into production landscapes, seascapes and sectors.</w:t>
      </w:r>
      <w:r w:rsidR="00B71283" w:rsidRPr="008B7E9A">
        <w:t xml:space="preserve"> Under objective 1, the project contribute</w:t>
      </w:r>
      <w:r w:rsidR="00B71283" w:rsidRPr="000126EE">
        <w:t xml:space="preserve">d to strengthening the management effectiveness of the protected areas in the Prespa basin, but especially Prespa National Park in Albania, and Ezerani protected area in Macedonia. </w:t>
      </w:r>
      <w:r w:rsidR="00E66F9D" w:rsidRPr="0089284E">
        <w:rPr>
          <w:u w:val="single"/>
        </w:rPr>
        <w:t>Galicia</w:t>
      </w:r>
      <w:r w:rsidR="00D4199C" w:rsidRPr="00D4199C">
        <w:rPr>
          <w:i/>
          <w:u w:val="single"/>
        </w:rPr>
        <w:t xml:space="preserve"> </w:t>
      </w:r>
      <w:r w:rsidR="00B71283" w:rsidRPr="000126EE">
        <w:t xml:space="preserve">and Pelister National Parks in Macedonia also benefited, as did </w:t>
      </w:r>
      <w:r w:rsidR="00B71283" w:rsidRPr="00B71D27">
        <w:t xml:space="preserve">Prespa National Park in Greece. Prespa National Park in Albania and </w:t>
      </w:r>
      <w:r w:rsidR="00D4199C" w:rsidRPr="008F2522">
        <w:rPr>
          <w:u w:val="single"/>
        </w:rPr>
        <w:t>Galičica</w:t>
      </w:r>
      <w:r w:rsidR="00D4199C" w:rsidRPr="00D4199C">
        <w:rPr>
          <w:i/>
          <w:u w:val="single"/>
        </w:rPr>
        <w:t xml:space="preserve"> </w:t>
      </w:r>
      <w:r w:rsidR="00B71283" w:rsidRPr="00B71D27">
        <w:t>National Park in Macedonia were direct recipients of the project’s KfW co-financing</w:t>
      </w:r>
      <w:r w:rsidR="000F7729" w:rsidRPr="00595792">
        <w:t>. Under objective 2, the project contributed to increased sustainability of production landscapes, and measures for conserving biodiversity. Acco</w:t>
      </w:r>
      <w:r w:rsidR="000F7729" w:rsidRPr="00602E30">
        <w:t xml:space="preserve">rding to the project document, </w:t>
      </w:r>
      <w:r w:rsidR="000F7729" w:rsidRPr="0089284E">
        <w:t>there are approximately 15,000 ha of cropland in MK-Prespa (5,000 of apple orchards alone), 2,000 ha</w:t>
      </w:r>
      <w:r w:rsidR="00E66F9D">
        <w:t xml:space="preserve"> </w:t>
      </w:r>
      <w:r w:rsidR="000F7729" w:rsidRPr="0089284E">
        <w:t>in AL-Prespa, and 2,500 ha in GR-Prespa. This may have shifted somewhat since the project development timeframe.</w:t>
      </w:r>
      <w:r w:rsidR="007C4C49" w:rsidRPr="0089284E">
        <w:t xml:space="preserve"> Also practiced in the Prespa basin </w:t>
      </w:r>
      <w:r w:rsidR="00A9382A" w:rsidRPr="0089284E">
        <w:t>are</w:t>
      </w:r>
      <w:r w:rsidR="007C4C49" w:rsidRPr="0089284E">
        <w:t xml:space="preserve"> forestry, non-timber forest production, livestock, and </w:t>
      </w:r>
      <w:r w:rsidR="00A9382A" w:rsidRPr="0089284E">
        <w:t xml:space="preserve">fisheries – all of which the project positively influenced in some way (e.g. the conservation plan for mountain tea, which is a non-timber forest product harvested by local people in the region). </w:t>
      </w:r>
    </w:p>
    <w:p w:rsidR="000F7729" w:rsidRPr="00D77DF1" w:rsidRDefault="003161C5" w:rsidP="004E3137">
      <w:pPr>
        <w:pStyle w:val="BodyText"/>
      </w:pPr>
      <w:r w:rsidRPr="00FC657B">
        <w:t xml:space="preserve">For the international waters focal area, the project </w:t>
      </w:r>
      <w:r w:rsidR="004F3E54" w:rsidRPr="00FC657B">
        <w:t xml:space="preserve">supports the following strategic objectives: </w:t>
      </w:r>
    </w:p>
    <w:p w:rsidR="004F3E54" w:rsidRPr="00AA7D1F" w:rsidRDefault="004F3E54" w:rsidP="004F3E54">
      <w:pPr>
        <w:pStyle w:val="BodyText"/>
        <w:numPr>
          <w:ilvl w:val="0"/>
          <w:numId w:val="55"/>
        </w:numPr>
      </w:pPr>
      <w:r w:rsidRPr="00CD42DE">
        <w:rPr>
          <w:u w:val="single"/>
        </w:rPr>
        <w:t>Objective 1:</w:t>
      </w:r>
      <w:r w:rsidRPr="00CD42DE">
        <w:t xml:space="preserve"> Catalyze multi-state cooperation to balance conflicting water uses </w:t>
      </w:r>
      <w:r w:rsidRPr="00AA7D1F">
        <w:t>in transboundary surface and groundwater basins while considering climatic variability and change</w:t>
      </w:r>
    </w:p>
    <w:p w:rsidR="00155116" w:rsidRPr="000126EE" w:rsidRDefault="004F3E54" w:rsidP="00F42F23">
      <w:pPr>
        <w:pStyle w:val="BodyText"/>
        <w:numPr>
          <w:ilvl w:val="0"/>
          <w:numId w:val="55"/>
        </w:numPr>
      </w:pPr>
      <w:r w:rsidRPr="005E69C8">
        <w:rPr>
          <w:u w:val="single"/>
        </w:rPr>
        <w:t>Objective 3:</w:t>
      </w:r>
      <w:r w:rsidRPr="00850A96">
        <w:t xml:space="preserve"> Support foundational capacity building, portfolio learning, and targeted research needs for joint, ecosystem-based management of transboundary water</w:t>
      </w:r>
      <w:r w:rsidRPr="008B7E9A">
        <w:t xml:space="preserve"> systems</w:t>
      </w:r>
    </w:p>
    <w:p w:rsidR="00B41E00" w:rsidRPr="002A69B7" w:rsidRDefault="00B41E00" w:rsidP="00B41E00">
      <w:pPr>
        <w:pStyle w:val="Heading2"/>
        <w:ind w:left="1080" w:hanging="360"/>
      </w:pPr>
      <w:bookmarkStart w:id="49" w:name="_Toc152154273"/>
      <w:bookmarkStart w:id="50" w:name="_Ref183493940"/>
      <w:bookmarkStart w:id="51" w:name="_Ref209765183"/>
      <w:bookmarkStart w:id="52" w:name="_Ref209771654"/>
      <w:bookmarkStart w:id="53" w:name="_Ref210990299"/>
      <w:bookmarkStart w:id="54" w:name="_Ref211054149"/>
      <w:bookmarkStart w:id="55" w:name="_Toc238551064"/>
      <w:r w:rsidRPr="00B71D27">
        <w:t>Project Management and Cost Effectiveness</w:t>
      </w:r>
      <w:r w:rsidR="00264C15" w:rsidRPr="00595792">
        <w:t xml:space="preserve"> </w:t>
      </w:r>
      <w:r w:rsidR="00264C15" w:rsidRPr="00602E30">
        <w:t>(Efficiency)</w:t>
      </w:r>
      <w:bookmarkEnd w:id="49"/>
      <w:bookmarkEnd w:id="50"/>
      <w:bookmarkEnd w:id="51"/>
      <w:bookmarkEnd w:id="52"/>
      <w:bookmarkEnd w:id="53"/>
      <w:bookmarkEnd w:id="54"/>
      <w:bookmarkEnd w:id="55"/>
    </w:p>
    <w:p w:rsidR="004B307C" w:rsidRPr="000A3C73" w:rsidRDefault="00E625AB" w:rsidP="002778C0">
      <w:pPr>
        <w:pStyle w:val="BodyText"/>
      </w:pPr>
      <w:r w:rsidRPr="002C744B">
        <w:t xml:space="preserve">Overall the </w:t>
      </w:r>
      <w:r w:rsidR="004B307C" w:rsidRPr="00C56966">
        <w:rPr>
          <w:b/>
        </w:rPr>
        <w:t>efficiency</w:t>
      </w:r>
      <w:r w:rsidR="00912EB0" w:rsidRPr="002D3949">
        <w:rPr>
          <w:b/>
        </w:rPr>
        <w:t xml:space="preserve"> </w:t>
      </w:r>
      <w:r w:rsidRPr="000A3C73">
        <w:t xml:space="preserve">of the project is rated </w:t>
      </w:r>
      <w:r w:rsidR="00A34649" w:rsidRPr="000A3C73">
        <w:rPr>
          <w:b/>
          <w:i/>
          <w:u w:val="single"/>
        </w:rPr>
        <w:t>moderately s</w:t>
      </w:r>
      <w:r w:rsidR="004B307C" w:rsidRPr="000A3C73">
        <w:rPr>
          <w:b/>
          <w:i/>
          <w:u w:val="single"/>
        </w:rPr>
        <w:t>atisfactory</w:t>
      </w:r>
      <w:r w:rsidRPr="000A3C73">
        <w:t xml:space="preserve">. </w:t>
      </w:r>
    </w:p>
    <w:p w:rsidR="006A1A67" w:rsidRPr="000A3C73" w:rsidRDefault="006A1A67" w:rsidP="007C4F1F">
      <w:pPr>
        <w:pStyle w:val="BodyText"/>
      </w:pPr>
      <w:r w:rsidRPr="000A3C73">
        <w:lastRenderedPageBreak/>
        <w:t xml:space="preserve">The Prespa IEM project faced a number of factors that slowed implementation and created challenges, but fortunately overall project management has been a strength that kept each of the three components on track to make as much progress as possible. The project management team for the Albania component had previous experience with UNDP-GEF projects, which meant that they were able to handle the standard UNDP financial and reporting procedures with no significant problems. The Macedonia component also had a capable team in place that effectively managed elements such as project work planning, financial management, and reporting. </w:t>
      </w:r>
      <w:r w:rsidR="00301D52" w:rsidRPr="000A3C73">
        <w:t xml:space="preserve">As one example, the workplans for the transboundary component were structured by results framework indicators and targets, rather than by activities specified in the project document, which strengthens a results-based approach to implementation (as long as results framework indicators and targets are well-designed). </w:t>
      </w:r>
      <w:r w:rsidR="0074587A" w:rsidRPr="000A3C73">
        <w:t xml:space="preserve">In addition, within the Albania and Macedonia national components there were good working relationships and partnerships between the project team and the other partners – for example, in Macedonia with the municipality of Resen, and with the Prespa National Park (Albania) and the communes of Liqenas and Proger in Albanian Prespa. </w:t>
      </w:r>
    </w:p>
    <w:p w:rsidR="00D912C8" w:rsidRPr="000A3C73" w:rsidRDefault="00D912C8" w:rsidP="007C4F1F">
      <w:pPr>
        <w:pStyle w:val="BodyText"/>
      </w:pPr>
      <w:r w:rsidRPr="000A3C73">
        <w:t xml:space="preserve">Additional specific aspects of project management that relate to efficiency are discussed in sub-headings, below. These include financial management, adaptive management, co-financing, and UNDP oversight. </w:t>
      </w:r>
    </w:p>
    <w:p w:rsidR="00C153EC" w:rsidRPr="00433B8B" w:rsidRDefault="00670EC6" w:rsidP="007C4F1F">
      <w:pPr>
        <w:pStyle w:val="BodyText"/>
      </w:pPr>
      <w:r w:rsidRPr="000A3C73">
        <w:t xml:space="preserve">As highlighted in the sections above on project design and implementation arrangements, there were multiple factors that had a negative influence on the efficiency of the project. All three components of the project faced some initial delays, with the transboundary component and the Albania component </w:t>
      </w:r>
      <w:r w:rsidR="00EE1126" w:rsidRPr="000A3C73">
        <w:t>having more significant delays. For the transboundary component, turnover in the position of International Technical Advisor was a significant issue</w:t>
      </w:r>
      <w:r w:rsidR="008A013D" w:rsidRPr="000A3C73">
        <w:t>. The initial ITA was in place from April 1</w:t>
      </w:r>
      <w:r w:rsidR="008A013D" w:rsidRPr="000A3C73">
        <w:rPr>
          <w:vertAlign w:val="superscript"/>
        </w:rPr>
        <w:t>st</w:t>
      </w:r>
      <w:r w:rsidR="008A013D" w:rsidRPr="000A3C73">
        <w:t xml:space="preserve"> 2007 – March 31</w:t>
      </w:r>
      <w:r w:rsidR="008A013D" w:rsidRPr="000A3C73">
        <w:rPr>
          <w:vertAlign w:val="superscript"/>
        </w:rPr>
        <w:t>st</w:t>
      </w:r>
      <w:r w:rsidR="008A013D" w:rsidRPr="000A3C73">
        <w:t xml:space="preserve"> 2009. The second ITA was in place from June 5</w:t>
      </w:r>
      <w:r w:rsidR="008A013D" w:rsidRPr="000A3C73">
        <w:rPr>
          <w:vertAlign w:val="superscript"/>
        </w:rPr>
        <w:t>th</w:t>
      </w:r>
      <w:r w:rsidR="008A013D" w:rsidRPr="000A3C73">
        <w:t>, 2010 to March 1</w:t>
      </w:r>
      <w:r w:rsidR="008A013D" w:rsidRPr="000A3C73">
        <w:rPr>
          <w:vertAlign w:val="superscript"/>
        </w:rPr>
        <w:t>st</w:t>
      </w:r>
      <w:r w:rsidR="008A013D" w:rsidRPr="000A3C73">
        <w:t xml:space="preserve">, 2011. </w:t>
      </w:r>
      <w:r w:rsidR="004C006D" w:rsidRPr="000A3C73">
        <w:t xml:space="preserve">Thus there was a gap of 15+ months where there was no ITA. The final ITA, who was remotely based and had a contracted level of effort of 25 days, took up the position in May 2011 and continued through project completion. </w:t>
      </w:r>
      <w:r w:rsidR="008A013D" w:rsidRPr="000A3C73">
        <w:t xml:space="preserve">The ITA issue was </w:t>
      </w:r>
      <w:r w:rsidR="00EE1126" w:rsidRPr="000A3C73">
        <w:t xml:space="preserve">partly </w:t>
      </w:r>
      <w:r w:rsidR="008A013D" w:rsidRPr="000A3C73">
        <w:t xml:space="preserve">baked </w:t>
      </w:r>
      <w:r w:rsidR="00EE1126" w:rsidRPr="000A3C73">
        <w:t>into the project design</w:t>
      </w:r>
      <w:r w:rsidR="008A013D" w:rsidRPr="000A3C73">
        <w:t>,</w:t>
      </w:r>
      <w:r w:rsidR="00EE1126" w:rsidRPr="000A3C73">
        <w:t xml:space="preserve"> with phase-out of the project budget for this activity</w:t>
      </w:r>
      <w:r w:rsidR="004C006D" w:rsidRPr="000A3C73">
        <w:t xml:space="preserve"> in years four and five of the project: It was planned for a complete cessation of transboundary component funding under Outcome 3, and an overall drop off in annual funding for the transboundary component from an average of ~$450,000/year in years 1-3, to an average of $136,000/year in years 4 and 5</w:t>
      </w:r>
      <w:r w:rsidR="00EE1126" w:rsidRPr="000A3C73">
        <w:t xml:space="preserve">. In the periods where there was no ITA, the transboundary component did not move ahead as quickly, and then activities had to get back up to speed once the ITA position was again filled. </w:t>
      </w:r>
      <w:r w:rsidR="00BD3B6B" w:rsidRPr="000A3C73">
        <w:t xml:space="preserve">The Macedonia component also experienced turnover in the project manager position in the early part of </w:t>
      </w:r>
      <w:r w:rsidR="00BD3B6B" w:rsidRPr="00433B8B">
        <w:t xml:space="preserve">the project, with the </w:t>
      </w:r>
      <w:r w:rsidR="00CA7EAB" w:rsidRPr="00433B8B">
        <w:t>first project manager in place from May 2006 – October 2007, and the second manager in place from May 2008 (a gap of seven months) through completion</w:t>
      </w:r>
      <w:r w:rsidR="00BD3B6B" w:rsidRPr="00433B8B">
        <w:t xml:space="preserve">. </w:t>
      </w:r>
    </w:p>
    <w:p w:rsidR="00EC42C8" w:rsidRPr="00850A96" w:rsidRDefault="00EC42C8" w:rsidP="00D5636A">
      <w:pPr>
        <w:pStyle w:val="BodyText"/>
      </w:pPr>
      <w:r w:rsidRPr="00D77DF1">
        <w:t xml:space="preserve">The cost-effectiveness of some project results is also partially contingent on sustainability – i.e. whether the plans and outputs produced will be implemented and have further relevance. </w:t>
      </w:r>
      <w:r w:rsidR="00D21718" w:rsidRPr="00CD42DE">
        <w:t xml:space="preserve">As discussed in Section </w:t>
      </w:r>
      <w:r w:rsidR="008269C6" w:rsidRPr="00D77DF1">
        <w:fldChar w:fldCharType="begin"/>
      </w:r>
      <w:r w:rsidR="00D21718" w:rsidRPr="000A3C73">
        <w:instrText xml:space="preserve"> REF _Ref210906401 \w \h </w:instrText>
      </w:r>
      <w:r w:rsidR="008269C6" w:rsidRPr="00D77DF1">
        <w:fldChar w:fldCharType="separate"/>
      </w:r>
      <w:r w:rsidR="006E18A7" w:rsidRPr="00D77DF1">
        <w:t>VI.A</w:t>
      </w:r>
      <w:r w:rsidR="008269C6" w:rsidRPr="00D77DF1">
        <w:fldChar w:fldCharType="end"/>
      </w:r>
      <w:r w:rsidR="00D21718" w:rsidRPr="00FC657B">
        <w:t>, the</w:t>
      </w:r>
      <w:r w:rsidR="00D21718" w:rsidRPr="00D77DF1">
        <w:t xml:space="preserve"> sustainability of some results is uncertain, particularly for the transboundary component. Therefore, for example, </w:t>
      </w:r>
      <w:r w:rsidR="00B5470A" w:rsidRPr="00CD42DE">
        <w:t xml:space="preserve">if </w:t>
      </w:r>
      <w:r w:rsidR="00D21718" w:rsidRPr="00CD42DE">
        <w:t xml:space="preserve">outputs such as the species conservation plans, the transboundary monitoring system, and Strategic Action Plan are </w:t>
      </w:r>
      <w:r w:rsidR="00D21718" w:rsidRPr="00CD42DE">
        <w:lastRenderedPageBreak/>
        <w:t>not implemented, the money spent to produce these outputs</w:t>
      </w:r>
      <w:r w:rsidR="001A2D58" w:rsidRPr="00AA7D1F">
        <w:t xml:space="preserve"> (reaching into the hundreds of thousands of dollars)</w:t>
      </w:r>
      <w:r w:rsidR="00D21718" w:rsidRPr="005E69C8">
        <w:t xml:space="preserve"> will not have been an efficient use of resources. </w:t>
      </w:r>
    </w:p>
    <w:p w:rsidR="00670EC6" w:rsidRPr="000A3C73" w:rsidRDefault="00D5636A" w:rsidP="00D5636A">
      <w:pPr>
        <w:pStyle w:val="BodyText"/>
      </w:pPr>
      <w:r w:rsidRPr="008B7E9A">
        <w:t>The design of the project as three components instead of one has been previously commented on, but this structure also hindered efficien</w:t>
      </w:r>
      <w:r w:rsidRPr="000126EE">
        <w:t>cy, as there was inconsistent coordination and communication between the three components. The project teams from the three components held quarterly meetings, but this is not the same as if there had been a single project management unit responsible for a</w:t>
      </w:r>
      <w:r w:rsidRPr="00B71D27">
        <w:t>ctivities in all three countries. In addition, t</w:t>
      </w:r>
      <w:r w:rsidR="00C153EC" w:rsidRPr="00595792">
        <w:t xml:space="preserve">he </w:t>
      </w:r>
      <w:r w:rsidRPr="00602E30">
        <w:t xml:space="preserve">project </w:t>
      </w:r>
      <w:r w:rsidR="00C52C98" w:rsidRPr="002A69B7">
        <w:t>required a six month (Albania) to nine month (Macedonia and transboundary) exte</w:t>
      </w:r>
      <w:r w:rsidR="00C52C98" w:rsidRPr="002C744B">
        <w:t>nsion, which</w:t>
      </w:r>
      <w:r w:rsidR="002030D7" w:rsidRPr="00C56966">
        <w:t xml:space="preserve"> reflects negatively </w:t>
      </w:r>
      <w:r w:rsidR="00C153EC" w:rsidRPr="002D3949">
        <w:t>on cost-effectiveness – even if a longer implementation period can be usefu</w:t>
      </w:r>
      <w:r w:rsidR="00C153EC" w:rsidRPr="000A3C73">
        <w:t>l</w:t>
      </w:r>
      <w:r w:rsidR="007330C6" w:rsidRPr="000A3C73">
        <w:t xml:space="preserve"> for achieving greater results – because it means management costs increase as a share of the total project budget.</w:t>
      </w:r>
      <w:r w:rsidR="00912EB0" w:rsidRPr="000A3C73">
        <w:t xml:space="preserve"> </w:t>
      </w:r>
      <w:r w:rsidR="00EE1126" w:rsidRPr="000A3C73">
        <w:t>The overall political context of the region also</w:t>
      </w:r>
      <w:r w:rsidR="009F15A2" w:rsidRPr="000A3C73">
        <w:t xml:space="preserve"> appears to have created a drag on the overall implementation process rather than strengthening it, although at the technical level experts from each of the three countries collaborated well in the relevant working groups.</w:t>
      </w:r>
    </w:p>
    <w:p w:rsidR="00B41E00" w:rsidRPr="000A3C73" w:rsidRDefault="00DC2F8C" w:rsidP="008B2ED9">
      <w:pPr>
        <w:pStyle w:val="Heading3"/>
        <w:ind w:left="1440"/>
      </w:pPr>
      <w:bookmarkStart w:id="56" w:name="_Toc152154274"/>
      <w:bookmarkStart w:id="57" w:name="_Ref180164257"/>
      <w:bookmarkStart w:id="58" w:name="_Ref209780167"/>
      <w:bookmarkStart w:id="59" w:name="_Toc238551065"/>
      <w:r w:rsidRPr="000A3C73">
        <w:t xml:space="preserve">Prespa IEM Project </w:t>
      </w:r>
      <w:r w:rsidR="00B41E00" w:rsidRPr="000A3C73">
        <w:t xml:space="preserve">Financial Planning </w:t>
      </w:r>
      <w:bookmarkEnd w:id="56"/>
      <w:bookmarkEnd w:id="57"/>
      <w:bookmarkEnd w:id="58"/>
      <w:r w:rsidRPr="000A3C73">
        <w:t>and Implementation</w:t>
      </w:r>
      <w:bookmarkEnd w:id="59"/>
    </w:p>
    <w:p w:rsidR="00FD2B6D" w:rsidRPr="00CD42DE" w:rsidRDefault="004B04B3" w:rsidP="00EF3643">
      <w:pPr>
        <w:pStyle w:val="BodyText"/>
      </w:pPr>
      <w:r w:rsidRPr="000A3C73">
        <w:t>The project was divided into three separate components with three separate budgets</w:t>
      </w:r>
      <w:r w:rsidR="006E57B3" w:rsidRPr="000A3C73">
        <w:t xml:space="preserve">, from the total GEF allocation of $4.135 million USD. </w:t>
      </w:r>
      <w:r w:rsidRPr="000A3C73">
        <w:t>The Albani</w:t>
      </w:r>
      <w:r w:rsidR="006E57B3" w:rsidRPr="000A3C73">
        <w:t>a component was budgeted for $1.05 million USD (25.4%), the Macedonia component was budgeted for $1.48 million USD (35.7%), and the transboundary component was budgeted for $1.61 million USD (38.9%). The Albanian component also had co-financing that was to be directly implemented by UNDP - $0.12 million from the Government of Albania, and $0.15 million from UNDP TRAC funding</w:t>
      </w:r>
      <w:r w:rsidR="00B51099" w:rsidRPr="000A3C73">
        <w:t>,</w:t>
      </w:r>
      <w:r w:rsidR="00B4492B" w:rsidRPr="00FC657B">
        <w:rPr>
          <w:rStyle w:val="FootnoteReference"/>
        </w:rPr>
        <w:footnoteReference w:id="9"/>
      </w:r>
      <w:r w:rsidR="00B51099" w:rsidRPr="00FC657B">
        <w:t>which equates to a total Albania direct imp</w:t>
      </w:r>
      <w:r w:rsidR="00B51099" w:rsidRPr="00D77DF1">
        <w:t>lementation budget of $1.32 million USD.</w:t>
      </w:r>
    </w:p>
    <w:p w:rsidR="004E7C38" w:rsidRPr="00FC657B" w:rsidRDefault="008269C6" w:rsidP="00F865BE">
      <w:pPr>
        <w:pStyle w:val="BodyText"/>
      </w:pPr>
      <w:r w:rsidRPr="00D77DF1">
        <w:fldChar w:fldCharType="begin"/>
      </w:r>
      <w:r w:rsidR="00DA3396" w:rsidRPr="000A3C73">
        <w:instrText xml:space="preserve"> REF _Ref199310316 \h </w:instrText>
      </w:r>
      <w:r w:rsidRPr="00D77DF1">
        <w:fldChar w:fldCharType="separate"/>
      </w:r>
      <w:r w:rsidR="006E18A7" w:rsidRPr="00D77DF1">
        <w:t xml:space="preserve">Table </w:t>
      </w:r>
      <w:r w:rsidR="006E18A7" w:rsidRPr="00CD42DE">
        <w:rPr>
          <w:noProof/>
        </w:rPr>
        <w:t>4</w:t>
      </w:r>
      <w:r w:rsidRPr="00D77DF1">
        <w:fldChar w:fldCharType="end"/>
      </w:r>
      <w:r w:rsidR="00EF3643" w:rsidRPr="00FC657B">
        <w:t xml:space="preserve">, </w:t>
      </w:r>
      <w:r w:rsidRPr="00D77DF1">
        <w:fldChar w:fldCharType="begin"/>
      </w:r>
      <w:r w:rsidR="00EF3643" w:rsidRPr="000A3C73">
        <w:instrText xml:space="preserve"> REF _Ref210962138 \h </w:instrText>
      </w:r>
      <w:r w:rsidRPr="00D77DF1">
        <w:fldChar w:fldCharType="separate"/>
      </w:r>
      <w:r w:rsidR="006E18A7" w:rsidRPr="00D77DF1">
        <w:t xml:space="preserve">Table </w:t>
      </w:r>
      <w:r w:rsidR="006E18A7" w:rsidRPr="00CD42DE">
        <w:rPr>
          <w:noProof/>
        </w:rPr>
        <w:t>5</w:t>
      </w:r>
      <w:r w:rsidRPr="00D77DF1">
        <w:fldChar w:fldCharType="end"/>
      </w:r>
      <w:r w:rsidR="00EF3643" w:rsidRPr="00FC657B">
        <w:t xml:space="preserve">, and </w:t>
      </w:r>
      <w:r w:rsidRPr="00D77DF1">
        <w:fldChar w:fldCharType="begin"/>
      </w:r>
      <w:r w:rsidR="00EF3643" w:rsidRPr="000A3C73">
        <w:instrText xml:space="preserve"> REF _Ref210962148 \h </w:instrText>
      </w:r>
      <w:r w:rsidRPr="00D77DF1">
        <w:fldChar w:fldCharType="separate"/>
      </w:r>
      <w:r w:rsidR="006E18A7" w:rsidRPr="00D77DF1">
        <w:t xml:space="preserve">Table </w:t>
      </w:r>
      <w:r w:rsidR="006E18A7" w:rsidRPr="00CD42DE">
        <w:rPr>
          <w:noProof/>
        </w:rPr>
        <w:t>6</w:t>
      </w:r>
      <w:r w:rsidRPr="00D77DF1">
        <w:fldChar w:fldCharType="end"/>
      </w:r>
      <w:r w:rsidR="00EF3643" w:rsidRPr="00FC657B">
        <w:t xml:space="preserve"> below provide</w:t>
      </w:r>
      <w:r w:rsidR="00B46C05" w:rsidRPr="00D77DF1">
        <w:t xml:space="preserve"> an overview of </w:t>
      </w:r>
      <w:r w:rsidR="00EF3643" w:rsidRPr="00CD42DE">
        <w:t>planned</w:t>
      </w:r>
      <w:r w:rsidR="00B46C05" w:rsidRPr="00CD42DE">
        <w:t xml:space="preserve"> and actual expenditures by component</w:t>
      </w:r>
      <w:r w:rsidR="00EF3643" w:rsidRPr="00AA7D1F">
        <w:t xml:space="preserve"> by outcome</w:t>
      </w:r>
      <w:r w:rsidR="00B46C05" w:rsidRPr="005E69C8">
        <w:t xml:space="preserve">. </w:t>
      </w:r>
      <w:r w:rsidR="00EC3575" w:rsidRPr="00850A96">
        <w:t>The financial data in these tables is bas</w:t>
      </w:r>
      <w:r w:rsidR="00EC3575" w:rsidRPr="008B7E9A">
        <w:t>ed on the available financial documentation</w:t>
      </w:r>
      <w:r w:rsidR="00EE14FF" w:rsidRPr="000126EE">
        <w:t xml:space="preserve"> (i.e. CDRs)</w:t>
      </w:r>
      <w:r w:rsidR="00EC3575" w:rsidRPr="00B71D27">
        <w:t xml:space="preserve"> at the time of the terminal evaluation, and may not completely reflect project expenditures in 2012. According to </w:t>
      </w:r>
      <w:r w:rsidR="00EE14FF" w:rsidRPr="00595792">
        <w:t xml:space="preserve">project-provided data in the 2012 PIR which should fully reflect financial data through June 30, 2012 (the end of all </w:t>
      </w:r>
      <w:r w:rsidR="00433B8B">
        <w:t>operational activities</w:t>
      </w:r>
      <w:r w:rsidR="00433B8B" w:rsidRPr="00595792">
        <w:t xml:space="preserve"> </w:t>
      </w:r>
      <w:r w:rsidR="00EE14FF" w:rsidRPr="00595792">
        <w:t>of the p</w:t>
      </w:r>
      <w:r w:rsidR="00EE14FF" w:rsidRPr="00602E30">
        <w:t>roject)</w:t>
      </w:r>
      <w:r w:rsidR="00EC3575" w:rsidRPr="002A69B7">
        <w:t xml:space="preserve">, delivery for Albania was </w:t>
      </w:r>
      <w:r w:rsidR="00EE14FF" w:rsidRPr="002C744B">
        <w:t>99.65</w:t>
      </w:r>
      <w:r w:rsidR="00EC3575" w:rsidRPr="00C56966">
        <w:t>% (98</w:t>
      </w:r>
      <w:r w:rsidR="00F865BE" w:rsidRPr="002D3949">
        <w:t>.0</w:t>
      </w:r>
      <w:r w:rsidR="00EC3575" w:rsidRPr="000A3C73">
        <w:t xml:space="preserve">% according to the data in </w:t>
      </w:r>
      <w:r w:rsidRPr="00D77DF1">
        <w:fldChar w:fldCharType="begin"/>
      </w:r>
      <w:r w:rsidR="00EC3575" w:rsidRPr="000A3C73">
        <w:instrText xml:space="preserve"> REF _Ref199310316 \h </w:instrText>
      </w:r>
      <w:r w:rsidRPr="00D77DF1">
        <w:fldChar w:fldCharType="separate"/>
      </w:r>
      <w:r w:rsidR="006E18A7" w:rsidRPr="00D77DF1">
        <w:t xml:space="preserve">Table </w:t>
      </w:r>
      <w:r w:rsidR="006E18A7" w:rsidRPr="00CD42DE">
        <w:rPr>
          <w:noProof/>
        </w:rPr>
        <w:t>4</w:t>
      </w:r>
      <w:r w:rsidRPr="00D77DF1">
        <w:fldChar w:fldCharType="end"/>
      </w:r>
      <w:r w:rsidR="00EC3575" w:rsidRPr="00FC657B">
        <w:t>), delivery for Macedonia was 99.6</w:t>
      </w:r>
      <w:r w:rsidR="00EE14FF" w:rsidRPr="00D77DF1">
        <w:t>4</w:t>
      </w:r>
      <w:r w:rsidR="00EC3575" w:rsidRPr="00CD42DE">
        <w:t xml:space="preserve">% (99.7% according to the data in </w:t>
      </w:r>
      <w:r w:rsidRPr="00D77DF1">
        <w:fldChar w:fldCharType="begin"/>
      </w:r>
      <w:r w:rsidR="00EC3575" w:rsidRPr="000A3C73">
        <w:instrText xml:space="preserve"> REF _Ref210962138 \h </w:instrText>
      </w:r>
      <w:r w:rsidRPr="00D77DF1">
        <w:fldChar w:fldCharType="separate"/>
      </w:r>
      <w:r w:rsidR="006E18A7" w:rsidRPr="00D77DF1">
        <w:t xml:space="preserve">Table </w:t>
      </w:r>
      <w:r w:rsidR="006E18A7" w:rsidRPr="00CD42DE">
        <w:rPr>
          <w:noProof/>
        </w:rPr>
        <w:t>5</w:t>
      </w:r>
      <w:r w:rsidRPr="00D77DF1">
        <w:fldChar w:fldCharType="end"/>
      </w:r>
      <w:r w:rsidR="00EC3575" w:rsidRPr="00FC657B">
        <w:t xml:space="preserve">), and delivery for the transboundary component was 95.6% (96.32% according to the data in </w:t>
      </w:r>
      <w:r w:rsidRPr="00D77DF1">
        <w:fldChar w:fldCharType="begin"/>
      </w:r>
      <w:r w:rsidR="00EC3575" w:rsidRPr="000A3C73">
        <w:instrText xml:space="preserve"> REF _Ref210962148 \h </w:instrText>
      </w:r>
      <w:r w:rsidRPr="00D77DF1">
        <w:fldChar w:fldCharType="separate"/>
      </w:r>
      <w:r w:rsidR="006E18A7" w:rsidRPr="00D77DF1">
        <w:t xml:space="preserve">Table </w:t>
      </w:r>
      <w:r w:rsidR="006E18A7" w:rsidRPr="00CD42DE">
        <w:rPr>
          <w:noProof/>
        </w:rPr>
        <w:t>6</w:t>
      </w:r>
      <w:r w:rsidRPr="00D77DF1">
        <w:fldChar w:fldCharType="end"/>
      </w:r>
      <w:r w:rsidR="00EC3575" w:rsidRPr="00FC657B">
        <w:t xml:space="preserve">). </w:t>
      </w:r>
      <w:r w:rsidR="00F865BE" w:rsidRPr="00D77DF1">
        <w:t xml:space="preserve">The combined delivery rates equate to an overall project delivery rate of approximately </w:t>
      </w:r>
      <w:r w:rsidR="00735E12" w:rsidRPr="00CD42DE">
        <w:t xml:space="preserve">98.1% </w:t>
      </w:r>
      <w:r w:rsidR="00A500A7" w:rsidRPr="00CD42DE">
        <w:t>(</w:t>
      </w:r>
      <w:r w:rsidR="00735E12" w:rsidRPr="00AA7D1F">
        <w:t xml:space="preserve">97.7% </w:t>
      </w:r>
      <w:r w:rsidR="00A500A7" w:rsidRPr="005E69C8">
        <w:t xml:space="preserve">based on the </w:t>
      </w:r>
      <w:r w:rsidR="00EE14FF" w:rsidRPr="00850A96">
        <w:t xml:space="preserve">CDR </w:t>
      </w:r>
      <w:r w:rsidR="00A500A7" w:rsidRPr="008B7E9A">
        <w:t xml:space="preserve">data in </w:t>
      </w:r>
      <w:r w:rsidR="00A500A7" w:rsidRPr="00433B8B">
        <w:t>the tables below)</w:t>
      </w:r>
      <w:r w:rsidR="00F865BE" w:rsidRPr="00433B8B">
        <w:t>, with a</w:t>
      </w:r>
      <w:r w:rsidR="00094A96" w:rsidRPr="00433B8B">
        <w:t xml:space="preserve"> </w:t>
      </w:r>
      <w:r w:rsidR="00CA7EAB" w:rsidRPr="00433B8B">
        <w:t>leftover available budget balance of approximately $80,000 USD ($97,000 USD based on data from available CDRs) out of the total project budget of $4.135 million USD</w:t>
      </w:r>
      <w:r w:rsidR="007544C9" w:rsidRPr="00433B8B">
        <w:t>.</w:t>
      </w:r>
      <w:r w:rsidR="007544C9" w:rsidRPr="00FC657B">
        <w:t xml:space="preserve"> </w:t>
      </w:r>
    </w:p>
    <w:p w:rsidR="001A680F" w:rsidRPr="00D77DF1" w:rsidRDefault="001A680F" w:rsidP="001A680F">
      <w:pPr>
        <w:pStyle w:val="BodyText"/>
        <w:numPr>
          <w:ilvl w:val="0"/>
          <w:numId w:val="0"/>
        </w:numPr>
      </w:pPr>
    </w:p>
    <w:p w:rsidR="00D408CD" w:rsidRPr="000A3C73" w:rsidRDefault="00D408CD" w:rsidP="00D408CD">
      <w:pPr>
        <w:pStyle w:val="BodyText"/>
        <w:sectPr w:rsidR="00D408CD" w:rsidRPr="000A3C73">
          <w:pgSz w:w="12240" w:h="15840"/>
          <w:pgMar w:top="1440" w:right="1440" w:bottom="1440" w:left="1440" w:header="720" w:footer="720" w:gutter="0"/>
          <w:cols w:space="720"/>
        </w:sectPr>
      </w:pPr>
    </w:p>
    <w:p w:rsidR="00D408CD" w:rsidRPr="000A3C73" w:rsidRDefault="00D408CD" w:rsidP="00803C03">
      <w:pPr>
        <w:pStyle w:val="Caption"/>
      </w:pPr>
      <w:bookmarkStart w:id="60" w:name="_Ref199310316"/>
      <w:r w:rsidRPr="000A3C73">
        <w:lastRenderedPageBreak/>
        <w:t xml:space="preserve">Table </w:t>
      </w:r>
      <w:r w:rsidR="008269C6" w:rsidRPr="00552EEF">
        <w:fldChar w:fldCharType="begin"/>
      </w:r>
      <w:r w:rsidR="00CF23E9" w:rsidRPr="000A3C73">
        <w:instrText xml:space="preserve"> SEQ Table \* ARABIC </w:instrText>
      </w:r>
      <w:r w:rsidR="008269C6" w:rsidRPr="00552EEF">
        <w:fldChar w:fldCharType="separate"/>
      </w:r>
      <w:r w:rsidR="006E18A7" w:rsidRPr="000A3C73">
        <w:rPr>
          <w:noProof/>
        </w:rPr>
        <w:t>4</w:t>
      </w:r>
      <w:r w:rsidR="008269C6" w:rsidRPr="00552EEF">
        <w:rPr>
          <w:noProof/>
        </w:rPr>
        <w:fldChar w:fldCharType="end"/>
      </w:r>
      <w:bookmarkEnd w:id="60"/>
      <w:r w:rsidR="00433B8B">
        <w:rPr>
          <w:noProof/>
        </w:rPr>
        <w:t xml:space="preserve"> </w:t>
      </w:r>
      <w:r w:rsidR="00237577" w:rsidRPr="000A3C73">
        <w:t>Albania Component (NEX)</w:t>
      </w:r>
      <w:r w:rsidRPr="000A3C73">
        <w:t xml:space="preserve"> Planned </w:t>
      </w:r>
      <w:r w:rsidR="00D67D5E" w:rsidRPr="000A3C73">
        <w:t>Budget and Actual Expenditure Through March</w:t>
      </w:r>
      <w:r w:rsidRPr="000A3C73">
        <w:t xml:space="preserve"> 31, 201</w:t>
      </w:r>
      <w:r w:rsidR="00D67D5E" w:rsidRPr="000A3C73">
        <w:t xml:space="preserve">2 </w:t>
      </w:r>
      <w:r w:rsidR="00D67D5E" w:rsidRPr="000A3C73">
        <w:rPr>
          <w:sz w:val="20"/>
        </w:rPr>
        <w:t>(USD)</w:t>
      </w:r>
    </w:p>
    <w:tbl>
      <w:tblPr>
        <w:tblW w:w="4973" w:type="pct"/>
        <w:tblCellMar>
          <w:left w:w="70" w:type="dxa"/>
          <w:right w:w="70" w:type="dxa"/>
        </w:tblCellMar>
        <w:tblLook w:val="0000"/>
      </w:tblPr>
      <w:tblGrid>
        <w:gridCol w:w="3876"/>
        <w:gridCol w:w="1222"/>
        <w:gridCol w:w="1459"/>
        <w:gridCol w:w="1175"/>
        <w:gridCol w:w="920"/>
        <w:gridCol w:w="1352"/>
        <w:gridCol w:w="956"/>
        <w:gridCol w:w="2069"/>
      </w:tblGrid>
      <w:tr w:rsidR="00544C77" w:rsidRPr="000A3C73" w:rsidTr="004C6A09">
        <w:trPr>
          <w:trHeight w:val="201"/>
        </w:trPr>
        <w:tc>
          <w:tcPr>
            <w:tcW w:w="1487" w:type="pct"/>
            <w:tcBorders>
              <w:top w:val="single" w:sz="6" w:space="0" w:color="auto"/>
              <w:left w:val="single" w:sz="6" w:space="0" w:color="auto"/>
              <w:bottom w:val="single" w:sz="6" w:space="0" w:color="auto"/>
              <w:right w:val="single" w:sz="6" w:space="0" w:color="auto"/>
            </w:tcBorders>
          </w:tcPr>
          <w:p w:rsidR="00544C77" w:rsidRPr="000A3C73" w:rsidRDefault="00544C77" w:rsidP="00232B88">
            <w:pPr>
              <w:autoSpaceDE w:val="0"/>
              <w:autoSpaceDN w:val="0"/>
              <w:adjustRightInd w:val="0"/>
              <w:jc w:val="right"/>
              <w:rPr>
                <w:rFonts w:ascii="Calibri" w:hAnsi="Calibri" w:cs="Calibri"/>
                <w:color w:val="000000"/>
                <w:sz w:val="18"/>
                <w:szCs w:val="18"/>
              </w:rPr>
            </w:pPr>
          </w:p>
        </w:tc>
        <w:tc>
          <w:tcPr>
            <w:tcW w:w="469" w:type="pct"/>
            <w:tcBorders>
              <w:top w:val="single" w:sz="6" w:space="0" w:color="auto"/>
              <w:left w:val="single" w:sz="6" w:space="0" w:color="auto"/>
              <w:bottom w:val="single" w:sz="6" w:space="0" w:color="auto"/>
              <w:right w:val="single" w:sz="6" w:space="0" w:color="auto"/>
            </w:tcBorders>
            <w:shd w:val="solid" w:color="C0C0C0" w:fill="auto"/>
          </w:tcPr>
          <w:p w:rsidR="00544C77" w:rsidRPr="000A3C73" w:rsidRDefault="00544C77" w:rsidP="00232B88">
            <w:pPr>
              <w:autoSpaceDE w:val="0"/>
              <w:autoSpaceDN w:val="0"/>
              <w:adjustRightInd w:val="0"/>
              <w:jc w:val="center"/>
              <w:rPr>
                <w:rFonts w:ascii="Calibri" w:hAnsi="Calibri" w:cs="Calibri"/>
                <w:b/>
                <w:bCs/>
                <w:color w:val="000000"/>
                <w:sz w:val="18"/>
                <w:szCs w:val="18"/>
              </w:rPr>
            </w:pPr>
            <w:r w:rsidRPr="000A3C73">
              <w:rPr>
                <w:rFonts w:ascii="Calibri" w:hAnsi="Calibri" w:cs="Calibri"/>
                <w:b/>
                <w:bCs/>
                <w:color w:val="000000"/>
                <w:sz w:val="18"/>
                <w:szCs w:val="18"/>
              </w:rPr>
              <w:t>GEF amount planned</w:t>
            </w:r>
          </w:p>
        </w:tc>
        <w:tc>
          <w:tcPr>
            <w:tcW w:w="560" w:type="pct"/>
            <w:tcBorders>
              <w:top w:val="single" w:sz="6" w:space="0" w:color="auto"/>
              <w:left w:val="single" w:sz="6" w:space="0" w:color="auto"/>
              <w:bottom w:val="single" w:sz="6" w:space="0" w:color="auto"/>
              <w:right w:val="single" w:sz="6" w:space="0" w:color="auto"/>
            </w:tcBorders>
            <w:shd w:val="solid" w:color="C0C0C0" w:fill="auto"/>
          </w:tcPr>
          <w:p w:rsidR="00544C77" w:rsidRPr="000A3C73" w:rsidRDefault="00544C77" w:rsidP="00232B88">
            <w:pPr>
              <w:autoSpaceDE w:val="0"/>
              <w:autoSpaceDN w:val="0"/>
              <w:adjustRightInd w:val="0"/>
              <w:jc w:val="center"/>
              <w:rPr>
                <w:rFonts w:ascii="Calibri" w:hAnsi="Calibri" w:cs="Calibri"/>
                <w:b/>
                <w:bCs/>
                <w:color w:val="000000"/>
                <w:sz w:val="18"/>
                <w:szCs w:val="18"/>
              </w:rPr>
            </w:pPr>
            <w:r w:rsidRPr="000A3C73">
              <w:rPr>
                <w:rFonts w:ascii="Calibri" w:hAnsi="Calibri" w:cs="Calibri"/>
                <w:b/>
                <w:bCs/>
                <w:color w:val="000000"/>
                <w:sz w:val="18"/>
                <w:szCs w:val="18"/>
              </w:rPr>
              <w:t>% of GEF amount planned</w:t>
            </w:r>
          </w:p>
        </w:tc>
        <w:tc>
          <w:tcPr>
            <w:tcW w:w="451" w:type="pct"/>
            <w:tcBorders>
              <w:top w:val="single" w:sz="6" w:space="0" w:color="auto"/>
              <w:left w:val="single" w:sz="6" w:space="0" w:color="auto"/>
              <w:bottom w:val="single" w:sz="6" w:space="0" w:color="auto"/>
              <w:right w:val="single" w:sz="6" w:space="0" w:color="auto"/>
            </w:tcBorders>
            <w:shd w:val="solid" w:color="C0C0C0" w:fill="auto"/>
          </w:tcPr>
          <w:p w:rsidR="00544C77" w:rsidRPr="000A3C73" w:rsidRDefault="00544C77" w:rsidP="00232B88">
            <w:pPr>
              <w:autoSpaceDE w:val="0"/>
              <w:autoSpaceDN w:val="0"/>
              <w:adjustRightInd w:val="0"/>
              <w:jc w:val="center"/>
              <w:rPr>
                <w:rFonts w:ascii="Calibri" w:hAnsi="Calibri" w:cs="Calibri"/>
                <w:b/>
                <w:bCs/>
                <w:color w:val="000000"/>
                <w:sz w:val="18"/>
                <w:szCs w:val="18"/>
              </w:rPr>
            </w:pPr>
            <w:r w:rsidRPr="000A3C73">
              <w:rPr>
                <w:rFonts w:ascii="Calibri" w:hAnsi="Calibri" w:cs="Calibri"/>
                <w:b/>
                <w:bCs/>
                <w:color w:val="000000"/>
                <w:sz w:val="18"/>
                <w:szCs w:val="18"/>
              </w:rPr>
              <w:t>GEF amount actual</w:t>
            </w:r>
          </w:p>
        </w:tc>
        <w:tc>
          <w:tcPr>
            <w:tcW w:w="353" w:type="pct"/>
            <w:tcBorders>
              <w:top w:val="single" w:sz="6" w:space="0" w:color="auto"/>
              <w:left w:val="single" w:sz="6" w:space="0" w:color="auto"/>
              <w:bottom w:val="single" w:sz="6" w:space="0" w:color="auto"/>
              <w:right w:val="single" w:sz="6" w:space="0" w:color="auto"/>
            </w:tcBorders>
            <w:shd w:val="solid" w:color="C0C0C0" w:fill="auto"/>
          </w:tcPr>
          <w:p w:rsidR="00544C77" w:rsidRPr="000A3C73" w:rsidRDefault="00806165" w:rsidP="00232B88">
            <w:pPr>
              <w:autoSpaceDE w:val="0"/>
              <w:autoSpaceDN w:val="0"/>
              <w:adjustRightInd w:val="0"/>
              <w:jc w:val="center"/>
              <w:rPr>
                <w:rFonts w:ascii="Calibri" w:hAnsi="Calibri" w:cs="Calibri"/>
                <w:b/>
                <w:bCs/>
                <w:color w:val="000000"/>
                <w:sz w:val="18"/>
                <w:szCs w:val="18"/>
              </w:rPr>
            </w:pPr>
            <w:r w:rsidRPr="000A3C73">
              <w:rPr>
                <w:rFonts w:ascii="Calibri" w:hAnsi="Calibri" w:cs="Calibri"/>
                <w:b/>
                <w:bCs/>
                <w:color w:val="000000"/>
                <w:sz w:val="18"/>
                <w:szCs w:val="18"/>
              </w:rPr>
              <w:t xml:space="preserve">$ </w:t>
            </w:r>
            <w:r w:rsidR="00544C77" w:rsidRPr="000A3C73">
              <w:rPr>
                <w:rFonts w:ascii="Calibri" w:hAnsi="Calibri" w:cs="Calibri"/>
                <w:b/>
                <w:bCs/>
                <w:color w:val="000000"/>
                <w:sz w:val="18"/>
                <w:szCs w:val="18"/>
              </w:rPr>
              <w:t>Difference</w:t>
            </w:r>
          </w:p>
        </w:tc>
        <w:tc>
          <w:tcPr>
            <w:tcW w:w="519" w:type="pct"/>
            <w:tcBorders>
              <w:top w:val="single" w:sz="6" w:space="0" w:color="auto"/>
              <w:left w:val="single" w:sz="6" w:space="0" w:color="auto"/>
              <w:bottom w:val="single" w:sz="6" w:space="0" w:color="auto"/>
              <w:right w:val="single" w:sz="6" w:space="0" w:color="auto"/>
            </w:tcBorders>
            <w:shd w:val="solid" w:color="C0C0C0" w:fill="auto"/>
          </w:tcPr>
          <w:p w:rsidR="00544C77" w:rsidRPr="000A3C73" w:rsidRDefault="00544C77" w:rsidP="00232B88">
            <w:pPr>
              <w:autoSpaceDE w:val="0"/>
              <w:autoSpaceDN w:val="0"/>
              <w:adjustRightInd w:val="0"/>
              <w:jc w:val="center"/>
              <w:rPr>
                <w:rFonts w:ascii="Calibri" w:hAnsi="Calibri" w:cs="Calibri"/>
                <w:b/>
                <w:bCs/>
                <w:color w:val="000000"/>
                <w:sz w:val="18"/>
                <w:szCs w:val="18"/>
              </w:rPr>
            </w:pPr>
            <w:r w:rsidRPr="000A3C73">
              <w:rPr>
                <w:rFonts w:ascii="Calibri" w:hAnsi="Calibri" w:cs="Calibri"/>
                <w:b/>
                <w:bCs/>
                <w:color w:val="000000"/>
                <w:sz w:val="18"/>
                <w:szCs w:val="18"/>
              </w:rPr>
              <w:t>% of GEF amount actual</w:t>
            </w:r>
          </w:p>
        </w:tc>
        <w:tc>
          <w:tcPr>
            <w:tcW w:w="367" w:type="pct"/>
            <w:tcBorders>
              <w:top w:val="single" w:sz="6" w:space="0" w:color="auto"/>
              <w:left w:val="single" w:sz="6" w:space="0" w:color="auto"/>
              <w:bottom w:val="single" w:sz="6" w:space="0" w:color="auto"/>
              <w:right w:val="single" w:sz="6" w:space="0" w:color="auto"/>
            </w:tcBorders>
            <w:shd w:val="solid" w:color="C0C0C0" w:fill="auto"/>
          </w:tcPr>
          <w:p w:rsidR="00544C77" w:rsidRPr="000A3C73" w:rsidRDefault="00806165" w:rsidP="00232B88">
            <w:pPr>
              <w:autoSpaceDE w:val="0"/>
              <w:autoSpaceDN w:val="0"/>
              <w:adjustRightInd w:val="0"/>
              <w:jc w:val="center"/>
              <w:rPr>
                <w:rFonts w:ascii="Calibri" w:hAnsi="Calibri" w:cs="Calibri"/>
                <w:b/>
                <w:bCs/>
                <w:color w:val="000000"/>
                <w:sz w:val="18"/>
                <w:szCs w:val="18"/>
              </w:rPr>
            </w:pPr>
            <w:r w:rsidRPr="000A3C73">
              <w:rPr>
                <w:rFonts w:ascii="Calibri" w:hAnsi="Calibri" w:cs="Calibri"/>
                <w:b/>
                <w:bCs/>
                <w:color w:val="000000"/>
                <w:sz w:val="18"/>
                <w:szCs w:val="18"/>
              </w:rPr>
              <w:t xml:space="preserve">% </w:t>
            </w:r>
            <w:r w:rsidR="00544C77" w:rsidRPr="000A3C73">
              <w:rPr>
                <w:rFonts w:ascii="Calibri" w:hAnsi="Calibri" w:cs="Calibri"/>
                <w:b/>
                <w:bCs/>
                <w:color w:val="000000"/>
                <w:sz w:val="18"/>
                <w:szCs w:val="18"/>
              </w:rPr>
              <w:t>Difference</w:t>
            </w:r>
          </w:p>
        </w:tc>
        <w:tc>
          <w:tcPr>
            <w:tcW w:w="794" w:type="pct"/>
            <w:tcBorders>
              <w:top w:val="single" w:sz="6" w:space="0" w:color="auto"/>
              <w:left w:val="single" w:sz="6" w:space="0" w:color="auto"/>
              <w:bottom w:val="single" w:sz="6" w:space="0" w:color="auto"/>
              <w:right w:val="single" w:sz="6" w:space="0" w:color="auto"/>
            </w:tcBorders>
            <w:shd w:val="solid" w:color="C0C0C0" w:fill="auto"/>
          </w:tcPr>
          <w:p w:rsidR="00544C77" w:rsidRPr="000A3C73" w:rsidRDefault="00544C77" w:rsidP="00232B88">
            <w:pPr>
              <w:autoSpaceDE w:val="0"/>
              <w:autoSpaceDN w:val="0"/>
              <w:adjustRightInd w:val="0"/>
              <w:jc w:val="center"/>
              <w:rPr>
                <w:rFonts w:ascii="Calibri" w:hAnsi="Calibri" w:cs="Calibri"/>
                <w:b/>
                <w:bCs/>
                <w:color w:val="000000"/>
                <w:sz w:val="18"/>
                <w:szCs w:val="18"/>
              </w:rPr>
            </w:pPr>
            <w:r w:rsidRPr="000A3C73">
              <w:rPr>
                <w:rFonts w:ascii="Calibri" w:hAnsi="Calibri" w:cs="Calibri"/>
                <w:b/>
                <w:bCs/>
                <w:color w:val="000000"/>
                <w:sz w:val="18"/>
                <w:szCs w:val="18"/>
              </w:rPr>
              <w:t xml:space="preserve">Planned Co-financing Implemented by UNDP </w:t>
            </w:r>
          </w:p>
        </w:tc>
      </w:tr>
      <w:tr w:rsidR="00544C77" w:rsidRPr="000A3C73" w:rsidTr="004C6A09">
        <w:trPr>
          <w:trHeight w:val="399"/>
        </w:trPr>
        <w:tc>
          <w:tcPr>
            <w:tcW w:w="1487" w:type="pct"/>
            <w:tcBorders>
              <w:top w:val="single" w:sz="6" w:space="0" w:color="auto"/>
              <w:left w:val="single" w:sz="6" w:space="0" w:color="auto"/>
              <w:bottom w:val="single" w:sz="6" w:space="0" w:color="auto"/>
              <w:right w:val="single" w:sz="6" w:space="0" w:color="auto"/>
            </w:tcBorders>
          </w:tcPr>
          <w:p w:rsidR="00544C77" w:rsidRPr="00FC657B" w:rsidRDefault="00544C77" w:rsidP="009E37E1">
            <w:pPr>
              <w:autoSpaceDE w:val="0"/>
              <w:autoSpaceDN w:val="0"/>
              <w:adjustRightInd w:val="0"/>
              <w:rPr>
                <w:rFonts w:ascii="Calibri" w:hAnsi="Calibri" w:cs="Calibri"/>
                <w:color w:val="000000"/>
                <w:sz w:val="18"/>
                <w:szCs w:val="18"/>
              </w:rPr>
            </w:pPr>
            <w:r w:rsidRPr="000A3C73">
              <w:rPr>
                <w:rFonts w:ascii="Calibri" w:hAnsi="Calibri" w:cs="Calibri"/>
                <w:b/>
                <w:color w:val="000000"/>
                <w:sz w:val="18"/>
                <w:szCs w:val="18"/>
              </w:rPr>
              <w:t>Outcome 1:</w:t>
            </w:r>
            <w:r w:rsidRPr="0089284E">
              <w:rPr>
                <w:rFonts w:ascii="Calibri" w:hAnsi="Calibri" w:cs="Calibri"/>
                <w:bCs/>
                <w:color w:val="000000"/>
                <w:sz w:val="18"/>
                <w:szCs w:val="18"/>
              </w:rPr>
              <w:t>Land and Water / Nature Resource Management</w:t>
            </w:r>
          </w:p>
        </w:tc>
        <w:tc>
          <w:tcPr>
            <w:tcW w:w="469" w:type="pct"/>
            <w:tcBorders>
              <w:top w:val="single" w:sz="6" w:space="0" w:color="auto"/>
              <w:left w:val="single" w:sz="6" w:space="0" w:color="auto"/>
              <w:bottom w:val="single" w:sz="6" w:space="0" w:color="auto"/>
              <w:right w:val="single" w:sz="6" w:space="0" w:color="auto"/>
            </w:tcBorders>
          </w:tcPr>
          <w:p w:rsidR="00544C77" w:rsidRPr="00D77DF1" w:rsidRDefault="00544C77" w:rsidP="00232B88">
            <w:pPr>
              <w:autoSpaceDE w:val="0"/>
              <w:autoSpaceDN w:val="0"/>
              <w:adjustRightInd w:val="0"/>
              <w:jc w:val="right"/>
              <w:rPr>
                <w:rFonts w:ascii="Calibri" w:hAnsi="Calibri" w:cs="Calibri"/>
                <w:color w:val="000000"/>
                <w:sz w:val="18"/>
                <w:szCs w:val="18"/>
              </w:rPr>
            </w:pPr>
            <w:r w:rsidRPr="00FC657B">
              <w:rPr>
                <w:rFonts w:ascii="Calibri" w:hAnsi="Calibri" w:cs="Calibri"/>
                <w:color w:val="000000"/>
                <w:sz w:val="18"/>
                <w:szCs w:val="18"/>
              </w:rPr>
              <w:t>0.19</w:t>
            </w:r>
          </w:p>
        </w:tc>
        <w:tc>
          <w:tcPr>
            <w:tcW w:w="560" w:type="pct"/>
            <w:tcBorders>
              <w:top w:val="single" w:sz="6" w:space="0" w:color="auto"/>
              <w:left w:val="single" w:sz="6" w:space="0" w:color="auto"/>
              <w:bottom w:val="single" w:sz="6" w:space="0" w:color="auto"/>
              <w:right w:val="single" w:sz="6" w:space="0" w:color="auto"/>
            </w:tcBorders>
          </w:tcPr>
          <w:p w:rsidR="00544C77" w:rsidRPr="00AA7D1F" w:rsidRDefault="00544C77" w:rsidP="00232B88">
            <w:pPr>
              <w:autoSpaceDE w:val="0"/>
              <w:autoSpaceDN w:val="0"/>
              <w:adjustRightInd w:val="0"/>
              <w:jc w:val="right"/>
              <w:rPr>
                <w:rFonts w:ascii="Calibri" w:hAnsi="Calibri" w:cs="Calibri"/>
                <w:color w:val="000000"/>
                <w:sz w:val="18"/>
                <w:szCs w:val="18"/>
              </w:rPr>
            </w:pPr>
            <w:r w:rsidRPr="00CD42DE">
              <w:rPr>
                <w:rFonts w:ascii="Calibri" w:hAnsi="Calibri" w:cs="Calibri"/>
                <w:color w:val="000000"/>
                <w:sz w:val="18"/>
                <w:szCs w:val="18"/>
              </w:rPr>
              <w:t>18.1</w:t>
            </w:r>
            <w:r w:rsidR="00D272D4" w:rsidRPr="00CD42DE">
              <w:rPr>
                <w:rFonts w:ascii="Calibri" w:hAnsi="Calibri" w:cs="Calibri"/>
                <w:color w:val="000000"/>
                <w:sz w:val="18"/>
                <w:szCs w:val="18"/>
              </w:rPr>
              <w:t>%</w:t>
            </w:r>
          </w:p>
        </w:tc>
        <w:tc>
          <w:tcPr>
            <w:tcW w:w="451" w:type="pct"/>
            <w:tcBorders>
              <w:top w:val="single" w:sz="6" w:space="0" w:color="auto"/>
              <w:left w:val="single" w:sz="6" w:space="0" w:color="auto"/>
              <w:bottom w:val="single" w:sz="6" w:space="0" w:color="auto"/>
              <w:right w:val="single" w:sz="6" w:space="0" w:color="auto"/>
            </w:tcBorders>
          </w:tcPr>
          <w:p w:rsidR="00544C77" w:rsidRPr="00850A96" w:rsidRDefault="008A2117" w:rsidP="00232B88">
            <w:pPr>
              <w:autoSpaceDE w:val="0"/>
              <w:autoSpaceDN w:val="0"/>
              <w:adjustRightInd w:val="0"/>
              <w:jc w:val="right"/>
              <w:rPr>
                <w:rFonts w:ascii="Calibri" w:hAnsi="Calibri" w:cs="Calibri"/>
                <w:color w:val="000000"/>
                <w:sz w:val="18"/>
                <w:szCs w:val="18"/>
              </w:rPr>
            </w:pPr>
            <w:r w:rsidRPr="005E69C8">
              <w:rPr>
                <w:rFonts w:ascii="Calibri" w:hAnsi="Calibri" w:cs="Calibri"/>
                <w:color w:val="000000"/>
                <w:sz w:val="18"/>
                <w:szCs w:val="18"/>
              </w:rPr>
              <w:t>0.22</w:t>
            </w:r>
          </w:p>
        </w:tc>
        <w:tc>
          <w:tcPr>
            <w:tcW w:w="353" w:type="pct"/>
            <w:tcBorders>
              <w:top w:val="single" w:sz="6" w:space="0" w:color="auto"/>
              <w:left w:val="single" w:sz="6" w:space="0" w:color="auto"/>
              <w:bottom w:val="single" w:sz="6" w:space="0" w:color="auto"/>
              <w:right w:val="single" w:sz="6" w:space="0" w:color="auto"/>
            </w:tcBorders>
          </w:tcPr>
          <w:p w:rsidR="00544C77" w:rsidRPr="000126EE" w:rsidRDefault="008A2117" w:rsidP="008A2117">
            <w:pPr>
              <w:autoSpaceDE w:val="0"/>
              <w:autoSpaceDN w:val="0"/>
              <w:adjustRightInd w:val="0"/>
              <w:jc w:val="right"/>
              <w:rPr>
                <w:rFonts w:ascii="Calibri" w:hAnsi="Calibri" w:cs="Calibri"/>
                <w:color w:val="000000"/>
                <w:sz w:val="18"/>
                <w:szCs w:val="18"/>
              </w:rPr>
            </w:pPr>
            <w:r w:rsidRPr="008B7E9A">
              <w:rPr>
                <w:rFonts w:ascii="Calibri" w:hAnsi="Calibri" w:cs="Calibri"/>
                <w:color w:val="000000"/>
                <w:sz w:val="18"/>
                <w:szCs w:val="18"/>
              </w:rPr>
              <w:t>0.03</w:t>
            </w:r>
          </w:p>
        </w:tc>
        <w:tc>
          <w:tcPr>
            <w:tcW w:w="519" w:type="pct"/>
            <w:tcBorders>
              <w:top w:val="single" w:sz="6" w:space="0" w:color="auto"/>
              <w:left w:val="single" w:sz="6" w:space="0" w:color="auto"/>
              <w:bottom w:val="single" w:sz="6" w:space="0" w:color="auto"/>
              <w:right w:val="single" w:sz="6" w:space="0" w:color="auto"/>
            </w:tcBorders>
          </w:tcPr>
          <w:p w:rsidR="00544C77" w:rsidRPr="00602E30" w:rsidRDefault="00DC4810" w:rsidP="00232B88">
            <w:pPr>
              <w:autoSpaceDE w:val="0"/>
              <w:autoSpaceDN w:val="0"/>
              <w:adjustRightInd w:val="0"/>
              <w:jc w:val="right"/>
              <w:rPr>
                <w:rFonts w:ascii="Calibri" w:hAnsi="Calibri" w:cs="Calibri"/>
                <w:color w:val="000000"/>
                <w:sz w:val="18"/>
                <w:szCs w:val="18"/>
              </w:rPr>
            </w:pPr>
            <w:r w:rsidRPr="00B71D27">
              <w:rPr>
                <w:rFonts w:ascii="Calibri" w:hAnsi="Calibri" w:cs="Calibri"/>
                <w:color w:val="000000"/>
                <w:sz w:val="18"/>
                <w:szCs w:val="18"/>
              </w:rPr>
              <w:t>21.1</w:t>
            </w:r>
            <w:r w:rsidR="00BF5F72" w:rsidRPr="00595792">
              <w:rPr>
                <w:rFonts w:ascii="Calibri" w:hAnsi="Calibri" w:cs="Calibri"/>
                <w:color w:val="000000"/>
                <w:sz w:val="18"/>
                <w:szCs w:val="18"/>
              </w:rPr>
              <w:t>%</w:t>
            </w:r>
          </w:p>
        </w:tc>
        <w:tc>
          <w:tcPr>
            <w:tcW w:w="367" w:type="pct"/>
            <w:tcBorders>
              <w:top w:val="single" w:sz="6" w:space="0" w:color="auto"/>
              <w:left w:val="single" w:sz="6" w:space="0" w:color="auto"/>
              <w:bottom w:val="single" w:sz="6" w:space="0" w:color="auto"/>
              <w:right w:val="single" w:sz="6" w:space="0" w:color="auto"/>
            </w:tcBorders>
          </w:tcPr>
          <w:p w:rsidR="00544C77" w:rsidRPr="00C56966" w:rsidRDefault="002630AF" w:rsidP="00232B88">
            <w:pPr>
              <w:autoSpaceDE w:val="0"/>
              <w:autoSpaceDN w:val="0"/>
              <w:adjustRightInd w:val="0"/>
              <w:jc w:val="right"/>
              <w:rPr>
                <w:rFonts w:ascii="Calibri" w:hAnsi="Calibri" w:cs="Calibri"/>
                <w:color w:val="000000"/>
                <w:sz w:val="18"/>
                <w:szCs w:val="18"/>
              </w:rPr>
            </w:pPr>
            <w:r w:rsidRPr="002A69B7">
              <w:rPr>
                <w:rFonts w:ascii="Calibri" w:hAnsi="Calibri" w:cs="Calibri"/>
                <w:color w:val="000000"/>
                <w:sz w:val="18"/>
                <w:szCs w:val="18"/>
              </w:rPr>
              <w:t>3.0</w:t>
            </w:r>
            <w:r w:rsidR="00D272D4" w:rsidRPr="002C744B">
              <w:rPr>
                <w:rFonts w:ascii="Calibri" w:hAnsi="Calibri" w:cs="Calibri"/>
                <w:color w:val="000000"/>
                <w:sz w:val="18"/>
                <w:szCs w:val="18"/>
              </w:rPr>
              <w:t>%</w:t>
            </w:r>
          </w:p>
        </w:tc>
        <w:tc>
          <w:tcPr>
            <w:tcW w:w="794" w:type="pct"/>
            <w:tcBorders>
              <w:top w:val="single" w:sz="6" w:space="0" w:color="auto"/>
              <w:left w:val="single" w:sz="6" w:space="0" w:color="auto"/>
              <w:bottom w:val="single" w:sz="6" w:space="0" w:color="auto"/>
              <w:right w:val="single" w:sz="6" w:space="0" w:color="auto"/>
            </w:tcBorders>
          </w:tcPr>
          <w:p w:rsidR="00544C77" w:rsidRPr="000A3C73" w:rsidRDefault="005A7184" w:rsidP="00232B88">
            <w:pPr>
              <w:autoSpaceDE w:val="0"/>
              <w:autoSpaceDN w:val="0"/>
              <w:adjustRightInd w:val="0"/>
              <w:jc w:val="right"/>
              <w:rPr>
                <w:rFonts w:ascii="Calibri" w:hAnsi="Calibri" w:cs="Calibri"/>
                <w:color w:val="000000"/>
                <w:sz w:val="18"/>
                <w:szCs w:val="18"/>
              </w:rPr>
            </w:pPr>
            <w:r w:rsidRPr="002D3949">
              <w:rPr>
                <w:rFonts w:ascii="Calibri" w:hAnsi="Calibri" w:cs="Calibri"/>
                <w:color w:val="000000"/>
                <w:sz w:val="18"/>
                <w:szCs w:val="18"/>
              </w:rPr>
              <w:t>0.12 (Government of Albania)</w:t>
            </w:r>
          </w:p>
        </w:tc>
      </w:tr>
      <w:tr w:rsidR="004C6A09" w:rsidRPr="000A3C73" w:rsidTr="004C6A09">
        <w:trPr>
          <w:trHeight w:val="174"/>
        </w:trPr>
        <w:tc>
          <w:tcPr>
            <w:tcW w:w="1487" w:type="pct"/>
            <w:tcBorders>
              <w:top w:val="single" w:sz="6" w:space="0" w:color="auto"/>
              <w:left w:val="single" w:sz="6" w:space="0" w:color="auto"/>
              <w:bottom w:val="single" w:sz="6" w:space="0" w:color="auto"/>
              <w:right w:val="single" w:sz="6" w:space="0" w:color="auto"/>
            </w:tcBorders>
          </w:tcPr>
          <w:p w:rsidR="004C6A09" w:rsidRPr="00FC657B" w:rsidRDefault="004C6A09" w:rsidP="009E37E1">
            <w:pPr>
              <w:autoSpaceDE w:val="0"/>
              <w:autoSpaceDN w:val="0"/>
              <w:adjustRightInd w:val="0"/>
              <w:rPr>
                <w:rFonts w:ascii="Calibri" w:hAnsi="Calibri" w:cs="Calibri"/>
                <w:color w:val="000000"/>
                <w:sz w:val="18"/>
                <w:szCs w:val="18"/>
              </w:rPr>
            </w:pPr>
            <w:r w:rsidRPr="000A3C73">
              <w:rPr>
                <w:rFonts w:ascii="Calibri" w:hAnsi="Calibri" w:cs="Calibri"/>
                <w:b/>
                <w:color w:val="000000"/>
                <w:sz w:val="18"/>
                <w:szCs w:val="18"/>
              </w:rPr>
              <w:t>Outcome 2:</w:t>
            </w:r>
            <w:r w:rsidRPr="0089284E">
              <w:rPr>
                <w:rFonts w:ascii="Calibri" w:hAnsi="Calibri" w:cs="Calibri"/>
                <w:color w:val="000000"/>
                <w:sz w:val="18"/>
                <w:szCs w:val="18"/>
              </w:rPr>
              <w:t>Productive Sector Improvement</w:t>
            </w:r>
          </w:p>
        </w:tc>
        <w:tc>
          <w:tcPr>
            <w:tcW w:w="469" w:type="pct"/>
            <w:tcBorders>
              <w:top w:val="single" w:sz="6" w:space="0" w:color="auto"/>
              <w:left w:val="single" w:sz="6" w:space="0" w:color="auto"/>
              <w:bottom w:val="single" w:sz="6" w:space="0" w:color="auto"/>
              <w:right w:val="single" w:sz="6" w:space="0" w:color="auto"/>
            </w:tcBorders>
          </w:tcPr>
          <w:p w:rsidR="004C6A09" w:rsidRPr="00D77DF1" w:rsidRDefault="004C6A09" w:rsidP="00232B88">
            <w:pPr>
              <w:autoSpaceDE w:val="0"/>
              <w:autoSpaceDN w:val="0"/>
              <w:adjustRightInd w:val="0"/>
              <w:jc w:val="right"/>
              <w:rPr>
                <w:rFonts w:ascii="Calibri" w:hAnsi="Calibri" w:cs="Calibri"/>
                <w:color w:val="000000"/>
                <w:sz w:val="18"/>
                <w:szCs w:val="18"/>
              </w:rPr>
            </w:pPr>
            <w:r w:rsidRPr="00FC657B">
              <w:rPr>
                <w:rFonts w:ascii="Calibri" w:hAnsi="Calibri" w:cs="Calibri"/>
                <w:color w:val="000000"/>
                <w:sz w:val="18"/>
                <w:szCs w:val="18"/>
              </w:rPr>
              <w:t>0.33</w:t>
            </w:r>
          </w:p>
        </w:tc>
        <w:tc>
          <w:tcPr>
            <w:tcW w:w="560" w:type="pct"/>
            <w:tcBorders>
              <w:top w:val="single" w:sz="6" w:space="0" w:color="auto"/>
              <w:left w:val="single" w:sz="6" w:space="0" w:color="auto"/>
              <w:bottom w:val="single" w:sz="6" w:space="0" w:color="auto"/>
              <w:right w:val="single" w:sz="6" w:space="0" w:color="auto"/>
            </w:tcBorders>
          </w:tcPr>
          <w:p w:rsidR="004C6A09" w:rsidRPr="00AA7D1F" w:rsidRDefault="004C6A09" w:rsidP="00232B88">
            <w:pPr>
              <w:autoSpaceDE w:val="0"/>
              <w:autoSpaceDN w:val="0"/>
              <w:adjustRightInd w:val="0"/>
              <w:jc w:val="right"/>
              <w:rPr>
                <w:rFonts w:ascii="Calibri" w:hAnsi="Calibri" w:cs="Calibri"/>
                <w:color w:val="000000"/>
                <w:sz w:val="18"/>
                <w:szCs w:val="18"/>
              </w:rPr>
            </w:pPr>
            <w:r w:rsidRPr="00CD42DE">
              <w:rPr>
                <w:rFonts w:ascii="Calibri" w:hAnsi="Calibri" w:cs="Calibri"/>
                <w:color w:val="000000"/>
                <w:sz w:val="18"/>
                <w:szCs w:val="18"/>
              </w:rPr>
              <w:t>31.0</w:t>
            </w:r>
            <w:r w:rsidR="00D272D4" w:rsidRPr="00CD42DE">
              <w:rPr>
                <w:rFonts w:ascii="Calibri" w:hAnsi="Calibri" w:cs="Calibri"/>
                <w:color w:val="000000"/>
                <w:sz w:val="18"/>
                <w:szCs w:val="18"/>
              </w:rPr>
              <w:t>%</w:t>
            </w:r>
          </w:p>
        </w:tc>
        <w:tc>
          <w:tcPr>
            <w:tcW w:w="451" w:type="pct"/>
            <w:tcBorders>
              <w:top w:val="single" w:sz="6" w:space="0" w:color="auto"/>
              <w:left w:val="single" w:sz="6" w:space="0" w:color="auto"/>
              <w:bottom w:val="single" w:sz="6" w:space="0" w:color="auto"/>
              <w:right w:val="single" w:sz="6" w:space="0" w:color="auto"/>
            </w:tcBorders>
          </w:tcPr>
          <w:p w:rsidR="004C6A09" w:rsidRPr="00850A96" w:rsidRDefault="008A2117" w:rsidP="00232B88">
            <w:pPr>
              <w:autoSpaceDE w:val="0"/>
              <w:autoSpaceDN w:val="0"/>
              <w:adjustRightInd w:val="0"/>
              <w:jc w:val="right"/>
              <w:rPr>
                <w:rFonts w:ascii="Calibri" w:hAnsi="Calibri" w:cs="Calibri"/>
                <w:color w:val="000000"/>
                <w:sz w:val="18"/>
                <w:szCs w:val="18"/>
              </w:rPr>
            </w:pPr>
            <w:r w:rsidRPr="005E69C8">
              <w:rPr>
                <w:rFonts w:ascii="Calibri" w:hAnsi="Calibri" w:cs="Calibri"/>
                <w:color w:val="000000"/>
                <w:sz w:val="18"/>
                <w:szCs w:val="18"/>
              </w:rPr>
              <w:t>0.34</w:t>
            </w:r>
          </w:p>
        </w:tc>
        <w:tc>
          <w:tcPr>
            <w:tcW w:w="353" w:type="pct"/>
            <w:tcBorders>
              <w:top w:val="single" w:sz="6" w:space="0" w:color="auto"/>
              <w:left w:val="single" w:sz="6" w:space="0" w:color="auto"/>
              <w:bottom w:val="single" w:sz="6" w:space="0" w:color="auto"/>
              <w:right w:val="single" w:sz="6" w:space="0" w:color="auto"/>
            </w:tcBorders>
          </w:tcPr>
          <w:p w:rsidR="004C6A09" w:rsidRPr="000126EE" w:rsidRDefault="008A2117" w:rsidP="00232B88">
            <w:pPr>
              <w:autoSpaceDE w:val="0"/>
              <w:autoSpaceDN w:val="0"/>
              <w:adjustRightInd w:val="0"/>
              <w:jc w:val="right"/>
              <w:rPr>
                <w:rFonts w:ascii="Calibri" w:hAnsi="Calibri" w:cs="Calibri"/>
                <w:color w:val="000000"/>
                <w:sz w:val="18"/>
                <w:szCs w:val="18"/>
              </w:rPr>
            </w:pPr>
            <w:r w:rsidRPr="008B7E9A">
              <w:rPr>
                <w:rFonts w:ascii="Calibri" w:hAnsi="Calibri" w:cs="Calibri"/>
                <w:color w:val="000000"/>
                <w:sz w:val="18"/>
                <w:szCs w:val="18"/>
              </w:rPr>
              <w:t>0.02</w:t>
            </w:r>
          </w:p>
        </w:tc>
        <w:tc>
          <w:tcPr>
            <w:tcW w:w="519" w:type="pct"/>
            <w:tcBorders>
              <w:top w:val="single" w:sz="6" w:space="0" w:color="auto"/>
              <w:left w:val="single" w:sz="6" w:space="0" w:color="auto"/>
              <w:bottom w:val="single" w:sz="6" w:space="0" w:color="auto"/>
              <w:right w:val="single" w:sz="6" w:space="0" w:color="auto"/>
            </w:tcBorders>
          </w:tcPr>
          <w:p w:rsidR="004C6A09" w:rsidRPr="00602E30" w:rsidRDefault="00DC4810" w:rsidP="00232B88">
            <w:pPr>
              <w:autoSpaceDE w:val="0"/>
              <w:autoSpaceDN w:val="0"/>
              <w:adjustRightInd w:val="0"/>
              <w:jc w:val="right"/>
              <w:rPr>
                <w:rFonts w:ascii="Calibri" w:hAnsi="Calibri" w:cs="Calibri"/>
                <w:color w:val="000000"/>
                <w:sz w:val="18"/>
                <w:szCs w:val="18"/>
              </w:rPr>
            </w:pPr>
            <w:r w:rsidRPr="00B71D27">
              <w:rPr>
                <w:rFonts w:ascii="Calibri" w:hAnsi="Calibri" w:cs="Calibri"/>
                <w:color w:val="000000"/>
                <w:sz w:val="18"/>
                <w:szCs w:val="18"/>
              </w:rPr>
              <w:t>33.1</w:t>
            </w:r>
            <w:r w:rsidR="00BF5F72" w:rsidRPr="00595792">
              <w:rPr>
                <w:rFonts w:ascii="Calibri" w:hAnsi="Calibri" w:cs="Calibri"/>
                <w:color w:val="000000"/>
                <w:sz w:val="18"/>
                <w:szCs w:val="18"/>
              </w:rPr>
              <w:t>%</w:t>
            </w:r>
          </w:p>
        </w:tc>
        <w:tc>
          <w:tcPr>
            <w:tcW w:w="367" w:type="pct"/>
            <w:tcBorders>
              <w:top w:val="single" w:sz="6" w:space="0" w:color="auto"/>
              <w:left w:val="single" w:sz="6" w:space="0" w:color="auto"/>
              <w:bottom w:val="single" w:sz="6" w:space="0" w:color="auto"/>
              <w:right w:val="single" w:sz="6" w:space="0" w:color="auto"/>
            </w:tcBorders>
          </w:tcPr>
          <w:p w:rsidR="004C6A09" w:rsidRPr="00C56966" w:rsidRDefault="002630AF" w:rsidP="00232B88">
            <w:pPr>
              <w:autoSpaceDE w:val="0"/>
              <w:autoSpaceDN w:val="0"/>
              <w:adjustRightInd w:val="0"/>
              <w:jc w:val="right"/>
              <w:rPr>
                <w:rFonts w:ascii="Calibri" w:hAnsi="Calibri" w:cs="Calibri"/>
                <w:color w:val="000000"/>
                <w:sz w:val="18"/>
                <w:szCs w:val="18"/>
              </w:rPr>
            </w:pPr>
            <w:r w:rsidRPr="002A69B7">
              <w:rPr>
                <w:rFonts w:ascii="Calibri" w:hAnsi="Calibri" w:cs="Calibri"/>
                <w:color w:val="000000"/>
                <w:sz w:val="18"/>
                <w:szCs w:val="18"/>
              </w:rPr>
              <w:t>2.1</w:t>
            </w:r>
            <w:r w:rsidR="00D272D4" w:rsidRPr="002C744B">
              <w:rPr>
                <w:rFonts w:ascii="Calibri" w:hAnsi="Calibri" w:cs="Calibri"/>
                <w:color w:val="000000"/>
                <w:sz w:val="18"/>
                <w:szCs w:val="18"/>
              </w:rPr>
              <w:t>%</w:t>
            </w:r>
          </w:p>
        </w:tc>
        <w:tc>
          <w:tcPr>
            <w:tcW w:w="794" w:type="pct"/>
            <w:vMerge w:val="restart"/>
            <w:tcBorders>
              <w:top w:val="single" w:sz="6" w:space="0" w:color="auto"/>
              <w:left w:val="single" w:sz="6" w:space="0" w:color="auto"/>
              <w:right w:val="single" w:sz="6" w:space="0" w:color="auto"/>
            </w:tcBorders>
          </w:tcPr>
          <w:p w:rsidR="004C6A09" w:rsidRPr="002D3949" w:rsidRDefault="004C6A09" w:rsidP="00232B88">
            <w:pPr>
              <w:autoSpaceDE w:val="0"/>
              <w:autoSpaceDN w:val="0"/>
              <w:adjustRightInd w:val="0"/>
              <w:jc w:val="right"/>
              <w:rPr>
                <w:rFonts w:ascii="Calibri" w:hAnsi="Calibri" w:cs="Calibri"/>
                <w:color w:val="000000"/>
                <w:sz w:val="18"/>
                <w:szCs w:val="18"/>
              </w:rPr>
            </w:pPr>
            <w:r w:rsidRPr="002D3949">
              <w:rPr>
                <w:rFonts w:ascii="Calibri" w:hAnsi="Calibri" w:cs="Calibri"/>
                <w:color w:val="000000"/>
                <w:sz w:val="18"/>
                <w:szCs w:val="18"/>
              </w:rPr>
              <w:t>0.15 (UNDP TRAC)</w:t>
            </w:r>
          </w:p>
        </w:tc>
      </w:tr>
      <w:tr w:rsidR="004C6A09" w:rsidRPr="000A3C73" w:rsidTr="004C6A09">
        <w:trPr>
          <w:trHeight w:val="69"/>
        </w:trPr>
        <w:tc>
          <w:tcPr>
            <w:tcW w:w="1487" w:type="pct"/>
            <w:tcBorders>
              <w:top w:val="single" w:sz="6" w:space="0" w:color="auto"/>
              <w:left w:val="single" w:sz="6" w:space="0" w:color="auto"/>
              <w:bottom w:val="single" w:sz="6" w:space="0" w:color="auto"/>
              <w:right w:val="single" w:sz="6" w:space="0" w:color="auto"/>
            </w:tcBorders>
          </w:tcPr>
          <w:p w:rsidR="004C6A09" w:rsidRPr="00FC657B" w:rsidRDefault="004C6A09" w:rsidP="009E37E1">
            <w:pPr>
              <w:autoSpaceDE w:val="0"/>
              <w:autoSpaceDN w:val="0"/>
              <w:adjustRightInd w:val="0"/>
              <w:rPr>
                <w:rFonts w:ascii="Calibri" w:hAnsi="Calibri" w:cs="Calibri"/>
                <w:color w:val="000000"/>
                <w:sz w:val="18"/>
                <w:szCs w:val="18"/>
              </w:rPr>
            </w:pPr>
            <w:r w:rsidRPr="000A3C73">
              <w:rPr>
                <w:rFonts w:ascii="Calibri" w:hAnsi="Calibri" w:cs="Calibri"/>
                <w:b/>
                <w:color w:val="000000"/>
                <w:sz w:val="18"/>
                <w:szCs w:val="18"/>
              </w:rPr>
              <w:t>Outcome 3:</w:t>
            </w:r>
            <w:r w:rsidRPr="0089284E">
              <w:rPr>
                <w:rFonts w:ascii="Calibri" w:hAnsi="Calibri" w:cs="Calibri"/>
                <w:color w:val="000000"/>
                <w:sz w:val="18"/>
                <w:szCs w:val="18"/>
              </w:rPr>
              <w:t>Protected Areas Strengthening / Biodiversity Conservation</w:t>
            </w:r>
          </w:p>
        </w:tc>
        <w:tc>
          <w:tcPr>
            <w:tcW w:w="469" w:type="pct"/>
            <w:tcBorders>
              <w:top w:val="single" w:sz="6" w:space="0" w:color="auto"/>
              <w:left w:val="single" w:sz="6" w:space="0" w:color="auto"/>
              <w:bottom w:val="single" w:sz="6" w:space="0" w:color="auto"/>
              <w:right w:val="single" w:sz="6" w:space="0" w:color="auto"/>
            </w:tcBorders>
          </w:tcPr>
          <w:p w:rsidR="004C6A09" w:rsidRPr="00CD42DE" w:rsidRDefault="004C6A09" w:rsidP="00232B88">
            <w:pPr>
              <w:autoSpaceDE w:val="0"/>
              <w:autoSpaceDN w:val="0"/>
              <w:adjustRightInd w:val="0"/>
              <w:jc w:val="right"/>
              <w:rPr>
                <w:rFonts w:ascii="Calibri" w:hAnsi="Calibri" w:cs="Calibri"/>
                <w:color w:val="000000"/>
                <w:sz w:val="18"/>
                <w:szCs w:val="18"/>
              </w:rPr>
            </w:pPr>
            <w:r w:rsidRPr="00FC657B">
              <w:rPr>
                <w:rFonts w:ascii="Calibri" w:hAnsi="Calibri" w:cs="Calibri"/>
                <w:color w:val="000000"/>
                <w:sz w:val="18"/>
                <w:szCs w:val="18"/>
              </w:rPr>
              <w:t>0.0</w:t>
            </w:r>
            <w:r w:rsidRPr="00D77DF1">
              <w:rPr>
                <w:rFonts w:ascii="Calibri" w:hAnsi="Calibri" w:cs="Calibri"/>
                <w:color w:val="000000"/>
                <w:sz w:val="18"/>
                <w:szCs w:val="18"/>
              </w:rPr>
              <w:t>7</w:t>
            </w:r>
          </w:p>
        </w:tc>
        <w:tc>
          <w:tcPr>
            <w:tcW w:w="560" w:type="pct"/>
            <w:tcBorders>
              <w:top w:val="single" w:sz="6" w:space="0" w:color="auto"/>
              <w:left w:val="single" w:sz="6" w:space="0" w:color="auto"/>
              <w:bottom w:val="single" w:sz="6" w:space="0" w:color="auto"/>
              <w:right w:val="single" w:sz="6" w:space="0" w:color="auto"/>
            </w:tcBorders>
          </w:tcPr>
          <w:p w:rsidR="004C6A09" w:rsidRPr="005E69C8" w:rsidRDefault="004C6A09" w:rsidP="00232B88">
            <w:pPr>
              <w:autoSpaceDE w:val="0"/>
              <w:autoSpaceDN w:val="0"/>
              <w:adjustRightInd w:val="0"/>
              <w:jc w:val="right"/>
              <w:rPr>
                <w:rFonts w:ascii="Calibri" w:hAnsi="Calibri" w:cs="Calibri"/>
                <w:color w:val="000000"/>
                <w:sz w:val="18"/>
                <w:szCs w:val="18"/>
              </w:rPr>
            </w:pPr>
            <w:r w:rsidRPr="00CD42DE">
              <w:rPr>
                <w:rFonts w:ascii="Calibri" w:hAnsi="Calibri" w:cs="Calibri"/>
                <w:color w:val="000000"/>
                <w:sz w:val="18"/>
                <w:szCs w:val="18"/>
              </w:rPr>
              <w:t>6.7</w:t>
            </w:r>
            <w:r w:rsidR="00D272D4" w:rsidRPr="00AA7D1F">
              <w:rPr>
                <w:rFonts w:ascii="Calibri" w:hAnsi="Calibri" w:cs="Calibri"/>
                <w:color w:val="000000"/>
                <w:sz w:val="18"/>
                <w:szCs w:val="18"/>
              </w:rPr>
              <w:t>%</w:t>
            </w:r>
          </w:p>
        </w:tc>
        <w:tc>
          <w:tcPr>
            <w:tcW w:w="451" w:type="pct"/>
            <w:tcBorders>
              <w:top w:val="single" w:sz="6" w:space="0" w:color="auto"/>
              <w:left w:val="single" w:sz="6" w:space="0" w:color="auto"/>
              <w:bottom w:val="single" w:sz="6" w:space="0" w:color="auto"/>
              <w:right w:val="single" w:sz="6" w:space="0" w:color="auto"/>
            </w:tcBorders>
          </w:tcPr>
          <w:p w:rsidR="004C6A09" w:rsidRPr="008B7E9A" w:rsidRDefault="008A2117" w:rsidP="00232B88">
            <w:pPr>
              <w:autoSpaceDE w:val="0"/>
              <w:autoSpaceDN w:val="0"/>
              <w:adjustRightInd w:val="0"/>
              <w:jc w:val="right"/>
              <w:rPr>
                <w:rFonts w:ascii="Calibri" w:hAnsi="Calibri" w:cs="Calibri"/>
                <w:color w:val="000000"/>
                <w:sz w:val="18"/>
                <w:szCs w:val="18"/>
              </w:rPr>
            </w:pPr>
            <w:r w:rsidRPr="00850A96">
              <w:rPr>
                <w:rFonts w:ascii="Calibri" w:hAnsi="Calibri" w:cs="Calibri"/>
                <w:color w:val="000000"/>
                <w:sz w:val="18"/>
                <w:szCs w:val="18"/>
              </w:rPr>
              <w:t>0.04</w:t>
            </w:r>
          </w:p>
        </w:tc>
        <w:tc>
          <w:tcPr>
            <w:tcW w:w="353" w:type="pct"/>
            <w:tcBorders>
              <w:top w:val="single" w:sz="6" w:space="0" w:color="auto"/>
              <w:left w:val="single" w:sz="6" w:space="0" w:color="auto"/>
              <w:bottom w:val="single" w:sz="6" w:space="0" w:color="auto"/>
              <w:right w:val="single" w:sz="6" w:space="0" w:color="auto"/>
            </w:tcBorders>
          </w:tcPr>
          <w:p w:rsidR="004C6A09" w:rsidRPr="00B71D27" w:rsidRDefault="008A2117" w:rsidP="00232B88">
            <w:pPr>
              <w:autoSpaceDE w:val="0"/>
              <w:autoSpaceDN w:val="0"/>
              <w:adjustRightInd w:val="0"/>
              <w:jc w:val="right"/>
              <w:rPr>
                <w:rFonts w:ascii="Calibri" w:hAnsi="Calibri" w:cs="Calibri"/>
                <w:color w:val="000000"/>
                <w:sz w:val="18"/>
                <w:szCs w:val="18"/>
              </w:rPr>
            </w:pPr>
            <w:r w:rsidRPr="000126EE">
              <w:rPr>
                <w:rFonts w:ascii="Calibri" w:hAnsi="Calibri" w:cs="Calibri"/>
                <w:color w:val="000000"/>
                <w:sz w:val="18"/>
                <w:szCs w:val="18"/>
              </w:rPr>
              <w:t>(0.03)</w:t>
            </w:r>
          </w:p>
        </w:tc>
        <w:tc>
          <w:tcPr>
            <w:tcW w:w="519" w:type="pct"/>
            <w:tcBorders>
              <w:top w:val="single" w:sz="6" w:space="0" w:color="auto"/>
              <w:left w:val="single" w:sz="6" w:space="0" w:color="auto"/>
              <w:bottom w:val="single" w:sz="6" w:space="0" w:color="auto"/>
              <w:right w:val="single" w:sz="6" w:space="0" w:color="auto"/>
            </w:tcBorders>
          </w:tcPr>
          <w:p w:rsidR="004C6A09" w:rsidRPr="002A69B7" w:rsidRDefault="00DC4810" w:rsidP="00232B88">
            <w:pPr>
              <w:autoSpaceDE w:val="0"/>
              <w:autoSpaceDN w:val="0"/>
              <w:adjustRightInd w:val="0"/>
              <w:jc w:val="right"/>
              <w:rPr>
                <w:rFonts w:ascii="Calibri" w:hAnsi="Calibri" w:cs="Calibri"/>
                <w:color w:val="000000"/>
                <w:sz w:val="18"/>
                <w:szCs w:val="18"/>
              </w:rPr>
            </w:pPr>
            <w:r w:rsidRPr="00595792">
              <w:rPr>
                <w:rFonts w:ascii="Calibri" w:hAnsi="Calibri" w:cs="Calibri"/>
                <w:color w:val="000000"/>
                <w:sz w:val="18"/>
                <w:szCs w:val="18"/>
              </w:rPr>
              <w:t>4.2</w:t>
            </w:r>
            <w:r w:rsidR="00BF5F72" w:rsidRPr="00602E30">
              <w:rPr>
                <w:rFonts w:ascii="Calibri" w:hAnsi="Calibri" w:cs="Calibri"/>
                <w:color w:val="000000"/>
                <w:sz w:val="18"/>
                <w:szCs w:val="18"/>
              </w:rPr>
              <w:t>%</w:t>
            </w:r>
          </w:p>
        </w:tc>
        <w:tc>
          <w:tcPr>
            <w:tcW w:w="367" w:type="pct"/>
            <w:tcBorders>
              <w:top w:val="single" w:sz="6" w:space="0" w:color="auto"/>
              <w:left w:val="single" w:sz="6" w:space="0" w:color="auto"/>
              <w:bottom w:val="single" w:sz="6" w:space="0" w:color="auto"/>
              <w:right w:val="single" w:sz="6" w:space="0" w:color="auto"/>
            </w:tcBorders>
          </w:tcPr>
          <w:p w:rsidR="004C6A09" w:rsidRPr="002D3949" w:rsidRDefault="002630AF" w:rsidP="00232B88">
            <w:pPr>
              <w:autoSpaceDE w:val="0"/>
              <w:autoSpaceDN w:val="0"/>
              <w:adjustRightInd w:val="0"/>
              <w:jc w:val="right"/>
              <w:rPr>
                <w:rFonts w:ascii="Calibri" w:hAnsi="Calibri" w:cs="Calibri"/>
                <w:color w:val="000000"/>
                <w:sz w:val="18"/>
                <w:szCs w:val="18"/>
              </w:rPr>
            </w:pPr>
            <w:r w:rsidRPr="002C744B">
              <w:rPr>
                <w:rFonts w:ascii="Calibri" w:hAnsi="Calibri" w:cs="Calibri"/>
                <w:color w:val="000000"/>
                <w:sz w:val="18"/>
                <w:szCs w:val="18"/>
              </w:rPr>
              <w:t>(2.5)</w:t>
            </w:r>
            <w:r w:rsidR="00D272D4" w:rsidRPr="00C56966">
              <w:rPr>
                <w:rFonts w:ascii="Calibri" w:hAnsi="Calibri" w:cs="Calibri"/>
                <w:color w:val="000000"/>
                <w:sz w:val="18"/>
                <w:szCs w:val="18"/>
              </w:rPr>
              <w:t>%</w:t>
            </w:r>
          </w:p>
        </w:tc>
        <w:tc>
          <w:tcPr>
            <w:tcW w:w="794" w:type="pct"/>
            <w:vMerge/>
            <w:tcBorders>
              <w:left w:val="single" w:sz="6" w:space="0" w:color="auto"/>
              <w:right w:val="single" w:sz="6" w:space="0" w:color="auto"/>
            </w:tcBorders>
          </w:tcPr>
          <w:p w:rsidR="004C6A09" w:rsidRPr="000A3C73" w:rsidRDefault="004C6A09" w:rsidP="00232B88">
            <w:pPr>
              <w:autoSpaceDE w:val="0"/>
              <w:autoSpaceDN w:val="0"/>
              <w:adjustRightInd w:val="0"/>
              <w:jc w:val="right"/>
              <w:rPr>
                <w:rFonts w:ascii="Calibri" w:hAnsi="Calibri" w:cs="Calibri"/>
                <w:color w:val="000000"/>
                <w:sz w:val="18"/>
                <w:szCs w:val="18"/>
              </w:rPr>
            </w:pPr>
          </w:p>
        </w:tc>
      </w:tr>
      <w:tr w:rsidR="004C6A09" w:rsidRPr="000A3C73" w:rsidTr="004C6A09">
        <w:trPr>
          <w:trHeight w:val="69"/>
        </w:trPr>
        <w:tc>
          <w:tcPr>
            <w:tcW w:w="1487" w:type="pct"/>
            <w:tcBorders>
              <w:top w:val="single" w:sz="6" w:space="0" w:color="auto"/>
              <w:left w:val="single" w:sz="6" w:space="0" w:color="auto"/>
              <w:bottom w:val="single" w:sz="6" w:space="0" w:color="auto"/>
              <w:right w:val="single" w:sz="6" w:space="0" w:color="auto"/>
            </w:tcBorders>
          </w:tcPr>
          <w:p w:rsidR="004C6A09" w:rsidRPr="00FC657B" w:rsidRDefault="004C6A09" w:rsidP="009E37E1">
            <w:pPr>
              <w:autoSpaceDE w:val="0"/>
              <w:autoSpaceDN w:val="0"/>
              <w:adjustRightInd w:val="0"/>
              <w:rPr>
                <w:rFonts w:ascii="Calibri" w:hAnsi="Calibri" w:cs="Calibri"/>
                <w:color w:val="000000"/>
                <w:sz w:val="18"/>
                <w:szCs w:val="18"/>
              </w:rPr>
            </w:pPr>
            <w:r w:rsidRPr="000A3C73">
              <w:rPr>
                <w:rFonts w:ascii="Calibri" w:hAnsi="Calibri" w:cs="Calibri"/>
                <w:b/>
                <w:color w:val="000000"/>
                <w:sz w:val="18"/>
                <w:szCs w:val="18"/>
              </w:rPr>
              <w:t>Outcome 4:</w:t>
            </w:r>
            <w:r w:rsidRPr="0089284E">
              <w:rPr>
                <w:rFonts w:ascii="Calibri" w:hAnsi="Calibri" w:cs="Calibri"/>
                <w:color w:val="000000"/>
                <w:sz w:val="18"/>
                <w:szCs w:val="18"/>
              </w:rPr>
              <w:t>Transboundary Cooperation</w:t>
            </w:r>
          </w:p>
        </w:tc>
        <w:tc>
          <w:tcPr>
            <w:tcW w:w="469" w:type="pct"/>
            <w:tcBorders>
              <w:top w:val="single" w:sz="6" w:space="0" w:color="auto"/>
              <w:left w:val="single" w:sz="6" w:space="0" w:color="auto"/>
              <w:bottom w:val="single" w:sz="6" w:space="0" w:color="auto"/>
              <w:right w:val="single" w:sz="6" w:space="0" w:color="auto"/>
            </w:tcBorders>
          </w:tcPr>
          <w:p w:rsidR="004C6A09" w:rsidRPr="00FC657B" w:rsidRDefault="004C6A09" w:rsidP="00232B88">
            <w:pPr>
              <w:autoSpaceDE w:val="0"/>
              <w:autoSpaceDN w:val="0"/>
              <w:adjustRightInd w:val="0"/>
              <w:jc w:val="right"/>
              <w:rPr>
                <w:rFonts w:ascii="Calibri" w:hAnsi="Calibri" w:cs="Calibri"/>
                <w:color w:val="000000"/>
                <w:sz w:val="18"/>
                <w:szCs w:val="18"/>
              </w:rPr>
            </w:pPr>
            <w:r w:rsidRPr="00FC657B">
              <w:rPr>
                <w:rFonts w:ascii="Calibri" w:hAnsi="Calibri" w:cs="Calibri"/>
                <w:color w:val="000000"/>
                <w:sz w:val="18"/>
                <w:szCs w:val="18"/>
              </w:rPr>
              <w:t>0.26</w:t>
            </w:r>
          </w:p>
        </w:tc>
        <w:tc>
          <w:tcPr>
            <w:tcW w:w="560" w:type="pct"/>
            <w:tcBorders>
              <w:top w:val="single" w:sz="6" w:space="0" w:color="auto"/>
              <w:left w:val="single" w:sz="6" w:space="0" w:color="auto"/>
              <w:bottom w:val="single" w:sz="6" w:space="0" w:color="auto"/>
              <w:right w:val="single" w:sz="6" w:space="0" w:color="auto"/>
            </w:tcBorders>
          </w:tcPr>
          <w:p w:rsidR="004C6A09" w:rsidRPr="00CD42DE" w:rsidRDefault="004C6A09" w:rsidP="00232B88">
            <w:pPr>
              <w:autoSpaceDE w:val="0"/>
              <w:autoSpaceDN w:val="0"/>
              <w:adjustRightInd w:val="0"/>
              <w:jc w:val="right"/>
              <w:rPr>
                <w:rFonts w:ascii="Calibri" w:hAnsi="Calibri" w:cs="Calibri"/>
                <w:color w:val="000000"/>
                <w:sz w:val="18"/>
                <w:szCs w:val="18"/>
              </w:rPr>
            </w:pPr>
            <w:r w:rsidRPr="00D77DF1">
              <w:rPr>
                <w:rFonts w:ascii="Calibri" w:hAnsi="Calibri" w:cs="Calibri"/>
                <w:color w:val="000000"/>
                <w:sz w:val="18"/>
                <w:szCs w:val="18"/>
              </w:rPr>
              <w:t>24.3</w:t>
            </w:r>
            <w:r w:rsidR="00D272D4" w:rsidRPr="00CD42DE">
              <w:rPr>
                <w:rFonts w:ascii="Calibri" w:hAnsi="Calibri" w:cs="Calibri"/>
                <w:color w:val="000000"/>
                <w:sz w:val="18"/>
                <w:szCs w:val="18"/>
              </w:rPr>
              <w:t>%</w:t>
            </w:r>
          </w:p>
        </w:tc>
        <w:tc>
          <w:tcPr>
            <w:tcW w:w="451" w:type="pct"/>
            <w:tcBorders>
              <w:top w:val="single" w:sz="6" w:space="0" w:color="auto"/>
              <w:left w:val="single" w:sz="6" w:space="0" w:color="auto"/>
              <w:bottom w:val="single" w:sz="6" w:space="0" w:color="auto"/>
              <w:right w:val="single" w:sz="6" w:space="0" w:color="auto"/>
            </w:tcBorders>
          </w:tcPr>
          <w:p w:rsidR="004C6A09" w:rsidRPr="005E69C8" w:rsidRDefault="008A2117" w:rsidP="00232B88">
            <w:pPr>
              <w:autoSpaceDE w:val="0"/>
              <w:autoSpaceDN w:val="0"/>
              <w:adjustRightInd w:val="0"/>
              <w:jc w:val="right"/>
              <w:rPr>
                <w:rFonts w:ascii="Calibri" w:hAnsi="Calibri" w:cs="Calibri"/>
                <w:color w:val="000000"/>
                <w:sz w:val="18"/>
                <w:szCs w:val="18"/>
              </w:rPr>
            </w:pPr>
            <w:r w:rsidRPr="00AA7D1F">
              <w:rPr>
                <w:rFonts w:ascii="Calibri" w:hAnsi="Calibri" w:cs="Calibri"/>
                <w:color w:val="000000"/>
                <w:sz w:val="18"/>
                <w:szCs w:val="18"/>
              </w:rPr>
              <w:t>0.06</w:t>
            </w:r>
          </w:p>
        </w:tc>
        <w:tc>
          <w:tcPr>
            <w:tcW w:w="353" w:type="pct"/>
            <w:tcBorders>
              <w:top w:val="single" w:sz="6" w:space="0" w:color="auto"/>
              <w:left w:val="single" w:sz="6" w:space="0" w:color="auto"/>
              <w:bottom w:val="single" w:sz="6" w:space="0" w:color="auto"/>
              <w:right w:val="single" w:sz="6" w:space="0" w:color="auto"/>
            </w:tcBorders>
          </w:tcPr>
          <w:p w:rsidR="004C6A09" w:rsidRPr="008B7E9A" w:rsidRDefault="008A2117" w:rsidP="00232B88">
            <w:pPr>
              <w:autoSpaceDE w:val="0"/>
              <w:autoSpaceDN w:val="0"/>
              <w:adjustRightInd w:val="0"/>
              <w:jc w:val="right"/>
              <w:rPr>
                <w:rFonts w:ascii="Calibri" w:hAnsi="Calibri" w:cs="Calibri"/>
                <w:color w:val="000000"/>
                <w:sz w:val="18"/>
                <w:szCs w:val="18"/>
              </w:rPr>
            </w:pPr>
            <w:r w:rsidRPr="00850A96">
              <w:rPr>
                <w:rFonts w:ascii="Calibri" w:hAnsi="Calibri" w:cs="Calibri"/>
                <w:color w:val="000000"/>
                <w:sz w:val="18"/>
                <w:szCs w:val="18"/>
              </w:rPr>
              <w:t>(0.19)</w:t>
            </w:r>
          </w:p>
        </w:tc>
        <w:tc>
          <w:tcPr>
            <w:tcW w:w="519" w:type="pct"/>
            <w:tcBorders>
              <w:top w:val="single" w:sz="6" w:space="0" w:color="auto"/>
              <w:left w:val="single" w:sz="6" w:space="0" w:color="auto"/>
              <w:bottom w:val="single" w:sz="6" w:space="0" w:color="auto"/>
              <w:right w:val="single" w:sz="6" w:space="0" w:color="auto"/>
            </w:tcBorders>
          </w:tcPr>
          <w:p w:rsidR="004C6A09" w:rsidRPr="00595792" w:rsidRDefault="002630AF" w:rsidP="00232B88">
            <w:pPr>
              <w:autoSpaceDE w:val="0"/>
              <w:autoSpaceDN w:val="0"/>
              <w:adjustRightInd w:val="0"/>
              <w:jc w:val="right"/>
              <w:rPr>
                <w:rFonts w:ascii="Calibri" w:hAnsi="Calibri" w:cs="Calibri"/>
                <w:color w:val="000000"/>
                <w:sz w:val="18"/>
                <w:szCs w:val="18"/>
              </w:rPr>
            </w:pPr>
            <w:r w:rsidRPr="000126EE">
              <w:rPr>
                <w:rFonts w:ascii="Calibri" w:hAnsi="Calibri" w:cs="Calibri"/>
                <w:color w:val="000000"/>
                <w:sz w:val="18"/>
                <w:szCs w:val="18"/>
              </w:rPr>
              <w:t>6.1</w:t>
            </w:r>
            <w:r w:rsidR="00BF5F72" w:rsidRPr="00B71D27">
              <w:rPr>
                <w:rFonts w:ascii="Calibri" w:hAnsi="Calibri" w:cs="Calibri"/>
                <w:color w:val="000000"/>
                <w:sz w:val="18"/>
                <w:szCs w:val="18"/>
              </w:rPr>
              <w:t>%</w:t>
            </w:r>
          </w:p>
        </w:tc>
        <w:tc>
          <w:tcPr>
            <w:tcW w:w="367" w:type="pct"/>
            <w:tcBorders>
              <w:top w:val="single" w:sz="6" w:space="0" w:color="auto"/>
              <w:left w:val="single" w:sz="6" w:space="0" w:color="auto"/>
              <w:bottom w:val="single" w:sz="6" w:space="0" w:color="auto"/>
              <w:right w:val="single" w:sz="6" w:space="0" w:color="auto"/>
            </w:tcBorders>
          </w:tcPr>
          <w:p w:rsidR="004C6A09" w:rsidRPr="002C744B" w:rsidRDefault="002630AF" w:rsidP="00232B88">
            <w:pPr>
              <w:autoSpaceDE w:val="0"/>
              <w:autoSpaceDN w:val="0"/>
              <w:adjustRightInd w:val="0"/>
              <w:jc w:val="right"/>
              <w:rPr>
                <w:rFonts w:ascii="Calibri" w:hAnsi="Calibri" w:cs="Calibri"/>
                <w:color w:val="000000"/>
                <w:sz w:val="18"/>
                <w:szCs w:val="18"/>
              </w:rPr>
            </w:pPr>
            <w:r w:rsidRPr="00602E30">
              <w:rPr>
                <w:rFonts w:ascii="Calibri" w:hAnsi="Calibri" w:cs="Calibri"/>
                <w:color w:val="000000"/>
                <w:sz w:val="18"/>
                <w:szCs w:val="18"/>
              </w:rPr>
              <w:t>(18.2)</w:t>
            </w:r>
            <w:r w:rsidR="00D272D4" w:rsidRPr="002A69B7">
              <w:rPr>
                <w:rFonts w:ascii="Calibri" w:hAnsi="Calibri" w:cs="Calibri"/>
                <w:color w:val="000000"/>
                <w:sz w:val="18"/>
                <w:szCs w:val="18"/>
              </w:rPr>
              <w:t>%</w:t>
            </w:r>
          </w:p>
        </w:tc>
        <w:tc>
          <w:tcPr>
            <w:tcW w:w="794" w:type="pct"/>
            <w:vMerge/>
            <w:tcBorders>
              <w:left w:val="single" w:sz="6" w:space="0" w:color="auto"/>
              <w:right w:val="single" w:sz="6" w:space="0" w:color="auto"/>
            </w:tcBorders>
          </w:tcPr>
          <w:p w:rsidR="004C6A09" w:rsidRPr="000A3C73" w:rsidRDefault="004C6A09" w:rsidP="00232B88">
            <w:pPr>
              <w:autoSpaceDE w:val="0"/>
              <w:autoSpaceDN w:val="0"/>
              <w:adjustRightInd w:val="0"/>
              <w:jc w:val="right"/>
              <w:rPr>
                <w:rFonts w:ascii="Calibri" w:hAnsi="Calibri" w:cs="Calibri"/>
                <w:color w:val="000000"/>
                <w:sz w:val="18"/>
                <w:szCs w:val="18"/>
              </w:rPr>
            </w:pPr>
          </w:p>
        </w:tc>
      </w:tr>
      <w:tr w:rsidR="004C6A09" w:rsidRPr="000A3C73" w:rsidTr="004C6A09">
        <w:trPr>
          <w:trHeight w:val="69"/>
        </w:trPr>
        <w:tc>
          <w:tcPr>
            <w:tcW w:w="1487" w:type="pct"/>
            <w:tcBorders>
              <w:top w:val="single" w:sz="6" w:space="0" w:color="auto"/>
              <w:left w:val="single" w:sz="6" w:space="0" w:color="auto"/>
              <w:bottom w:val="single" w:sz="6" w:space="0" w:color="auto"/>
              <w:right w:val="single" w:sz="6" w:space="0" w:color="auto"/>
            </w:tcBorders>
          </w:tcPr>
          <w:p w:rsidR="004C6A09" w:rsidRPr="000A3C73" w:rsidRDefault="004C6A09" w:rsidP="009E37E1">
            <w:pPr>
              <w:autoSpaceDE w:val="0"/>
              <w:autoSpaceDN w:val="0"/>
              <w:adjustRightInd w:val="0"/>
              <w:rPr>
                <w:rFonts w:ascii="Calibri" w:hAnsi="Calibri" w:cs="Calibri"/>
                <w:color w:val="000000"/>
                <w:sz w:val="18"/>
                <w:szCs w:val="18"/>
              </w:rPr>
            </w:pPr>
            <w:r w:rsidRPr="000A3C73">
              <w:rPr>
                <w:rFonts w:ascii="Calibri" w:hAnsi="Calibri" w:cs="Calibri"/>
                <w:b/>
                <w:color w:val="000000"/>
                <w:sz w:val="18"/>
                <w:szCs w:val="18"/>
              </w:rPr>
              <w:t>Outcome 5:</w:t>
            </w:r>
            <w:r w:rsidRPr="000A3C73">
              <w:rPr>
                <w:rFonts w:ascii="Calibri" w:hAnsi="Calibri" w:cs="Calibri"/>
                <w:color w:val="000000"/>
                <w:sz w:val="18"/>
                <w:szCs w:val="18"/>
              </w:rPr>
              <w:t xml:space="preserve"> Lessons Learned and Adaptive Management</w:t>
            </w:r>
          </w:p>
        </w:tc>
        <w:tc>
          <w:tcPr>
            <w:tcW w:w="469" w:type="pct"/>
            <w:tcBorders>
              <w:top w:val="single" w:sz="6" w:space="0" w:color="auto"/>
              <w:left w:val="single" w:sz="6" w:space="0" w:color="auto"/>
              <w:bottom w:val="single" w:sz="6" w:space="0" w:color="auto"/>
              <w:right w:val="single" w:sz="6" w:space="0" w:color="auto"/>
            </w:tcBorders>
          </w:tcPr>
          <w:p w:rsidR="004C6A09" w:rsidRPr="000A3C73" w:rsidRDefault="004C6A09" w:rsidP="00232B88">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0.21</w:t>
            </w:r>
          </w:p>
        </w:tc>
        <w:tc>
          <w:tcPr>
            <w:tcW w:w="560" w:type="pct"/>
            <w:tcBorders>
              <w:top w:val="single" w:sz="6" w:space="0" w:color="auto"/>
              <w:left w:val="single" w:sz="6" w:space="0" w:color="auto"/>
              <w:bottom w:val="single" w:sz="6" w:space="0" w:color="auto"/>
              <w:right w:val="single" w:sz="6" w:space="0" w:color="auto"/>
            </w:tcBorders>
          </w:tcPr>
          <w:p w:rsidR="004C6A09" w:rsidRPr="000A3C73" w:rsidRDefault="004C6A09" w:rsidP="00232B88">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20.0</w:t>
            </w:r>
            <w:r w:rsidR="00D272D4" w:rsidRPr="000A3C73">
              <w:rPr>
                <w:rFonts w:ascii="Calibri" w:hAnsi="Calibri" w:cs="Calibri"/>
                <w:color w:val="000000"/>
                <w:sz w:val="18"/>
                <w:szCs w:val="18"/>
              </w:rPr>
              <w:t>%</w:t>
            </w:r>
          </w:p>
        </w:tc>
        <w:tc>
          <w:tcPr>
            <w:tcW w:w="451" w:type="pct"/>
            <w:tcBorders>
              <w:top w:val="single" w:sz="6" w:space="0" w:color="auto"/>
              <w:left w:val="single" w:sz="6" w:space="0" w:color="auto"/>
              <w:bottom w:val="single" w:sz="6" w:space="0" w:color="auto"/>
              <w:right w:val="single" w:sz="6" w:space="0" w:color="auto"/>
            </w:tcBorders>
          </w:tcPr>
          <w:p w:rsidR="004C6A09" w:rsidRPr="000A3C73" w:rsidRDefault="008A2117" w:rsidP="00232B88">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0.37</w:t>
            </w:r>
          </w:p>
        </w:tc>
        <w:tc>
          <w:tcPr>
            <w:tcW w:w="353" w:type="pct"/>
            <w:tcBorders>
              <w:top w:val="single" w:sz="6" w:space="0" w:color="auto"/>
              <w:left w:val="single" w:sz="6" w:space="0" w:color="auto"/>
              <w:bottom w:val="single" w:sz="6" w:space="0" w:color="auto"/>
              <w:right w:val="single" w:sz="6" w:space="0" w:color="auto"/>
            </w:tcBorders>
          </w:tcPr>
          <w:p w:rsidR="004C6A09" w:rsidRPr="000A3C73" w:rsidRDefault="008A2117" w:rsidP="00232B88">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0.16</w:t>
            </w:r>
          </w:p>
        </w:tc>
        <w:tc>
          <w:tcPr>
            <w:tcW w:w="519" w:type="pct"/>
            <w:tcBorders>
              <w:top w:val="single" w:sz="6" w:space="0" w:color="auto"/>
              <w:left w:val="single" w:sz="6" w:space="0" w:color="auto"/>
              <w:bottom w:val="single" w:sz="6" w:space="0" w:color="auto"/>
              <w:right w:val="single" w:sz="6" w:space="0" w:color="auto"/>
            </w:tcBorders>
          </w:tcPr>
          <w:p w:rsidR="004C6A09" w:rsidRPr="000A3C73" w:rsidRDefault="002630AF" w:rsidP="00232B88">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35.4</w:t>
            </w:r>
            <w:r w:rsidR="00BF5F72" w:rsidRPr="000A3C73">
              <w:rPr>
                <w:rFonts w:ascii="Calibri" w:hAnsi="Calibri" w:cs="Calibri"/>
                <w:color w:val="000000"/>
                <w:sz w:val="18"/>
                <w:szCs w:val="18"/>
              </w:rPr>
              <w:t>%</w:t>
            </w:r>
          </w:p>
        </w:tc>
        <w:tc>
          <w:tcPr>
            <w:tcW w:w="367" w:type="pct"/>
            <w:tcBorders>
              <w:top w:val="single" w:sz="6" w:space="0" w:color="auto"/>
              <w:left w:val="single" w:sz="6" w:space="0" w:color="auto"/>
              <w:bottom w:val="single" w:sz="6" w:space="0" w:color="auto"/>
              <w:right w:val="single" w:sz="6" w:space="0" w:color="auto"/>
            </w:tcBorders>
          </w:tcPr>
          <w:p w:rsidR="004C6A09" w:rsidRPr="000A3C73" w:rsidRDefault="006A3254" w:rsidP="00232B88">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15.4</w:t>
            </w:r>
            <w:r w:rsidR="00D272D4" w:rsidRPr="000A3C73">
              <w:rPr>
                <w:rFonts w:ascii="Calibri" w:hAnsi="Calibri" w:cs="Calibri"/>
                <w:color w:val="000000"/>
                <w:sz w:val="18"/>
                <w:szCs w:val="18"/>
              </w:rPr>
              <w:t>%</w:t>
            </w:r>
          </w:p>
        </w:tc>
        <w:tc>
          <w:tcPr>
            <w:tcW w:w="794" w:type="pct"/>
            <w:vMerge/>
            <w:tcBorders>
              <w:left w:val="single" w:sz="6" w:space="0" w:color="auto"/>
              <w:right w:val="single" w:sz="6" w:space="0" w:color="auto"/>
            </w:tcBorders>
          </w:tcPr>
          <w:p w:rsidR="004C6A09" w:rsidRPr="000A3C73" w:rsidRDefault="004C6A09" w:rsidP="00232B88">
            <w:pPr>
              <w:autoSpaceDE w:val="0"/>
              <w:autoSpaceDN w:val="0"/>
              <w:adjustRightInd w:val="0"/>
              <w:jc w:val="right"/>
              <w:rPr>
                <w:rFonts w:ascii="Calibri" w:hAnsi="Calibri" w:cs="Calibri"/>
                <w:color w:val="000000"/>
                <w:sz w:val="18"/>
                <w:szCs w:val="18"/>
              </w:rPr>
            </w:pPr>
          </w:p>
        </w:tc>
      </w:tr>
      <w:tr w:rsidR="00772CD3" w:rsidRPr="000A3C73" w:rsidTr="004C6A09">
        <w:trPr>
          <w:trHeight w:val="69"/>
        </w:trPr>
        <w:tc>
          <w:tcPr>
            <w:tcW w:w="1487" w:type="pct"/>
            <w:tcBorders>
              <w:top w:val="single" w:sz="6" w:space="0" w:color="auto"/>
              <w:left w:val="single" w:sz="6" w:space="0" w:color="auto"/>
              <w:bottom w:val="single" w:sz="6" w:space="0" w:color="auto"/>
              <w:right w:val="single" w:sz="6" w:space="0" w:color="auto"/>
            </w:tcBorders>
          </w:tcPr>
          <w:p w:rsidR="00772CD3" w:rsidRPr="000A3C73" w:rsidRDefault="00772CD3" w:rsidP="00232B88">
            <w:pPr>
              <w:autoSpaceDE w:val="0"/>
              <w:autoSpaceDN w:val="0"/>
              <w:adjustRightInd w:val="0"/>
              <w:rPr>
                <w:rFonts w:ascii="Calibri" w:hAnsi="Calibri" w:cs="Calibri"/>
                <w:color w:val="000000"/>
                <w:sz w:val="18"/>
                <w:szCs w:val="18"/>
              </w:rPr>
            </w:pPr>
            <w:r w:rsidRPr="000A3C73">
              <w:rPr>
                <w:rFonts w:ascii="Calibri" w:hAnsi="Calibri" w:cs="Calibri"/>
                <w:color w:val="000000"/>
                <w:sz w:val="18"/>
                <w:szCs w:val="18"/>
              </w:rPr>
              <w:t>Monitoring and evaluation*</w:t>
            </w:r>
          </w:p>
        </w:tc>
        <w:tc>
          <w:tcPr>
            <w:tcW w:w="469" w:type="pct"/>
            <w:tcBorders>
              <w:top w:val="single" w:sz="6" w:space="0" w:color="auto"/>
              <w:left w:val="single" w:sz="6" w:space="0" w:color="auto"/>
              <w:bottom w:val="single" w:sz="6" w:space="0" w:color="auto"/>
              <w:right w:val="single" w:sz="6" w:space="0" w:color="auto"/>
            </w:tcBorders>
          </w:tcPr>
          <w:p w:rsidR="00772CD3" w:rsidRPr="000A3C73" w:rsidRDefault="00772CD3" w:rsidP="00232B88">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N/A</w:t>
            </w:r>
          </w:p>
        </w:tc>
        <w:tc>
          <w:tcPr>
            <w:tcW w:w="560" w:type="pct"/>
            <w:tcBorders>
              <w:top w:val="single" w:sz="6" w:space="0" w:color="auto"/>
              <w:left w:val="single" w:sz="6" w:space="0" w:color="auto"/>
              <w:bottom w:val="single" w:sz="6" w:space="0" w:color="auto"/>
              <w:right w:val="single" w:sz="6" w:space="0" w:color="auto"/>
            </w:tcBorders>
          </w:tcPr>
          <w:p w:rsidR="00772CD3" w:rsidRPr="000A3C73" w:rsidRDefault="00772CD3" w:rsidP="00232B88">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N/A</w:t>
            </w:r>
          </w:p>
        </w:tc>
        <w:tc>
          <w:tcPr>
            <w:tcW w:w="451" w:type="pct"/>
            <w:tcBorders>
              <w:top w:val="single" w:sz="6" w:space="0" w:color="auto"/>
              <w:left w:val="single" w:sz="6" w:space="0" w:color="auto"/>
              <w:bottom w:val="single" w:sz="6" w:space="0" w:color="auto"/>
              <w:right w:val="single" w:sz="6" w:space="0" w:color="auto"/>
            </w:tcBorders>
          </w:tcPr>
          <w:p w:rsidR="00772CD3" w:rsidRPr="000A3C73" w:rsidRDefault="00772CD3" w:rsidP="00232B88">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N/A</w:t>
            </w:r>
          </w:p>
        </w:tc>
        <w:tc>
          <w:tcPr>
            <w:tcW w:w="353" w:type="pct"/>
            <w:tcBorders>
              <w:top w:val="single" w:sz="6" w:space="0" w:color="auto"/>
              <w:left w:val="single" w:sz="6" w:space="0" w:color="auto"/>
              <w:bottom w:val="single" w:sz="6" w:space="0" w:color="auto"/>
              <w:right w:val="single" w:sz="6" w:space="0" w:color="auto"/>
            </w:tcBorders>
          </w:tcPr>
          <w:p w:rsidR="00772CD3" w:rsidRPr="000A3C73" w:rsidRDefault="00772CD3" w:rsidP="00232B88">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N/A</w:t>
            </w:r>
          </w:p>
        </w:tc>
        <w:tc>
          <w:tcPr>
            <w:tcW w:w="519" w:type="pct"/>
            <w:tcBorders>
              <w:top w:val="single" w:sz="6" w:space="0" w:color="auto"/>
              <w:left w:val="single" w:sz="6" w:space="0" w:color="auto"/>
              <w:bottom w:val="single" w:sz="6" w:space="0" w:color="auto"/>
              <w:right w:val="single" w:sz="6" w:space="0" w:color="auto"/>
            </w:tcBorders>
          </w:tcPr>
          <w:p w:rsidR="00772CD3" w:rsidRPr="000A3C73" w:rsidRDefault="00772CD3" w:rsidP="00232B88">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N/A</w:t>
            </w:r>
          </w:p>
        </w:tc>
        <w:tc>
          <w:tcPr>
            <w:tcW w:w="367" w:type="pct"/>
            <w:tcBorders>
              <w:top w:val="single" w:sz="6" w:space="0" w:color="auto"/>
              <w:left w:val="single" w:sz="6" w:space="0" w:color="auto"/>
              <w:bottom w:val="single" w:sz="6" w:space="0" w:color="auto"/>
              <w:right w:val="single" w:sz="6" w:space="0" w:color="auto"/>
            </w:tcBorders>
          </w:tcPr>
          <w:p w:rsidR="00772CD3" w:rsidRPr="000A3C73" w:rsidRDefault="00772CD3" w:rsidP="00232B88">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N/A</w:t>
            </w:r>
          </w:p>
        </w:tc>
        <w:tc>
          <w:tcPr>
            <w:tcW w:w="794" w:type="pct"/>
            <w:vMerge/>
            <w:tcBorders>
              <w:left w:val="single" w:sz="6" w:space="0" w:color="auto"/>
              <w:right w:val="single" w:sz="6" w:space="0" w:color="auto"/>
            </w:tcBorders>
          </w:tcPr>
          <w:p w:rsidR="00772CD3" w:rsidRPr="000A3C73" w:rsidRDefault="00772CD3" w:rsidP="00232B88">
            <w:pPr>
              <w:autoSpaceDE w:val="0"/>
              <w:autoSpaceDN w:val="0"/>
              <w:adjustRightInd w:val="0"/>
              <w:jc w:val="right"/>
              <w:rPr>
                <w:rFonts w:ascii="Calibri" w:hAnsi="Calibri" w:cs="Calibri"/>
                <w:color w:val="000000"/>
                <w:sz w:val="18"/>
                <w:szCs w:val="18"/>
              </w:rPr>
            </w:pPr>
          </w:p>
        </w:tc>
      </w:tr>
      <w:tr w:rsidR="004C6A09" w:rsidRPr="000A3C73" w:rsidTr="004C6A09">
        <w:trPr>
          <w:trHeight w:val="69"/>
        </w:trPr>
        <w:tc>
          <w:tcPr>
            <w:tcW w:w="1487" w:type="pct"/>
            <w:tcBorders>
              <w:top w:val="single" w:sz="6" w:space="0" w:color="auto"/>
              <w:left w:val="single" w:sz="6" w:space="0" w:color="auto"/>
              <w:bottom w:val="single" w:sz="6" w:space="0" w:color="auto"/>
              <w:right w:val="single" w:sz="6" w:space="0" w:color="auto"/>
            </w:tcBorders>
          </w:tcPr>
          <w:p w:rsidR="004C6A09" w:rsidRPr="000A3C73" w:rsidRDefault="004C6A09" w:rsidP="002778C0">
            <w:pPr>
              <w:autoSpaceDE w:val="0"/>
              <w:autoSpaceDN w:val="0"/>
              <w:adjustRightInd w:val="0"/>
              <w:rPr>
                <w:rFonts w:ascii="Calibri" w:hAnsi="Calibri" w:cs="Calibri"/>
                <w:color w:val="000000"/>
                <w:sz w:val="18"/>
                <w:szCs w:val="18"/>
              </w:rPr>
            </w:pPr>
            <w:r w:rsidRPr="000A3C73">
              <w:rPr>
                <w:rFonts w:ascii="Calibri" w:hAnsi="Calibri" w:cs="Calibri"/>
                <w:color w:val="000000"/>
                <w:sz w:val="18"/>
                <w:szCs w:val="18"/>
              </w:rPr>
              <w:t>Project coordination and management</w:t>
            </w:r>
            <w:r w:rsidR="002630AF" w:rsidRPr="000A3C73">
              <w:rPr>
                <w:rFonts w:ascii="Calibri" w:hAnsi="Calibri" w:cs="Calibri"/>
                <w:color w:val="000000"/>
                <w:sz w:val="18"/>
                <w:szCs w:val="18"/>
                <w:vertAlign w:val="superscript"/>
              </w:rPr>
              <w:t>‡</w:t>
            </w:r>
          </w:p>
        </w:tc>
        <w:tc>
          <w:tcPr>
            <w:tcW w:w="469" w:type="pct"/>
            <w:tcBorders>
              <w:top w:val="single" w:sz="6" w:space="0" w:color="auto"/>
              <w:left w:val="single" w:sz="6" w:space="0" w:color="auto"/>
              <w:bottom w:val="single" w:sz="6" w:space="0" w:color="auto"/>
              <w:right w:val="single" w:sz="6" w:space="0" w:color="auto"/>
            </w:tcBorders>
          </w:tcPr>
          <w:p w:rsidR="004C6A09" w:rsidRPr="000A3C73" w:rsidRDefault="004C6A09" w:rsidP="00232B88">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U/A</w:t>
            </w:r>
          </w:p>
        </w:tc>
        <w:tc>
          <w:tcPr>
            <w:tcW w:w="560" w:type="pct"/>
            <w:tcBorders>
              <w:top w:val="single" w:sz="6" w:space="0" w:color="auto"/>
              <w:left w:val="single" w:sz="6" w:space="0" w:color="auto"/>
              <w:bottom w:val="single" w:sz="6" w:space="0" w:color="auto"/>
              <w:right w:val="single" w:sz="6" w:space="0" w:color="auto"/>
            </w:tcBorders>
          </w:tcPr>
          <w:p w:rsidR="004C6A09" w:rsidRPr="000A3C73" w:rsidRDefault="004C6A09" w:rsidP="00232B88">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U/A</w:t>
            </w:r>
          </w:p>
        </w:tc>
        <w:tc>
          <w:tcPr>
            <w:tcW w:w="451" w:type="pct"/>
            <w:tcBorders>
              <w:top w:val="single" w:sz="6" w:space="0" w:color="auto"/>
              <w:left w:val="single" w:sz="6" w:space="0" w:color="auto"/>
              <w:bottom w:val="single" w:sz="6" w:space="0" w:color="auto"/>
              <w:right w:val="single" w:sz="6" w:space="0" w:color="auto"/>
            </w:tcBorders>
          </w:tcPr>
          <w:p w:rsidR="004C6A09" w:rsidRPr="000A3C73" w:rsidRDefault="004C6A09" w:rsidP="00232B88">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U/A</w:t>
            </w:r>
          </w:p>
        </w:tc>
        <w:tc>
          <w:tcPr>
            <w:tcW w:w="353" w:type="pct"/>
            <w:tcBorders>
              <w:top w:val="single" w:sz="6" w:space="0" w:color="auto"/>
              <w:left w:val="single" w:sz="6" w:space="0" w:color="auto"/>
              <w:bottom w:val="single" w:sz="6" w:space="0" w:color="auto"/>
              <w:right w:val="single" w:sz="6" w:space="0" w:color="auto"/>
            </w:tcBorders>
          </w:tcPr>
          <w:p w:rsidR="004C6A09" w:rsidRPr="000A3C73" w:rsidRDefault="004C6A09" w:rsidP="00232B88">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U/A</w:t>
            </w:r>
          </w:p>
        </w:tc>
        <w:tc>
          <w:tcPr>
            <w:tcW w:w="519" w:type="pct"/>
            <w:tcBorders>
              <w:top w:val="single" w:sz="6" w:space="0" w:color="auto"/>
              <w:left w:val="single" w:sz="6" w:space="0" w:color="auto"/>
              <w:bottom w:val="single" w:sz="6" w:space="0" w:color="auto"/>
              <w:right w:val="single" w:sz="6" w:space="0" w:color="auto"/>
            </w:tcBorders>
          </w:tcPr>
          <w:p w:rsidR="004C6A09" w:rsidRPr="000A3C73" w:rsidRDefault="004C6A09" w:rsidP="00232B88">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U/A</w:t>
            </w:r>
          </w:p>
        </w:tc>
        <w:tc>
          <w:tcPr>
            <w:tcW w:w="367" w:type="pct"/>
            <w:tcBorders>
              <w:top w:val="single" w:sz="6" w:space="0" w:color="auto"/>
              <w:left w:val="single" w:sz="6" w:space="0" w:color="auto"/>
              <w:bottom w:val="single" w:sz="6" w:space="0" w:color="auto"/>
              <w:right w:val="single" w:sz="6" w:space="0" w:color="auto"/>
            </w:tcBorders>
          </w:tcPr>
          <w:p w:rsidR="004C6A09" w:rsidRPr="000A3C73" w:rsidRDefault="004C6A09" w:rsidP="00232B88">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U/A</w:t>
            </w:r>
          </w:p>
        </w:tc>
        <w:tc>
          <w:tcPr>
            <w:tcW w:w="794" w:type="pct"/>
            <w:vMerge/>
            <w:tcBorders>
              <w:left w:val="single" w:sz="6" w:space="0" w:color="auto"/>
              <w:bottom w:val="single" w:sz="6" w:space="0" w:color="auto"/>
              <w:right w:val="single" w:sz="6" w:space="0" w:color="auto"/>
            </w:tcBorders>
          </w:tcPr>
          <w:p w:rsidR="004C6A09" w:rsidRPr="000A3C73" w:rsidRDefault="004C6A09" w:rsidP="00232B88">
            <w:pPr>
              <w:autoSpaceDE w:val="0"/>
              <w:autoSpaceDN w:val="0"/>
              <w:adjustRightInd w:val="0"/>
              <w:jc w:val="right"/>
              <w:rPr>
                <w:rFonts w:ascii="Calibri" w:hAnsi="Calibri" w:cs="Calibri"/>
                <w:color w:val="000000"/>
                <w:sz w:val="18"/>
                <w:szCs w:val="18"/>
              </w:rPr>
            </w:pPr>
          </w:p>
        </w:tc>
      </w:tr>
      <w:tr w:rsidR="00544C77" w:rsidRPr="000A3C73" w:rsidTr="004C6A09">
        <w:trPr>
          <w:trHeight w:val="69"/>
        </w:trPr>
        <w:tc>
          <w:tcPr>
            <w:tcW w:w="1487" w:type="pct"/>
            <w:tcBorders>
              <w:top w:val="single" w:sz="6" w:space="0" w:color="auto"/>
              <w:left w:val="single" w:sz="6" w:space="0" w:color="auto"/>
              <w:bottom w:val="single" w:sz="6" w:space="0" w:color="auto"/>
              <w:right w:val="single" w:sz="6" w:space="0" w:color="auto"/>
            </w:tcBorders>
            <w:shd w:val="solid" w:color="C0C0C0" w:fill="auto"/>
          </w:tcPr>
          <w:p w:rsidR="00544C77" w:rsidRPr="000A3C73" w:rsidRDefault="00544C77" w:rsidP="00232B88">
            <w:pPr>
              <w:autoSpaceDE w:val="0"/>
              <w:autoSpaceDN w:val="0"/>
              <w:adjustRightInd w:val="0"/>
              <w:jc w:val="right"/>
              <w:rPr>
                <w:rFonts w:ascii="Calibri" w:hAnsi="Calibri" w:cs="Calibri"/>
                <w:b/>
                <w:bCs/>
                <w:color w:val="000000"/>
                <w:sz w:val="18"/>
                <w:szCs w:val="18"/>
              </w:rPr>
            </w:pPr>
            <w:r w:rsidRPr="000A3C73">
              <w:rPr>
                <w:rFonts w:ascii="Calibri" w:hAnsi="Calibri" w:cs="Calibri"/>
                <w:b/>
                <w:bCs/>
                <w:color w:val="000000"/>
                <w:sz w:val="18"/>
                <w:szCs w:val="18"/>
              </w:rPr>
              <w:t>Total</w:t>
            </w:r>
          </w:p>
        </w:tc>
        <w:tc>
          <w:tcPr>
            <w:tcW w:w="469" w:type="pct"/>
            <w:tcBorders>
              <w:top w:val="single" w:sz="6" w:space="0" w:color="auto"/>
              <w:left w:val="single" w:sz="6" w:space="0" w:color="auto"/>
              <w:bottom w:val="single" w:sz="6" w:space="0" w:color="auto"/>
              <w:right w:val="single" w:sz="6" w:space="0" w:color="auto"/>
            </w:tcBorders>
            <w:shd w:val="solid" w:color="C0C0C0" w:fill="auto"/>
          </w:tcPr>
          <w:p w:rsidR="00544C77" w:rsidRPr="000A3C73" w:rsidRDefault="002630AF" w:rsidP="00232B88">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1.05</w:t>
            </w:r>
          </w:p>
        </w:tc>
        <w:tc>
          <w:tcPr>
            <w:tcW w:w="560" w:type="pct"/>
            <w:tcBorders>
              <w:top w:val="single" w:sz="6" w:space="0" w:color="auto"/>
              <w:left w:val="single" w:sz="6" w:space="0" w:color="auto"/>
              <w:bottom w:val="single" w:sz="6" w:space="0" w:color="auto"/>
              <w:right w:val="single" w:sz="6" w:space="0" w:color="auto"/>
            </w:tcBorders>
            <w:shd w:val="solid" w:color="C0C0C0" w:fill="auto"/>
          </w:tcPr>
          <w:p w:rsidR="00544C77" w:rsidRPr="000A3C73" w:rsidRDefault="00544C77" w:rsidP="00232B88">
            <w:pPr>
              <w:autoSpaceDE w:val="0"/>
              <w:autoSpaceDN w:val="0"/>
              <w:adjustRightInd w:val="0"/>
              <w:jc w:val="right"/>
              <w:rPr>
                <w:rFonts w:ascii="Calibri" w:hAnsi="Calibri" w:cs="Calibri"/>
                <w:color w:val="000000"/>
                <w:sz w:val="18"/>
                <w:szCs w:val="18"/>
              </w:rPr>
            </w:pPr>
          </w:p>
        </w:tc>
        <w:tc>
          <w:tcPr>
            <w:tcW w:w="451" w:type="pct"/>
            <w:tcBorders>
              <w:top w:val="single" w:sz="6" w:space="0" w:color="auto"/>
              <w:left w:val="single" w:sz="6" w:space="0" w:color="auto"/>
              <w:bottom w:val="single" w:sz="6" w:space="0" w:color="auto"/>
              <w:right w:val="single" w:sz="6" w:space="0" w:color="auto"/>
            </w:tcBorders>
            <w:shd w:val="solid" w:color="C0C0C0" w:fill="auto"/>
          </w:tcPr>
          <w:p w:rsidR="00544C77" w:rsidRPr="000A3C73" w:rsidRDefault="002630AF" w:rsidP="00232B88">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1.03</w:t>
            </w:r>
          </w:p>
        </w:tc>
        <w:tc>
          <w:tcPr>
            <w:tcW w:w="353" w:type="pct"/>
            <w:tcBorders>
              <w:top w:val="single" w:sz="6" w:space="0" w:color="auto"/>
              <w:left w:val="single" w:sz="6" w:space="0" w:color="auto"/>
              <w:bottom w:val="single" w:sz="6" w:space="0" w:color="auto"/>
              <w:right w:val="single" w:sz="6" w:space="0" w:color="auto"/>
            </w:tcBorders>
            <w:shd w:val="solid" w:color="C0C0C0" w:fill="auto"/>
          </w:tcPr>
          <w:p w:rsidR="00544C77" w:rsidRPr="000A3C73" w:rsidRDefault="002630AF" w:rsidP="00232B88">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0.02</w:t>
            </w:r>
          </w:p>
        </w:tc>
        <w:tc>
          <w:tcPr>
            <w:tcW w:w="519" w:type="pct"/>
            <w:tcBorders>
              <w:top w:val="single" w:sz="6" w:space="0" w:color="auto"/>
              <w:left w:val="single" w:sz="6" w:space="0" w:color="auto"/>
              <w:bottom w:val="single" w:sz="6" w:space="0" w:color="auto"/>
              <w:right w:val="single" w:sz="6" w:space="0" w:color="auto"/>
            </w:tcBorders>
            <w:shd w:val="solid" w:color="C0C0C0" w:fill="auto"/>
          </w:tcPr>
          <w:p w:rsidR="00544C77" w:rsidRPr="000A3C73" w:rsidRDefault="00544C77" w:rsidP="00232B88">
            <w:pPr>
              <w:autoSpaceDE w:val="0"/>
              <w:autoSpaceDN w:val="0"/>
              <w:adjustRightInd w:val="0"/>
              <w:jc w:val="right"/>
              <w:rPr>
                <w:rFonts w:ascii="Calibri" w:hAnsi="Calibri" w:cs="Calibri"/>
                <w:color w:val="000000"/>
                <w:sz w:val="18"/>
                <w:szCs w:val="18"/>
              </w:rPr>
            </w:pPr>
          </w:p>
        </w:tc>
        <w:tc>
          <w:tcPr>
            <w:tcW w:w="367" w:type="pct"/>
            <w:tcBorders>
              <w:top w:val="single" w:sz="6" w:space="0" w:color="auto"/>
              <w:left w:val="single" w:sz="6" w:space="0" w:color="auto"/>
              <w:bottom w:val="single" w:sz="6" w:space="0" w:color="auto"/>
              <w:right w:val="single" w:sz="6" w:space="0" w:color="auto"/>
            </w:tcBorders>
            <w:shd w:val="solid" w:color="C0C0C0" w:fill="auto"/>
          </w:tcPr>
          <w:p w:rsidR="00544C77" w:rsidRPr="000A3C73" w:rsidRDefault="00544C77" w:rsidP="00232B88">
            <w:pPr>
              <w:autoSpaceDE w:val="0"/>
              <w:autoSpaceDN w:val="0"/>
              <w:adjustRightInd w:val="0"/>
              <w:jc w:val="right"/>
              <w:rPr>
                <w:rFonts w:ascii="Calibri" w:hAnsi="Calibri" w:cs="Calibri"/>
                <w:color w:val="000000"/>
                <w:sz w:val="18"/>
                <w:szCs w:val="18"/>
              </w:rPr>
            </w:pPr>
          </w:p>
        </w:tc>
        <w:tc>
          <w:tcPr>
            <w:tcW w:w="794" w:type="pct"/>
            <w:tcBorders>
              <w:top w:val="single" w:sz="6" w:space="0" w:color="auto"/>
              <w:left w:val="single" w:sz="6" w:space="0" w:color="auto"/>
              <w:bottom w:val="single" w:sz="6" w:space="0" w:color="auto"/>
              <w:right w:val="single" w:sz="6" w:space="0" w:color="auto"/>
            </w:tcBorders>
            <w:shd w:val="solid" w:color="C0C0C0" w:fill="auto"/>
          </w:tcPr>
          <w:p w:rsidR="00544C77" w:rsidRPr="000A3C73" w:rsidRDefault="00937F30" w:rsidP="00232B88">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0.27</w:t>
            </w:r>
          </w:p>
        </w:tc>
      </w:tr>
    </w:tbl>
    <w:p w:rsidR="00D408CD" w:rsidRPr="000A3C73" w:rsidRDefault="00D408CD" w:rsidP="00803C03">
      <w:pPr>
        <w:rPr>
          <w:rFonts w:ascii="Calibri" w:hAnsi="Calibri"/>
          <w:i/>
          <w:sz w:val="18"/>
        </w:rPr>
      </w:pPr>
      <w:r w:rsidRPr="000A3C73">
        <w:rPr>
          <w:rFonts w:ascii="Calibri" w:hAnsi="Calibri"/>
          <w:i/>
          <w:sz w:val="18"/>
        </w:rPr>
        <w:t xml:space="preserve">Sources: </w:t>
      </w:r>
      <w:r w:rsidR="00094D92" w:rsidRPr="000A3C73">
        <w:rPr>
          <w:rFonts w:ascii="Calibri" w:hAnsi="Calibri"/>
          <w:i/>
          <w:sz w:val="18"/>
        </w:rPr>
        <w:t>Planned amounts: Project Document Annual Workplans</w:t>
      </w:r>
      <w:r w:rsidR="005F3C64" w:rsidRPr="000A3C73">
        <w:rPr>
          <w:rFonts w:ascii="Calibri" w:hAnsi="Calibri"/>
          <w:i/>
          <w:sz w:val="18"/>
        </w:rPr>
        <w:t>; Actual amounts: Albania Combined Delivery Reports (CDRs).</w:t>
      </w:r>
    </w:p>
    <w:p w:rsidR="00D408CD" w:rsidRPr="000A3C73" w:rsidRDefault="00D408CD" w:rsidP="00803C03">
      <w:pPr>
        <w:rPr>
          <w:rFonts w:ascii="Calibri" w:hAnsi="Calibri"/>
          <w:i/>
          <w:sz w:val="18"/>
        </w:rPr>
      </w:pPr>
      <w:r w:rsidRPr="000A3C73">
        <w:rPr>
          <w:rFonts w:ascii="Calibri" w:hAnsi="Calibri"/>
          <w:i/>
          <w:sz w:val="18"/>
        </w:rPr>
        <w:t>*The</w:t>
      </w:r>
      <w:r w:rsidR="000D1E2A" w:rsidRPr="000A3C73">
        <w:rPr>
          <w:rFonts w:ascii="Calibri" w:hAnsi="Calibri"/>
          <w:i/>
          <w:sz w:val="18"/>
        </w:rPr>
        <w:t>re was one single</w:t>
      </w:r>
      <w:r w:rsidRPr="000A3C73">
        <w:rPr>
          <w:rFonts w:ascii="Calibri" w:hAnsi="Calibri"/>
          <w:i/>
          <w:sz w:val="18"/>
        </w:rPr>
        <w:t xml:space="preserve"> M&amp;E budget </w:t>
      </w:r>
      <w:r w:rsidR="000D1E2A" w:rsidRPr="000A3C73">
        <w:rPr>
          <w:rFonts w:ascii="Calibri" w:hAnsi="Calibri"/>
          <w:i/>
          <w:sz w:val="18"/>
        </w:rPr>
        <w:t>for the entire project, and not an additional M&amp;E fund amount, beyond what is included under Outcome 5.</w:t>
      </w:r>
    </w:p>
    <w:p w:rsidR="00D408CD" w:rsidRPr="000A3C73" w:rsidRDefault="00D408CD" w:rsidP="00803C03">
      <w:pPr>
        <w:rPr>
          <w:rFonts w:ascii="Calibri" w:hAnsi="Calibri"/>
          <w:i/>
          <w:sz w:val="18"/>
        </w:rPr>
      </w:pPr>
      <w:r w:rsidRPr="000A3C73">
        <w:rPr>
          <w:rFonts w:ascii="Calibri" w:hAnsi="Calibri"/>
          <w:b/>
          <w:i/>
          <w:sz w:val="18"/>
        </w:rPr>
        <w:t>‡</w:t>
      </w:r>
      <w:r w:rsidR="000D1E2A" w:rsidRPr="000A3C73">
        <w:rPr>
          <w:rFonts w:ascii="Calibri" w:hAnsi="Calibri"/>
          <w:i/>
          <w:sz w:val="18"/>
        </w:rPr>
        <w:t xml:space="preserve">There was not a separate “Project Management” budget line shown in the planned project budget included in the Project Document. Project managements expenditures were drawn from all outcomes, but particularly Outcome 5. However, not all of Outcome 5 can be considered project management, as demonstrated by the fact that it was planned at 20% of the GEF expenditure, well above the stated threshold of 10%. </w:t>
      </w:r>
    </w:p>
    <w:p w:rsidR="00237577" w:rsidRPr="000A3C73" w:rsidRDefault="00237577" w:rsidP="00803C03">
      <w:pPr>
        <w:rPr>
          <w:rFonts w:ascii="Calibri" w:hAnsi="Calibri"/>
          <w:i/>
          <w:sz w:val="18"/>
        </w:rPr>
      </w:pPr>
    </w:p>
    <w:p w:rsidR="00237577" w:rsidRPr="000A3C73" w:rsidRDefault="00237577" w:rsidP="00237577">
      <w:pPr>
        <w:pStyle w:val="Caption"/>
      </w:pPr>
      <w:bookmarkStart w:id="61" w:name="_Ref210962138"/>
      <w:r w:rsidRPr="000A3C73">
        <w:t xml:space="preserve">Table </w:t>
      </w:r>
      <w:r w:rsidR="008269C6" w:rsidRPr="00552EEF">
        <w:fldChar w:fldCharType="begin"/>
      </w:r>
      <w:r w:rsidR="00CF23E9" w:rsidRPr="000A3C73">
        <w:instrText xml:space="preserve"> SEQ Table \* ARABIC </w:instrText>
      </w:r>
      <w:r w:rsidR="008269C6" w:rsidRPr="00552EEF">
        <w:fldChar w:fldCharType="separate"/>
      </w:r>
      <w:r w:rsidR="006E18A7" w:rsidRPr="000A3C73">
        <w:rPr>
          <w:noProof/>
        </w:rPr>
        <w:t>5</w:t>
      </w:r>
      <w:r w:rsidR="008269C6" w:rsidRPr="00552EEF">
        <w:rPr>
          <w:noProof/>
        </w:rPr>
        <w:fldChar w:fldCharType="end"/>
      </w:r>
      <w:bookmarkEnd w:id="61"/>
      <w:r w:rsidRPr="000A3C73">
        <w:t xml:space="preserve"> Macedonia Component (NEX) Planned Budget and Actual Expenditure Through </w:t>
      </w:r>
      <w:r w:rsidR="00A972C2" w:rsidRPr="000A3C73">
        <w:t>May</w:t>
      </w:r>
      <w:r w:rsidRPr="000A3C73">
        <w:t xml:space="preserve"> 31, 2012</w:t>
      </w:r>
      <w:r w:rsidR="00450C8B" w:rsidRPr="000A3C73">
        <w:t>*</w:t>
      </w:r>
      <w:r w:rsidRPr="000A3C73">
        <w:rPr>
          <w:sz w:val="20"/>
        </w:rPr>
        <w:t>(USD)</w:t>
      </w:r>
    </w:p>
    <w:tbl>
      <w:tblPr>
        <w:tblW w:w="4973" w:type="pct"/>
        <w:tblLayout w:type="fixed"/>
        <w:tblCellMar>
          <w:left w:w="70" w:type="dxa"/>
          <w:right w:w="70" w:type="dxa"/>
        </w:tblCellMar>
        <w:tblLook w:val="0000"/>
      </w:tblPr>
      <w:tblGrid>
        <w:gridCol w:w="3310"/>
        <w:gridCol w:w="1709"/>
        <w:gridCol w:w="2160"/>
        <w:gridCol w:w="1621"/>
        <w:gridCol w:w="1081"/>
        <w:gridCol w:w="1978"/>
        <w:gridCol w:w="1170"/>
      </w:tblGrid>
      <w:tr w:rsidR="004C01E0" w:rsidRPr="000A3C73" w:rsidTr="004C01E0">
        <w:trPr>
          <w:trHeight w:val="201"/>
        </w:trPr>
        <w:tc>
          <w:tcPr>
            <w:tcW w:w="1270" w:type="pct"/>
            <w:tcBorders>
              <w:top w:val="single" w:sz="6" w:space="0" w:color="auto"/>
              <w:left w:val="single" w:sz="6" w:space="0" w:color="auto"/>
              <w:bottom w:val="single" w:sz="6" w:space="0" w:color="auto"/>
              <w:right w:val="single" w:sz="6" w:space="0" w:color="auto"/>
            </w:tcBorders>
          </w:tcPr>
          <w:p w:rsidR="004C6A09" w:rsidRPr="000A3C73" w:rsidRDefault="004C6A09" w:rsidP="005A7184">
            <w:pPr>
              <w:autoSpaceDE w:val="0"/>
              <w:autoSpaceDN w:val="0"/>
              <w:adjustRightInd w:val="0"/>
              <w:jc w:val="right"/>
              <w:rPr>
                <w:rFonts w:ascii="Calibri" w:hAnsi="Calibri" w:cs="Calibri"/>
                <w:color w:val="000000"/>
                <w:sz w:val="18"/>
                <w:szCs w:val="18"/>
              </w:rPr>
            </w:pPr>
          </w:p>
        </w:tc>
        <w:tc>
          <w:tcPr>
            <w:tcW w:w="656" w:type="pct"/>
            <w:tcBorders>
              <w:top w:val="single" w:sz="6" w:space="0" w:color="auto"/>
              <w:left w:val="single" w:sz="6" w:space="0" w:color="auto"/>
              <w:bottom w:val="single" w:sz="6" w:space="0" w:color="auto"/>
              <w:right w:val="single" w:sz="6" w:space="0" w:color="auto"/>
            </w:tcBorders>
            <w:shd w:val="solid" w:color="C0C0C0" w:fill="auto"/>
          </w:tcPr>
          <w:p w:rsidR="004C6A09" w:rsidRPr="000A3C73" w:rsidRDefault="004C6A09" w:rsidP="005A7184">
            <w:pPr>
              <w:autoSpaceDE w:val="0"/>
              <w:autoSpaceDN w:val="0"/>
              <w:adjustRightInd w:val="0"/>
              <w:jc w:val="center"/>
              <w:rPr>
                <w:rFonts w:ascii="Calibri" w:hAnsi="Calibri" w:cs="Calibri"/>
                <w:b/>
                <w:bCs/>
                <w:color w:val="000000"/>
                <w:sz w:val="18"/>
                <w:szCs w:val="18"/>
              </w:rPr>
            </w:pPr>
            <w:r w:rsidRPr="000A3C73">
              <w:rPr>
                <w:rFonts w:ascii="Calibri" w:hAnsi="Calibri" w:cs="Calibri"/>
                <w:b/>
                <w:bCs/>
                <w:color w:val="000000"/>
                <w:sz w:val="18"/>
                <w:szCs w:val="18"/>
              </w:rPr>
              <w:t>GEF amount planned</w:t>
            </w:r>
          </w:p>
        </w:tc>
        <w:tc>
          <w:tcPr>
            <w:tcW w:w="829" w:type="pct"/>
            <w:tcBorders>
              <w:top w:val="single" w:sz="6" w:space="0" w:color="auto"/>
              <w:left w:val="single" w:sz="6" w:space="0" w:color="auto"/>
              <w:bottom w:val="single" w:sz="6" w:space="0" w:color="auto"/>
              <w:right w:val="single" w:sz="6" w:space="0" w:color="auto"/>
            </w:tcBorders>
            <w:shd w:val="solid" w:color="C0C0C0" w:fill="auto"/>
          </w:tcPr>
          <w:p w:rsidR="004C6A09" w:rsidRPr="000A3C73" w:rsidRDefault="004C6A09" w:rsidP="005A7184">
            <w:pPr>
              <w:autoSpaceDE w:val="0"/>
              <w:autoSpaceDN w:val="0"/>
              <w:adjustRightInd w:val="0"/>
              <w:jc w:val="center"/>
              <w:rPr>
                <w:rFonts w:ascii="Calibri" w:hAnsi="Calibri" w:cs="Calibri"/>
                <w:b/>
                <w:bCs/>
                <w:color w:val="000000"/>
                <w:sz w:val="18"/>
                <w:szCs w:val="18"/>
              </w:rPr>
            </w:pPr>
            <w:r w:rsidRPr="000A3C73">
              <w:rPr>
                <w:rFonts w:ascii="Calibri" w:hAnsi="Calibri" w:cs="Calibri"/>
                <w:b/>
                <w:bCs/>
                <w:color w:val="000000"/>
                <w:sz w:val="18"/>
                <w:szCs w:val="18"/>
              </w:rPr>
              <w:t>% of GEF amount planned</w:t>
            </w:r>
          </w:p>
        </w:tc>
        <w:tc>
          <w:tcPr>
            <w:tcW w:w="622" w:type="pct"/>
            <w:tcBorders>
              <w:top w:val="single" w:sz="6" w:space="0" w:color="auto"/>
              <w:left w:val="single" w:sz="6" w:space="0" w:color="auto"/>
              <w:bottom w:val="single" w:sz="6" w:space="0" w:color="auto"/>
              <w:right w:val="single" w:sz="6" w:space="0" w:color="auto"/>
            </w:tcBorders>
            <w:shd w:val="solid" w:color="C0C0C0" w:fill="auto"/>
          </w:tcPr>
          <w:p w:rsidR="004C6A09" w:rsidRPr="000A3C73" w:rsidRDefault="004C6A09" w:rsidP="005A7184">
            <w:pPr>
              <w:autoSpaceDE w:val="0"/>
              <w:autoSpaceDN w:val="0"/>
              <w:adjustRightInd w:val="0"/>
              <w:jc w:val="center"/>
              <w:rPr>
                <w:rFonts w:ascii="Calibri" w:hAnsi="Calibri" w:cs="Calibri"/>
                <w:b/>
                <w:bCs/>
                <w:color w:val="000000"/>
                <w:sz w:val="18"/>
                <w:szCs w:val="18"/>
              </w:rPr>
            </w:pPr>
            <w:r w:rsidRPr="000A3C73">
              <w:rPr>
                <w:rFonts w:ascii="Calibri" w:hAnsi="Calibri" w:cs="Calibri"/>
                <w:b/>
                <w:bCs/>
                <w:color w:val="000000"/>
                <w:sz w:val="18"/>
                <w:szCs w:val="18"/>
              </w:rPr>
              <w:t>GEF amount actual</w:t>
            </w:r>
          </w:p>
        </w:tc>
        <w:tc>
          <w:tcPr>
            <w:tcW w:w="415" w:type="pct"/>
            <w:tcBorders>
              <w:top w:val="single" w:sz="6" w:space="0" w:color="auto"/>
              <w:left w:val="single" w:sz="6" w:space="0" w:color="auto"/>
              <w:bottom w:val="single" w:sz="6" w:space="0" w:color="auto"/>
              <w:right w:val="single" w:sz="6" w:space="0" w:color="auto"/>
            </w:tcBorders>
            <w:shd w:val="solid" w:color="C0C0C0" w:fill="auto"/>
          </w:tcPr>
          <w:p w:rsidR="004C6A09" w:rsidRPr="000A3C73" w:rsidRDefault="004C01E0" w:rsidP="005A7184">
            <w:pPr>
              <w:autoSpaceDE w:val="0"/>
              <w:autoSpaceDN w:val="0"/>
              <w:adjustRightInd w:val="0"/>
              <w:jc w:val="center"/>
              <w:rPr>
                <w:rFonts w:ascii="Calibri" w:hAnsi="Calibri" w:cs="Calibri"/>
                <w:b/>
                <w:bCs/>
                <w:color w:val="000000"/>
                <w:sz w:val="18"/>
                <w:szCs w:val="18"/>
              </w:rPr>
            </w:pPr>
            <w:r w:rsidRPr="000A3C73">
              <w:rPr>
                <w:rFonts w:ascii="Calibri" w:hAnsi="Calibri" w:cs="Calibri"/>
                <w:b/>
                <w:bCs/>
                <w:color w:val="000000"/>
                <w:sz w:val="18"/>
                <w:szCs w:val="18"/>
              </w:rPr>
              <w:t xml:space="preserve">$ </w:t>
            </w:r>
            <w:r w:rsidR="004C6A09" w:rsidRPr="000A3C73">
              <w:rPr>
                <w:rFonts w:ascii="Calibri" w:hAnsi="Calibri" w:cs="Calibri"/>
                <w:b/>
                <w:bCs/>
                <w:color w:val="000000"/>
                <w:sz w:val="18"/>
                <w:szCs w:val="18"/>
              </w:rPr>
              <w:t>Difference</w:t>
            </w:r>
          </w:p>
        </w:tc>
        <w:tc>
          <w:tcPr>
            <w:tcW w:w="759" w:type="pct"/>
            <w:tcBorders>
              <w:top w:val="single" w:sz="6" w:space="0" w:color="auto"/>
              <w:left w:val="single" w:sz="6" w:space="0" w:color="auto"/>
              <w:bottom w:val="single" w:sz="6" w:space="0" w:color="auto"/>
              <w:right w:val="single" w:sz="6" w:space="0" w:color="auto"/>
            </w:tcBorders>
            <w:shd w:val="solid" w:color="C0C0C0" w:fill="auto"/>
          </w:tcPr>
          <w:p w:rsidR="004C6A09" w:rsidRPr="000A3C73" w:rsidRDefault="004C6A09" w:rsidP="005A7184">
            <w:pPr>
              <w:autoSpaceDE w:val="0"/>
              <w:autoSpaceDN w:val="0"/>
              <w:adjustRightInd w:val="0"/>
              <w:jc w:val="center"/>
              <w:rPr>
                <w:rFonts w:ascii="Calibri" w:hAnsi="Calibri" w:cs="Calibri"/>
                <w:b/>
                <w:bCs/>
                <w:color w:val="000000"/>
                <w:sz w:val="18"/>
                <w:szCs w:val="18"/>
              </w:rPr>
            </w:pPr>
            <w:r w:rsidRPr="000A3C73">
              <w:rPr>
                <w:rFonts w:ascii="Calibri" w:hAnsi="Calibri" w:cs="Calibri"/>
                <w:b/>
                <w:bCs/>
                <w:color w:val="000000"/>
                <w:sz w:val="18"/>
                <w:szCs w:val="18"/>
              </w:rPr>
              <w:t>% of GEF amount actual</w:t>
            </w:r>
          </w:p>
        </w:tc>
        <w:tc>
          <w:tcPr>
            <w:tcW w:w="449" w:type="pct"/>
            <w:tcBorders>
              <w:top w:val="single" w:sz="6" w:space="0" w:color="auto"/>
              <w:left w:val="single" w:sz="6" w:space="0" w:color="auto"/>
              <w:bottom w:val="single" w:sz="6" w:space="0" w:color="auto"/>
              <w:right w:val="single" w:sz="6" w:space="0" w:color="auto"/>
            </w:tcBorders>
            <w:shd w:val="solid" w:color="C0C0C0" w:fill="auto"/>
          </w:tcPr>
          <w:p w:rsidR="004C6A09" w:rsidRPr="000A3C73" w:rsidRDefault="004C01E0" w:rsidP="005A7184">
            <w:pPr>
              <w:autoSpaceDE w:val="0"/>
              <w:autoSpaceDN w:val="0"/>
              <w:adjustRightInd w:val="0"/>
              <w:jc w:val="center"/>
              <w:rPr>
                <w:rFonts w:ascii="Calibri" w:hAnsi="Calibri" w:cs="Calibri"/>
                <w:b/>
                <w:bCs/>
                <w:color w:val="000000"/>
                <w:sz w:val="18"/>
                <w:szCs w:val="18"/>
              </w:rPr>
            </w:pPr>
            <w:r w:rsidRPr="000A3C73">
              <w:rPr>
                <w:rFonts w:ascii="Calibri" w:hAnsi="Calibri" w:cs="Calibri"/>
                <w:b/>
                <w:bCs/>
                <w:color w:val="000000"/>
                <w:sz w:val="18"/>
                <w:szCs w:val="18"/>
              </w:rPr>
              <w:t xml:space="preserve">% </w:t>
            </w:r>
            <w:r w:rsidR="004C6A09" w:rsidRPr="000A3C73">
              <w:rPr>
                <w:rFonts w:ascii="Calibri" w:hAnsi="Calibri" w:cs="Calibri"/>
                <w:b/>
                <w:bCs/>
                <w:color w:val="000000"/>
                <w:sz w:val="18"/>
                <w:szCs w:val="18"/>
              </w:rPr>
              <w:t>Difference</w:t>
            </w:r>
          </w:p>
        </w:tc>
      </w:tr>
      <w:tr w:rsidR="00D272D4" w:rsidRPr="000A3C73" w:rsidTr="004C01E0">
        <w:trPr>
          <w:trHeight w:val="58"/>
        </w:trPr>
        <w:tc>
          <w:tcPr>
            <w:tcW w:w="1270" w:type="pct"/>
            <w:tcBorders>
              <w:top w:val="single" w:sz="6" w:space="0" w:color="auto"/>
              <w:left w:val="single" w:sz="6" w:space="0" w:color="auto"/>
              <w:bottom w:val="single" w:sz="6" w:space="0" w:color="auto"/>
              <w:right w:val="single" w:sz="6" w:space="0" w:color="auto"/>
            </w:tcBorders>
          </w:tcPr>
          <w:p w:rsidR="00D272D4" w:rsidRPr="000A3C73" w:rsidRDefault="00D272D4" w:rsidP="005A7184">
            <w:pPr>
              <w:autoSpaceDE w:val="0"/>
              <w:autoSpaceDN w:val="0"/>
              <w:adjustRightInd w:val="0"/>
              <w:rPr>
                <w:rFonts w:ascii="Calibri" w:hAnsi="Calibri" w:cs="Calibri"/>
                <w:b/>
                <w:color w:val="000000"/>
                <w:sz w:val="18"/>
                <w:szCs w:val="18"/>
              </w:rPr>
            </w:pPr>
            <w:r w:rsidRPr="000A3C73">
              <w:rPr>
                <w:rFonts w:ascii="Calibri" w:hAnsi="Calibri" w:cs="Calibri"/>
                <w:b/>
                <w:color w:val="000000"/>
                <w:sz w:val="18"/>
                <w:szCs w:val="18"/>
              </w:rPr>
              <w:t>Inception Phase</w:t>
            </w:r>
          </w:p>
        </w:tc>
        <w:tc>
          <w:tcPr>
            <w:tcW w:w="656" w:type="pct"/>
            <w:tcBorders>
              <w:top w:val="single" w:sz="6" w:space="0" w:color="auto"/>
              <w:left w:val="single" w:sz="6" w:space="0" w:color="auto"/>
              <w:bottom w:val="single" w:sz="6" w:space="0" w:color="auto"/>
              <w:right w:val="single" w:sz="6" w:space="0" w:color="auto"/>
            </w:tcBorders>
          </w:tcPr>
          <w:p w:rsidR="00D272D4" w:rsidRPr="000A3C73" w:rsidRDefault="00D272D4" w:rsidP="005A7184">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0.04</w:t>
            </w:r>
          </w:p>
        </w:tc>
        <w:tc>
          <w:tcPr>
            <w:tcW w:w="829" w:type="pct"/>
            <w:tcBorders>
              <w:top w:val="single" w:sz="6" w:space="0" w:color="auto"/>
              <w:left w:val="single" w:sz="6" w:space="0" w:color="auto"/>
              <w:bottom w:val="single" w:sz="6" w:space="0" w:color="auto"/>
              <w:right w:val="single" w:sz="6" w:space="0" w:color="auto"/>
            </w:tcBorders>
          </w:tcPr>
          <w:p w:rsidR="00D272D4" w:rsidRPr="000A3C73" w:rsidRDefault="00D272D4" w:rsidP="005A7184">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2.4%</w:t>
            </w:r>
          </w:p>
        </w:tc>
        <w:tc>
          <w:tcPr>
            <w:tcW w:w="622" w:type="pct"/>
            <w:tcBorders>
              <w:top w:val="single" w:sz="6" w:space="0" w:color="auto"/>
              <w:left w:val="single" w:sz="6" w:space="0" w:color="auto"/>
              <w:bottom w:val="single" w:sz="6" w:space="0" w:color="auto"/>
              <w:right w:val="single" w:sz="6" w:space="0" w:color="auto"/>
            </w:tcBorders>
          </w:tcPr>
          <w:p w:rsidR="00D272D4" w:rsidRPr="000A3C73" w:rsidRDefault="00D272D4" w:rsidP="005A7184">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0.03</w:t>
            </w:r>
          </w:p>
        </w:tc>
        <w:tc>
          <w:tcPr>
            <w:tcW w:w="415" w:type="pct"/>
            <w:tcBorders>
              <w:top w:val="single" w:sz="6" w:space="0" w:color="auto"/>
              <w:left w:val="single" w:sz="6" w:space="0" w:color="auto"/>
              <w:bottom w:val="single" w:sz="6" w:space="0" w:color="auto"/>
              <w:right w:val="single" w:sz="6" w:space="0" w:color="auto"/>
            </w:tcBorders>
          </w:tcPr>
          <w:p w:rsidR="00D272D4" w:rsidRPr="000A3C73" w:rsidRDefault="00EC1A14" w:rsidP="005A7184">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w:t>
            </w:r>
            <w:r w:rsidR="00D272D4" w:rsidRPr="000A3C73">
              <w:rPr>
                <w:rFonts w:ascii="Calibri" w:hAnsi="Calibri" w:cs="Calibri"/>
                <w:color w:val="000000"/>
                <w:sz w:val="18"/>
                <w:szCs w:val="18"/>
              </w:rPr>
              <w:t>0.00</w:t>
            </w:r>
            <w:r w:rsidRPr="000A3C73">
              <w:rPr>
                <w:rFonts w:ascii="Calibri" w:hAnsi="Calibri" w:cs="Calibri"/>
                <w:color w:val="000000"/>
                <w:sz w:val="18"/>
                <w:szCs w:val="18"/>
              </w:rPr>
              <w:t>)</w:t>
            </w:r>
          </w:p>
        </w:tc>
        <w:tc>
          <w:tcPr>
            <w:tcW w:w="759" w:type="pct"/>
            <w:tcBorders>
              <w:top w:val="single" w:sz="6" w:space="0" w:color="auto"/>
              <w:left w:val="single" w:sz="6" w:space="0" w:color="auto"/>
              <w:bottom w:val="single" w:sz="6" w:space="0" w:color="auto"/>
              <w:right w:val="single" w:sz="6" w:space="0" w:color="auto"/>
            </w:tcBorders>
          </w:tcPr>
          <w:p w:rsidR="00D272D4" w:rsidRPr="000A3C73" w:rsidRDefault="00D272D4" w:rsidP="005A7184">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2.4%</w:t>
            </w:r>
          </w:p>
        </w:tc>
        <w:tc>
          <w:tcPr>
            <w:tcW w:w="449" w:type="pct"/>
            <w:tcBorders>
              <w:top w:val="single" w:sz="6" w:space="0" w:color="auto"/>
              <w:left w:val="single" w:sz="6" w:space="0" w:color="auto"/>
              <w:bottom w:val="single" w:sz="6" w:space="0" w:color="auto"/>
              <w:right w:val="single" w:sz="6" w:space="0" w:color="auto"/>
            </w:tcBorders>
          </w:tcPr>
          <w:p w:rsidR="00D272D4" w:rsidRPr="000A3C73" w:rsidRDefault="00EC1A14" w:rsidP="005A7184">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w:t>
            </w:r>
            <w:r w:rsidR="00D272D4" w:rsidRPr="000A3C73">
              <w:rPr>
                <w:rFonts w:ascii="Calibri" w:hAnsi="Calibri" w:cs="Calibri"/>
                <w:color w:val="000000"/>
                <w:sz w:val="18"/>
                <w:szCs w:val="18"/>
              </w:rPr>
              <w:t>0.0</w:t>
            </w:r>
            <w:r w:rsidR="00BF5F72" w:rsidRPr="000A3C73">
              <w:rPr>
                <w:rFonts w:ascii="Calibri" w:hAnsi="Calibri" w:cs="Calibri"/>
                <w:color w:val="000000"/>
                <w:sz w:val="18"/>
                <w:szCs w:val="18"/>
              </w:rPr>
              <w:t>%</w:t>
            </w:r>
            <w:r w:rsidRPr="000A3C73">
              <w:rPr>
                <w:rFonts w:ascii="Calibri" w:hAnsi="Calibri" w:cs="Calibri"/>
                <w:color w:val="000000"/>
                <w:sz w:val="18"/>
                <w:szCs w:val="18"/>
              </w:rPr>
              <w:t>)</w:t>
            </w:r>
          </w:p>
        </w:tc>
      </w:tr>
      <w:tr w:rsidR="00D272D4" w:rsidRPr="000A3C73" w:rsidTr="004C01E0">
        <w:trPr>
          <w:trHeight w:val="399"/>
        </w:trPr>
        <w:tc>
          <w:tcPr>
            <w:tcW w:w="1270" w:type="pct"/>
            <w:tcBorders>
              <w:top w:val="single" w:sz="6" w:space="0" w:color="auto"/>
              <w:left w:val="single" w:sz="6" w:space="0" w:color="auto"/>
              <w:bottom w:val="single" w:sz="6" w:space="0" w:color="auto"/>
              <w:right w:val="single" w:sz="6" w:space="0" w:color="auto"/>
            </w:tcBorders>
          </w:tcPr>
          <w:p w:rsidR="00D272D4" w:rsidRPr="00FC657B" w:rsidRDefault="00D272D4" w:rsidP="005A7184">
            <w:pPr>
              <w:autoSpaceDE w:val="0"/>
              <w:autoSpaceDN w:val="0"/>
              <w:adjustRightInd w:val="0"/>
              <w:rPr>
                <w:rFonts w:ascii="Calibri" w:hAnsi="Calibri" w:cs="Calibri"/>
                <w:color w:val="000000"/>
                <w:sz w:val="18"/>
                <w:szCs w:val="18"/>
              </w:rPr>
            </w:pPr>
            <w:r w:rsidRPr="000A3C73">
              <w:rPr>
                <w:rFonts w:ascii="Calibri" w:hAnsi="Calibri" w:cs="Calibri"/>
                <w:b/>
                <w:color w:val="000000"/>
                <w:sz w:val="18"/>
                <w:szCs w:val="18"/>
              </w:rPr>
              <w:t>Outcome 1:</w:t>
            </w:r>
            <w:r w:rsidRPr="0089284E">
              <w:rPr>
                <w:rFonts w:ascii="Calibri" w:hAnsi="Calibri" w:cs="Calibri"/>
                <w:bCs/>
                <w:color w:val="000000"/>
                <w:sz w:val="18"/>
                <w:szCs w:val="18"/>
              </w:rPr>
              <w:t>Land and Water / Nature Resource Management</w:t>
            </w:r>
          </w:p>
        </w:tc>
        <w:tc>
          <w:tcPr>
            <w:tcW w:w="656" w:type="pct"/>
            <w:tcBorders>
              <w:top w:val="single" w:sz="6" w:space="0" w:color="auto"/>
              <w:left w:val="single" w:sz="6" w:space="0" w:color="auto"/>
              <w:bottom w:val="single" w:sz="6" w:space="0" w:color="auto"/>
              <w:right w:val="single" w:sz="6" w:space="0" w:color="auto"/>
            </w:tcBorders>
          </w:tcPr>
          <w:p w:rsidR="00D272D4" w:rsidRPr="00D77DF1" w:rsidRDefault="00D272D4" w:rsidP="000C5B5A">
            <w:pPr>
              <w:tabs>
                <w:tab w:val="center" w:pos="784"/>
                <w:tab w:val="right" w:pos="1569"/>
              </w:tabs>
              <w:autoSpaceDE w:val="0"/>
              <w:autoSpaceDN w:val="0"/>
              <w:adjustRightInd w:val="0"/>
              <w:jc w:val="right"/>
              <w:rPr>
                <w:rFonts w:ascii="Calibri" w:hAnsi="Calibri" w:cs="Calibri"/>
                <w:color w:val="000000"/>
                <w:sz w:val="18"/>
                <w:szCs w:val="18"/>
              </w:rPr>
            </w:pPr>
            <w:r w:rsidRPr="00FC657B">
              <w:rPr>
                <w:rFonts w:ascii="Calibri" w:hAnsi="Calibri" w:cs="Calibri"/>
                <w:color w:val="000000"/>
                <w:sz w:val="18"/>
                <w:szCs w:val="18"/>
              </w:rPr>
              <w:t>0.38</w:t>
            </w:r>
          </w:p>
        </w:tc>
        <w:tc>
          <w:tcPr>
            <w:tcW w:w="829" w:type="pct"/>
            <w:tcBorders>
              <w:top w:val="single" w:sz="6" w:space="0" w:color="auto"/>
              <w:left w:val="single" w:sz="6" w:space="0" w:color="auto"/>
              <w:bottom w:val="single" w:sz="6" w:space="0" w:color="auto"/>
              <w:right w:val="single" w:sz="6" w:space="0" w:color="auto"/>
            </w:tcBorders>
          </w:tcPr>
          <w:p w:rsidR="00D272D4" w:rsidRPr="00CD42DE" w:rsidRDefault="00D272D4" w:rsidP="000C5B5A">
            <w:pPr>
              <w:tabs>
                <w:tab w:val="center" w:pos="784"/>
                <w:tab w:val="right" w:pos="1569"/>
              </w:tabs>
              <w:autoSpaceDE w:val="0"/>
              <w:autoSpaceDN w:val="0"/>
              <w:adjustRightInd w:val="0"/>
              <w:jc w:val="right"/>
              <w:rPr>
                <w:rFonts w:ascii="Calibri" w:hAnsi="Calibri" w:cs="Calibri"/>
                <w:color w:val="000000"/>
                <w:sz w:val="18"/>
                <w:szCs w:val="18"/>
              </w:rPr>
            </w:pPr>
            <w:r w:rsidRPr="00CD42DE">
              <w:rPr>
                <w:rFonts w:ascii="Calibri" w:hAnsi="Calibri" w:cs="Calibri"/>
                <w:color w:val="000000"/>
                <w:sz w:val="18"/>
                <w:szCs w:val="18"/>
              </w:rPr>
              <w:t>25.4%</w:t>
            </w:r>
          </w:p>
        </w:tc>
        <w:tc>
          <w:tcPr>
            <w:tcW w:w="622" w:type="pct"/>
            <w:tcBorders>
              <w:top w:val="single" w:sz="6" w:space="0" w:color="auto"/>
              <w:left w:val="single" w:sz="6" w:space="0" w:color="auto"/>
              <w:bottom w:val="single" w:sz="6" w:space="0" w:color="auto"/>
              <w:right w:val="single" w:sz="6" w:space="0" w:color="auto"/>
            </w:tcBorders>
          </w:tcPr>
          <w:p w:rsidR="00D272D4" w:rsidRPr="00CD42DE" w:rsidRDefault="00D272D4" w:rsidP="005A7184">
            <w:pPr>
              <w:autoSpaceDE w:val="0"/>
              <w:autoSpaceDN w:val="0"/>
              <w:adjustRightInd w:val="0"/>
              <w:jc w:val="right"/>
              <w:rPr>
                <w:rFonts w:ascii="Calibri" w:hAnsi="Calibri" w:cs="Calibri"/>
                <w:color w:val="000000"/>
                <w:sz w:val="18"/>
                <w:szCs w:val="18"/>
              </w:rPr>
            </w:pPr>
            <w:r w:rsidRPr="00CD42DE">
              <w:rPr>
                <w:rFonts w:ascii="Calibri" w:hAnsi="Calibri" w:cs="Calibri"/>
                <w:color w:val="000000"/>
                <w:sz w:val="18"/>
                <w:szCs w:val="18"/>
              </w:rPr>
              <w:t>0.37</w:t>
            </w:r>
          </w:p>
        </w:tc>
        <w:tc>
          <w:tcPr>
            <w:tcW w:w="415" w:type="pct"/>
            <w:tcBorders>
              <w:top w:val="single" w:sz="6" w:space="0" w:color="auto"/>
              <w:left w:val="single" w:sz="6" w:space="0" w:color="auto"/>
              <w:bottom w:val="single" w:sz="6" w:space="0" w:color="auto"/>
              <w:right w:val="single" w:sz="6" w:space="0" w:color="auto"/>
            </w:tcBorders>
          </w:tcPr>
          <w:p w:rsidR="00D272D4" w:rsidRPr="008B7E9A" w:rsidRDefault="00EC1A14" w:rsidP="005A7184">
            <w:pPr>
              <w:autoSpaceDE w:val="0"/>
              <w:autoSpaceDN w:val="0"/>
              <w:adjustRightInd w:val="0"/>
              <w:jc w:val="right"/>
              <w:rPr>
                <w:rFonts w:ascii="Calibri" w:hAnsi="Calibri" w:cs="Calibri"/>
                <w:color w:val="000000"/>
                <w:sz w:val="18"/>
                <w:szCs w:val="18"/>
              </w:rPr>
            </w:pPr>
            <w:r w:rsidRPr="00AA7D1F">
              <w:rPr>
                <w:rFonts w:ascii="Calibri" w:hAnsi="Calibri" w:cs="Calibri"/>
                <w:color w:val="000000"/>
                <w:sz w:val="18"/>
                <w:szCs w:val="18"/>
              </w:rPr>
              <w:t>(</w:t>
            </w:r>
            <w:r w:rsidR="00D272D4" w:rsidRPr="005E69C8">
              <w:rPr>
                <w:rFonts w:ascii="Calibri" w:hAnsi="Calibri" w:cs="Calibri"/>
                <w:color w:val="000000"/>
                <w:sz w:val="18"/>
                <w:szCs w:val="18"/>
              </w:rPr>
              <w:t>0.00</w:t>
            </w:r>
            <w:r w:rsidRPr="00850A96">
              <w:rPr>
                <w:rFonts w:ascii="Calibri" w:hAnsi="Calibri" w:cs="Calibri"/>
                <w:color w:val="000000"/>
                <w:sz w:val="18"/>
                <w:szCs w:val="18"/>
              </w:rPr>
              <w:t>)</w:t>
            </w:r>
          </w:p>
        </w:tc>
        <w:tc>
          <w:tcPr>
            <w:tcW w:w="759" w:type="pct"/>
            <w:tcBorders>
              <w:top w:val="single" w:sz="6" w:space="0" w:color="auto"/>
              <w:left w:val="single" w:sz="6" w:space="0" w:color="auto"/>
              <w:bottom w:val="single" w:sz="6" w:space="0" w:color="auto"/>
              <w:right w:val="single" w:sz="6" w:space="0" w:color="auto"/>
            </w:tcBorders>
          </w:tcPr>
          <w:p w:rsidR="00D272D4" w:rsidRPr="000126EE" w:rsidRDefault="00D272D4" w:rsidP="005A7184">
            <w:pPr>
              <w:autoSpaceDE w:val="0"/>
              <w:autoSpaceDN w:val="0"/>
              <w:adjustRightInd w:val="0"/>
              <w:jc w:val="right"/>
              <w:rPr>
                <w:rFonts w:ascii="Calibri" w:hAnsi="Calibri" w:cs="Calibri"/>
                <w:color w:val="000000"/>
                <w:sz w:val="18"/>
                <w:szCs w:val="18"/>
              </w:rPr>
            </w:pPr>
            <w:r w:rsidRPr="000126EE">
              <w:rPr>
                <w:rFonts w:ascii="Calibri" w:hAnsi="Calibri" w:cs="Calibri"/>
                <w:color w:val="000000"/>
                <w:sz w:val="18"/>
                <w:szCs w:val="18"/>
              </w:rPr>
              <w:t>25.3%</w:t>
            </w:r>
          </w:p>
        </w:tc>
        <w:tc>
          <w:tcPr>
            <w:tcW w:w="449" w:type="pct"/>
            <w:tcBorders>
              <w:top w:val="single" w:sz="6" w:space="0" w:color="auto"/>
              <w:left w:val="single" w:sz="6" w:space="0" w:color="auto"/>
              <w:bottom w:val="single" w:sz="6" w:space="0" w:color="auto"/>
              <w:right w:val="single" w:sz="6" w:space="0" w:color="auto"/>
            </w:tcBorders>
          </w:tcPr>
          <w:p w:rsidR="00D272D4" w:rsidRPr="002C744B" w:rsidRDefault="00EC1A14" w:rsidP="005A7184">
            <w:pPr>
              <w:autoSpaceDE w:val="0"/>
              <w:autoSpaceDN w:val="0"/>
              <w:adjustRightInd w:val="0"/>
              <w:jc w:val="right"/>
              <w:rPr>
                <w:rFonts w:ascii="Calibri" w:hAnsi="Calibri" w:cs="Calibri"/>
                <w:color w:val="000000"/>
                <w:sz w:val="18"/>
                <w:szCs w:val="18"/>
              </w:rPr>
            </w:pPr>
            <w:r w:rsidRPr="00B71D27">
              <w:rPr>
                <w:rFonts w:ascii="Calibri" w:hAnsi="Calibri" w:cs="Calibri"/>
                <w:color w:val="000000"/>
                <w:sz w:val="18"/>
                <w:szCs w:val="18"/>
              </w:rPr>
              <w:t>(</w:t>
            </w:r>
            <w:r w:rsidR="00D272D4" w:rsidRPr="00595792">
              <w:rPr>
                <w:rFonts w:ascii="Calibri" w:hAnsi="Calibri" w:cs="Calibri"/>
                <w:color w:val="000000"/>
                <w:sz w:val="18"/>
                <w:szCs w:val="18"/>
              </w:rPr>
              <w:t>0.1</w:t>
            </w:r>
            <w:r w:rsidR="00BF5F72" w:rsidRPr="00602E30">
              <w:rPr>
                <w:rFonts w:ascii="Calibri" w:hAnsi="Calibri" w:cs="Calibri"/>
                <w:color w:val="000000"/>
                <w:sz w:val="18"/>
                <w:szCs w:val="18"/>
              </w:rPr>
              <w:t>%</w:t>
            </w:r>
            <w:r w:rsidRPr="002A69B7">
              <w:rPr>
                <w:rFonts w:ascii="Calibri" w:hAnsi="Calibri" w:cs="Calibri"/>
                <w:color w:val="000000"/>
                <w:sz w:val="18"/>
                <w:szCs w:val="18"/>
              </w:rPr>
              <w:t>)</w:t>
            </w:r>
          </w:p>
        </w:tc>
      </w:tr>
      <w:tr w:rsidR="00D272D4" w:rsidRPr="000A3C73" w:rsidTr="004C01E0">
        <w:trPr>
          <w:trHeight w:val="174"/>
        </w:trPr>
        <w:tc>
          <w:tcPr>
            <w:tcW w:w="1270" w:type="pct"/>
            <w:tcBorders>
              <w:top w:val="single" w:sz="6" w:space="0" w:color="auto"/>
              <w:left w:val="single" w:sz="6" w:space="0" w:color="auto"/>
              <w:bottom w:val="single" w:sz="6" w:space="0" w:color="auto"/>
              <w:right w:val="single" w:sz="6" w:space="0" w:color="auto"/>
            </w:tcBorders>
          </w:tcPr>
          <w:p w:rsidR="00D272D4" w:rsidRPr="00FC657B" w:rsidRDefault="00D272D4" w:rsidP="005A7184">
            <w:pPr>
              <w:autoSpaceDE w:val="0"/>
              <w:autoSpaceDN w:val="0"/>
              <w:adjustRightInd w:val="0"/>
              <w:rPr>
                <w:rFonts w:ascii="Calibri" w:hAnsi="Calibri" w:cs="Calibri"/>
                <w:color w:val="000000"/>
                <w:sz w:val="18"/>
                <w:szCs w:val="18"/>
              </w:rPr>
            </w:pPr>
            <w:r w:rsidRPr="000A3C73">
              <w:rPr>
                <w:rFonts w:ascii="Calibri" w:hAnsi="Calibri" w:cs="Calibri"/>
                <w:b/>
                <w:color w:val="000000"/>
                <w:sz w:val="18"/>
                <w:szCs w:val="18"/>
              </w:rPr>
              <w:t>Outcome 2:</w:t>
            </w:r>
            <w:r w:rsidRPr="0089284E">
              <w:rPr>
                <w:rFonts w:ascii="Calibri" w:hAnsi="Calibri" w:cs="Calibri"/>
                <w:color w:val="000000"/>
                <w:sz w:val="18"/>
                <w:szCs w:val="18"/>
              </w:rPr>
              <w:t>Productive Sector Improvement</w:t>
            </w:r>
          </w:p>
        </w:tc>
        <w:tc>
          <w:tcPr>
            <w:tcW w:w="656" w:type="pct"/>
            <w:tcBorders>
              <w:top w:val="single" w:sz="6" w:space="0" w:color="auto"/>
              <w:left w:val="single" w:sz="6" w:space="0" w:color="auto"/>
              <w:bottom w:val="single" w:sz="6" w:space="0" w:color="auto"/>
              <w:right w:val="single" w:sz="6" w:space="0" w:color="auto"/>
            </w:tcBorders>
          </w:tcPr>
          <w:p w:rsidR="00D272D4" w:rsidRPr="00D77DF1" w:rsidRDefault="00D272D4" w:rsidP="005A7184">
            <w:pPr>
              <w:autoSpaceDE w:val="0"/>
              <w:autoSpaceDN w:val="0"/>
              <w:adjustRightInd w:val="0"/>
              <w:jc w:val="right"/>
              <w:rPr>
                <w:rFonts w:ascii="Calibri" w:hAnsi="Calibri" w:cs="Calibri"/>
                <w:color w:val="000000"/>
                <w:sz w:val="18"/>
                <w:szCs w:val="18"/>
              </w:rPr>
            </w:pPr>
            <w:r w:rsidRPr="00FC657B">
              <w:rPr>
                <w:rFonts w:ascii="Calibri" w:hAnsi="Calibri" w:cs="Calibri"/>
                <w:color w:val="000000"/>
                <w:sz w:val="18"/>
                <w:szCs w:val="18"/>
              </w:rPr>
              <w:t>0.34</w:t>
            </w:r>
          </w:p>
        </w:tc>
        <w:tc>
          <w:tcPr>
            <w:tcW w:w="829" w:type="pct"/>
            <w:tcBorders>
              <w:top w:val="single" w:sz="6" w:space="0" w:color="auto"/>
              <w:left w:val="single" w:sz="6" w:space="0" w:color="auto"/>
              <w:bottom w:val="single" w:sz="6" w:space="0" w:color="auto"/>
              <w:right w:val="single" w:sz="6" w:space="0" w:color="auto"/>
            </w:tcBorders>
          </w:tcPr>
          <w:p w:rsidR="00D272D4" w:rsidRPr="00CD42DE" w:rsidRDefault="00D272D4" w:rsidP="000C5B5A">
            <w:pPr>
              <w:tabs>
                <w:tab w:val="center" w:pos="784"/>
                <w:tab w:val="right" w:pos="1569"/>
              </w:tabs>
              <w:autoSpaceDE w:val="0"/>
              <w:autoSpaceDN w:val="0"/>
              <w:adjustRightInd w:val="0"/>
              <w:jc w:val="right"/>
              <w:rPr>
                <w:rFonts w:ascii="Calibri" w:hAnsi="Calibri" w:cs="Calibri"/>
                <w:color w:val="000000"/>
                <w:sz w:val="18"/>
                <w:szCs w:val="18"/>
              </w:rPr>
            </w:pPr>
            <w:r w:rsidRPr="00CD42DE">
              <w:rPr>
                <w:rFonts w:ascii="Calibri" w:hAnsi="Calibri" w:cs="Calibri"/>
                <w:color w:val="000000"/>
                <w:sz w:val="18"/>
                <w:szCs w:val="18"/>
              </w:rPr>
              <w:t>23.0%</w:t>
            </w:r>
          </w:p>
        </w:tc>
        <w:tc>
          <w:tcPr>
            <w:tcW w:w="622" w:type="pct"/>
            <w:tcBorders>
              <w:top w:val="single" w:sz="6" w:space="0" w:color="auto"/>
              <w:left w:val="single" w:sz="6" w:space="0" w:color="auto"/>
              <w:bottom w:val="single" w:sz="6" w:space="0" w:color="auto"/>
              <w:right w:val="single" w:sz="6" w:space="0" w:color="auto"/>
            </w:tcBorders>
          </w:tcPr>
          <w:p w:rsidR="00D272D4" w:rsidRPr="00CD42DE" w:rsidRDefault="00D272D4" w:rsidP="005A7184">
            <w:pPr>
              <w:autoSpaceDE w:val="0"/>
              <w:autoSpaceDN w:val="0"/>
              <w:adjustRightInd w:val="0"/>
              <w:jc w:val="right"/>
              <w:rPr>
                <w:rFonts w:ascii="Calibri" w:hAnsi="Calibri" w:cs="Calibri"/>
                <w:color w:val="000000"/>
                <w:sz w:val="18"/>
                <w:szCs w:val="18"/>
              </w:rPr>
            </w:pPr>
            <w:r w:rsidRPr="00CD42DE">
              <w:rPr>
                <w:rFonts w:ascii="Calibri" w:hAnsi="Calibri" w:cs="Calibri"/>
                <w:color w:val="000000"/>
                <w:sz w:val="18"/>
                <w:szCs w:val="18"/>
              </w:rPr>
              <w:t>0.34</w:t>
            </w:r>
          </w:p>
        </w:tc>
        <w:tc>
          <w:tcPr>
            <w:tcW w:w="415" w:type="pct"/>
            <w:tcBorders>
              <w:top w:val="single" w:sz="6" w:space="0" w:color="auto"/>
              <w:left w:val="single" w:sz="6" w:space="0" w:color="auto"/>
              <w:bottom w:val="single" w:sz="6" w:space="0" w:color="auto"/>
              <w:right w:val="single" w:sz="6" w:space="0" w:color="auto"/>
            </w:tcBorders>
          </w:tcPr>
          <w:p w:rsidR="00D272D4" w:rsidRPr="008B7E9A" w:rsidRDefault="00EC1A14" w:rsidP="005A7184">
            <w:pPr>
              <w:autoSpaceDE w:val="0"/>
              <w:autoSpaceDN w:val="0"/>
              <w:adjustRightInd w:val="0"/>
              <w:jc w:val="right"/>
              <w:rPr>
                <w:rFonts w:ascii="Calibri" w:hAnsi="Calibri" w:cs="Calibri"/>
                <w:color w:val="000000"/>
                <w:sz w:val="18"/>
                <w:szCs w:val="18"/>
              </w:rPr>
            </w:pPr>
            <w:r w:rsidRPr="00AA7D1F">
              <w:rPr>
                <w:rFonts w:ascii="Calibri" w:hAnsi="Calibri" w:cs="Calibri"/>
                <w:color w:val="000000"/>
                <w:sz w:val="18"/>
                <w:szCs w:val="18"/>
              </w:rPr>
              <w:t>(</w:t>
            </w:r>
            <w:r w:rsidR="00D272D4" w:rsidRPr="005E69C8">
              <w:rPr>
                <w:rFonts w:ascii="Calibri" w:hAnsi="Calibri" w:cs="Calibri"/>
                <w:color w:val="000000"/>
                <w:sz w:val="18"/>
                <w:szCs w:val="18"/>
              </w:rPr>
              <w:t>0.00</w:t>
            </w:r>
            <w:r w:rsidRPr="00850A96">
              <w:rPr>
                <w:rFonts w:ascii="Calibri" w:hAnsi="Calibri" w:cs="Calibri"/>
                <w:color w:val="000000"/>
                <w:sz w:val="18"/>
                <w:szCs w:val="18"/>
              </w:rPr>
              <w:t>)</w:t>
            </w:r>
          </w:p>
        </w:tc>
        <w:tc>
          <w:tcPr>
            <w:tcW w:w="759" w:type="pct"/>
            <w:tcBorders>
              <w:top w:val="single" w:sz="6" w:space="0" w:color="auto"/>
              <w:left w:val="single" w:sz="6" w:space="0" w:color="auto"/>
              <w:bottom w:val="single" w:sz="6" w:space="0" w:color="auto"/>
              <w:right w:val="single" w:sz="6" w:space="0" w:color="auto"/>
            </w:tcBorders>
          </w:tcPr>
          <w:p w:rsidR="00D272D4" w:rsidRPr="000126EE" w:rsidRDefault="00D272D4" w:rsidP="005A7184">
            <w:pPr>
              <w:autoSpaceDE w:val="0"/>
              <w:autoSpaceDN w:val="0"/>
              <w:adjustRightInd w:val="0"/>
              <w:jc w:val="right"/>
              <w:rPr>
                <w:rFonts w:ascii="Calibri" w:hAnsi="Calibri" w:cs="Calibri"/>
                <w:color w:val="000000"/>
                <w:sz w:val="18"/>
                <w:szCs w:val="18"/>
              </w:rPr>
            </w:pPr>
            <w:r w:rsidRPr="000126EE">
              <w:rPr>
                <w:rFonts w:ascii="Calibri" w:hAnsi="Calibri" w:cs="Calibri"/>
                <w:color w:val="000000"/>
                <w:sz w:val="18"/>
                <w:szCs w:val="18"/>
              </w:rPr>
              <w:t>23.1%</w:t>
            </w:r>
          </w:p>
        </w:tc>
        <w:tc>
          <w:tcPr>
            <w:tcW w:w="449" w:type="pct"/>
            <w:tcBorders>
              <w:top w:val="single" w:sz="6" w:space="0" w:color="auto"/>
              <w:left w:val="single" w:sz="6" w:space="0" w:color="auto"/>
              <w:bottom w:val="single" w:sz="6" w:space="0" w:color="auto"/>
              <w:right w:val="single" w:sz="6" w:space="0" w:color="auto"/>
            </w:tcBorders>
          </w:tcPr>
          <w:p w:rsidR="00D272D4" w:rsidRPr="00602E30" w:rsidRDefault="00D272D4" w:rsidP="005A7184">
            <w:pPr>
              <w:autoSpaceDE w:val="0"/>
              <w:autoSpaceDN w:val="0"/>
              <w:adjustRightInd w:val="0"/>
              <w:jc w:val="right"/>
              <w:rPr>
                <w:rFonts w:ascii="Calibri" w:hAnsi="Calibri" w:cs="Calibri"/>
                <w:color w:val="000000"/>
                <w:sz w:val="18"/>
                <w:szCs w:val="18"/>
              </w:rPr>
            </w:pPr>
            <w:r w:rsidRPr="00B71D27">
              <w:rPr>
                <w:rFonts w:ascii="Calibri" w:hAnsi="Calibri" w:cs="Calibri"/>
                <w:color w:val="000000"/>
                <w:sz w:val="18"/>
                <w:szCs w:val="18"/>
              </w:rPr>
              <w:t>(0.1)</w:t>
            </w:r>
            <w:r w:rsidR="00BF5F72" w:rsidRPr="00595792">
              <w:rPr>
                <w:rFonts w:ascii="Calibri" w:hAnsi="Calibri" w:cs="Calibri"/>
                <w:color w:val="000000"/>
                <w:sz w:val="18"/>
                <w:szCs w:val="18"/>
              </w:rPr>
              <w:t>%</w:t>
            </w:r>
          </w:p>
        </w:tc>
      </w:tr>
      <w:tr w:rsidR="00D272D4" w:rsidRPr="000A3C73" w:rsidTr="004C01E0">
        <w:trPr>
          <w:trHeight w:val="69"/>
        </w:trPr>
        <w:tc>
          <w:tcPr>
            <w:tcW w:w="1270" w:type="pct"/>
            <w:tcBorders>
              <w:top w:val="single" w:sz="6" w:space="0" w:color="auto"/>
              <w:left w:val="single" w:sz="6" w:space="0" w:color="auto"/>
              <w:bottom w:val="single" w:sz="6" w:space="0" w:color="auto"/>
              <w:right w:val="single" w:sz="6" w:space="0" w:color="auto"/>
            </w:tcBorders>
          </w:tcPr>
          <w:p w:rsidR="00D272D4" w:rsidRPr="00FC657B" w:rsidRDefault="00D272D4" w:rsidP="005A7184">
            <w:pPr>
              <w:autoSpaceDE w:val="0"/>
              <w:autoSpaceDN w:val="0"/>
              <w:adjustRightInd w:val="0"/>
              <w:rPr>
                <w:rFonts w:ascii="Calibri" w:hAnsi="Calibri" w:cs="Calibri"/>
                <w:color w:val="000000"/>
                <w:sz w:val="18"/>
                <w:szCs w:val="18"/>
              </w:rPr>
            </w:pPr>
            <w:r w:rsidRPr="000A3C73">
              <w:rPr>
                <w:rFonts w:ascii="Calibri" w:hAnsi="Calibri" w:cs="Calibri"/>
                <w:b/>
                <w:color w:val="000000"/>
                <w:sz w:val="18"/>
                <w:szCs w:val="18"/>
              </w:rPr>
              <w:t>Outcome 3:</w:t>
            </w:r>
            <w:r w:rsidRPr="0089284E">
              <w:rPr>
                <w:rFonts w:ascii="Calibri" w:hAnsi="Calibri" w:cs="Calibri"/>
                <w:color w:val="000000"/>
                <w:sz w:val="18"/>
                <w:szCs w:val="18"/>
              </w:rPr>
              <w:t>Protected Areas Strengthening / Biodiversity Conservation</w:t>
            </w:r>
          </w:p>
        </w:tc>
        <w:tc>
          <w:tcPr>
            <w:tcW w:w="656" w:type="pct"/>
            <w:tcBorders>
              <w:top w:val="single" w:sz="6" w:space="0" w:color="auto"/>
              <w:left w:val="single" w:sz="6" w:space="0" w:color="auto"/>
              <w:bottom w:val="single" w:sz="6" w:space="0" w:color="auto"/>
              <w:right w:val="single" w:sz="6" w:space="0" w:color="auto"/>
            </w:tcBorders>
          </w:tcPr>
          <w:p w:rsidR="00D272D4" w:rsidRPr="00D77DF1" w:rsidRDefault="00D272D4" w:rsidP="005A7184">
            <w:pPr>
              <w:autoSpaceDE w:val="0"/>
              <w:autoSpaceDN w:val="0"/>
              <w:adjustRightInd w:val="0"/>
              <w:jc w:val="right"/>
              <w:rPr>
                <w:rFonts w:ascii="Calibri" w:hAnsi="Calibri" w:cs="Calibri"/>
                <w:color w:val="000000"/>
                <w:sz w:val="18"/>
                <w:szCs w:val="18"/>
              </w:rPr>
            </w:pPr>
            <w:r w:rsidRPr="00FC657B">
              <w:rPr>
                <w:rFonts w:ascii="Calibri" w:hAnsi="Calibri" w:cs="Calibri"/>
                <w:color w:val="000000"/>
                <w:sz w:val="18"/>
                <w:szCs w:val="18"/>
              </w:rPr>
              <w:t>0.25</w:t>
            </w:r>
          </w:p>
        </w:tc>
        <w:tc>
          <w:tcPr>
            <w:tcW w:w="829" w:type="pct"/>
            <w:tcBorders>
              <w:top w:val="single" w:sz="6" w:space="0" w:color="auto"/>
              <w:left w:val="single" w:sz="6" w:space="0" w:color="auto"/>
              <w:bottom w:val="single" w:sz="6" w:space="0" w:color="auto"/>
              <w:right w:val="single" w:sz="6" w:space="0" w:color="auto"/>
            </w:tcBorders>
          </w:tcPr>
          <w:p w:rsidR="00D272D4" w:rsidRPr="00CD42DE" w:rsidRDefault="00D272D4" w:rsidP="000C5B5A">
            <w:pPr>
              <w:tabs>
                <w:tab w:val="center" w:pos="784"/>
                <w:tab w:val="right" w:pos="1569"/>
              </w:tabs>
              <w:autoSpaceDE w:val="0"/>
              <w:autoSpaceDN w:val="0"/>
              <w:adjustRightInd w:val="0"/>
              <w:jc w:val="right"/>
              <w:rPr>
                <w:rFonts w:ascii="Calibri" w:hAnsi="Calibri" w:cs="Calibri"/>
                <w:color w:val="000000"/>
                <w:sz w:val="18"/>
                <w:szCs w:val="18"/>
              </w:rPr>
            </w:pPr>
            <w:r w:rsidRPr="00CD42DE">
              <w:rPr>
                <w:rFonts w:ascii="Calibri" w:hAnsi="Calibri" w:cs="Calibri"/>
                <w:color w:val="000000"/>
                <w:sz w:val="18"/>
                <w:szCs w:val="18"/>
              </w:rPr>
              <w:t>16.7%</w:t>
            </w:r>
          </w:p>
        </w:tc>
        <w:tc>
          <w:tcPr>
            <w:tcW w:w="622" w:type="pct"/>
            <w:tcBorders>
              <w:top w:val="single" w:sz="6" w:space="0" w:color="auto"/>
              <w:left w:val="single" w:sz="6" w:space="0" w:color="auto"/>
              <w:bottom w:val="single" w:sz="6" w:space="0" w:color="auto"/>
              <w:right w:val="single" w:sz="6" w:space="0" w:color="auto"/>
            </w:tcBorders>
          </w:tcPr>
          <w:p w:rsidR="00D272D4" w:rsidRPr="00CD42DE" w:rsidRDefault="00D272D4" w:rsidP="005A7184">
            <w:pPr>
              <w:autoSpaceDE w:val="0"/>
              <w:autoSpaceDN w:val="0"/>
              <w:adjustRightInd w:val="0"/>
              <w:jc w:val="right"/>
              <w:rPr>
                <w:rFonts w:ascii="Calibri" w:hAnsi="Calibri" w:cs="Calibri"/>
                <w:color w:val="000000"/>
                <w:sz w:val="18"/>
                <w:szCs w:val="18"/>
              </w:rPr>
            </w:pPr>
            <w:r w:rsidRPr="00CD42DE">
              <w:rPr>
                <w:rFonts w:ascii="Calibri" w:hAnsi="Calibri" w:cs="Calibri"/>
                <w:color w:val="000000"/>
                <w:sz w:val="18"/>
                <w:szCs w:val="18"/>
              </w:rPr>
              <w:t>0.22</w:t>
            </w:r>
          </w:p>
        </w:tc>
        <w:tc>
          <w:tcPr>
            <w:tcW w:w="415" w:type="pct"/>
            <w:tcBorders>
              <w:top w:val="single" w:sz="6" w:space="0" w:color="auto"/>
              <w:left w:val="single" w:sz="6" w:space="0" w:color="auto"/>
              <w:bottom w:val="single" w:sz="6" w:space="0" w:color="auto"/>
              <w:right w:val="single" w:sz="6" w:space="0" w:color="auto"/>
            </w:tcBorders>
          </w:tcPr>
          <w:p w:rsidR="00D272D4" w:rsidRPr="008B7E9A" w:rsidRDefault="00EC1A14" w:rsidP="005A7184">
            <w:pPr>
              <w:autoSpaceDE w:val="0"/>
              <w:autoSpaceDN w:val="0"/>
              <w:adjustRightInd w:val="0"/>
              <w:jc w:val="right"/>
              <w:rPr>
                <w:rFonts w:ascii="Calibri" w:hAnsi="Calibri" w:cs="Calibri"/>
                <w:color w:val="000000"/>
                <w:sz w:val="18"/>
                <w:szCs w:val="18"/>
              </w:rPr>
            </w:pPr>
            <w:r w:rsidRPr="00AA7D1F">
              <w:rPr>
                <w:rFonts w:ascii="Calibri" w:hAnsi="Calibri" w:cs="Calibri"/>
                <w:color w:val="000000"/>
                <w:sz w:val="18"/>
                <w:szCs w:val="18"/>
              </w:rPr>
              <w:t>(</w:t>
            </w:r>
            <w:r w:rsidR="00D272D4" w:rsidRPr="005E69C8">
              <w:rPr>
                <w:rFonts w:ascii="Calibri" w:hAnsi="Calibri" w:cs="Calibri"/>
                <w:color w:val="000000"/>
                <w:sz w:val="18"/>
                <w:szCs w:val="18"/>
              </w:rPr>
              <w:t>0.02</w:t>
            </w:r>
            <w:r w:rsidRPr="00850A96">
              <w:rPr>
                <w:rFonts w:ascii="Calibri" w:hAnsi="Calibri" w:cs="Calibri"/>
                <w:color w:val="000000"/>
                <w:sz w:val="18"/>
                <w:szCs w:val="18"/>
              </w:rPr>
              <w:t>)</w:t>
            </w:r>
          </w:p>
        </w:tc>
        <w:tc>
          <w:tcPr>
            <w:tcW w:w="759" w:type="pct"/>
            <w:tcBorders>
              <w:top w:val="single" w:sz="6" w:space="0" w:color="auto"/>
              <w:left w:val="single" w:sz="6" w:space="0" w:color="auto"/>
              <w:bottom w:val="single" w:sz="6" w:space="0" w:color="auto"/>
              <w:right w:val="single" w:sz="6" w:space="0" w:color="auto"/>
            </w:tcBorders>
          </w:tcPr>
          <w:p w:rsidR="00D272D4" w:rsidRPr="000126EE" w:rsidRDefault="00D272D4" w:rsidP="005A7184">
            <w:pPr>
              <w:autoSpaceDE w:val="0"/>
              <w:autoSpaceDN w:val="0"/>
              <w:adjustRightInd w:val="0"/>
              <w:jc w:val="right"/>
              <w:rPr>
                <w:rFonts w:ascii="Calibri" w:hAnsi="Calibri" w:cs="Calibri"/>
                <w:color w:val="000000"/>
                <w:sz w:val="18"/>
                <w:szCs w:val="18"/>
              </w:rPr>
            </w:pPr>
            <w:r w:rsidRPr="000126EE">
              <w:rPr>
                <w:rFonts w:ascii="Calibri" w:hAnsi="Calibri" w:cs="Calibri"/>
                <w:color w:val="000000"/>
                <w:sz w:val="18"/>
                <w:szCs w:val="18"/>
              </w:rPr>
              <w:t>15.3%</w:t>
            </w:r>
          </w:p>
        </w:tc>
        <w:tc>
          <w:tcPr>
            <w:tcW w:w="449" w:type="pct"/>
            <w:tcBorders>
              <w:top w:val="single" w:sz="6" w:space="0" w:color="auto"/>
              <w:left w:val="single" w:sz="6" w:space="0" w:color="auto"/>
              <w:bottom w:val="single" w:sz="6" w:space="0" w:color="auto"/>
              <w:right w:val="single" w:sz="6" w:space="0" w:color="auto"/>
            </w:tcBorders>
          </w:tcPr>
          <w:p w:rsidR="00D272D4" w:rsidRPr="002C744B" w:rsidRDefault="00EC1A14" w:rsidP="005A7184">
            <w:pPr>
              <w:autoSpaceDE w:val="0"/>
              <w:autoSpaceDN w:val="0"/>
              <w:adjustRightInd w:val="0"/>
              <w:jc w:val="right"/>
              <w:rPr>
                <w:rFonts w:ascii="Calibri" w:hAnsi="Calibri" w:cs="Calibri"/>
                <w:color w:val="000000"/>
                <w:sz w:val="18"/>
                <w:szCs w:val="18"/>
              </w:rPr>
            </w:pPr>
            <w:r w:rsidRPr="00B71D27">
              <w:rPr>
                <w:rFonts w:ascii="Calibri" w:hAnsi="Calibri" w:cs="Calibri"/>
                <w:color w:val="000000"/>
                <w:sz w:val="18"/>
                <w:szCs w:val="18"/>
              </w:rPr>
              <w:t>(</w:t>
            </w:r>
            <w:r w:rsidR="00D272D4" w:rsidRPr="00595792">
              <w:rPr>
                <w:rFonts w:ascii="Calibri" w:hAnsi="Calibri" w:cs="Calibri"/>
                <w:color w:val="000000"/>
                <w:sz w:val="18"/>
                <w:szCs w:val="18"/>
              </w:rPr>
              <w:t>1.4</w:t>
            </w:r>
            <w:r w:rsidR="00BF5F72" w:rsidRPr="00602E30">
              <w:rPr>
                <w:rFonts w:ascii="Calibri" w:hAnsi="Calibri" w:cs="Calibri"/>
                <w:color w:val="000000"/>
                <w:sz w:val="18"/>
                <w:szCs w:val="18"/>
              </w:rPr>
              <w:t>%</w:t>
            </w:r>
            <w:r w:rsidRPr="002A69B7">
              <w:rPr>
                <w:rFonts w:ascii="Calibri" w:hAnsi="Calibri" w:cs="Calibri"/>
                <w:color w:val="000000"/>
                <w:sz w:val="18"/>
                <w:szCs w:val="18"/>
              </w:rPr>
              <w:t>)</w:t>
            </w:r>
          </w:p>
        </w:tc>
      </w:tr>
      <w:tr w:rsidR="00D272D4" w:rsidRPr="000A3C73" w:rsidTr="004C01E0">
        <w:trPr>
          <w:trHeight w:val="69"/>
        </w:trPr>
        <w:tc>
          <w:tcPr>
            <w:tcW w:w="1270" w:type="pct"/>
            <w:tcBorders>
              <w:top w:val="single" w:sz="6" w:space="0" w:color="auto"/>
              <w:left w:val="single" w:sz="6" w:space="0" w:color="auto"/>
              <w:bottom w:val="single" w:sz="6" w:space="0" w:color="auto"/>
              <w:right w:val="single" w:sz="6" w:space="0" w:color="auto"/>
            </w:tcBorders>
          </w:tcPr>
          <w:p w:rsidR="00D272D4" w:rsidRPr="00FC657B" w:rsidRDefault="00D272D4" w:rsidP="005A7184">
            <w:pPr>
              <w:autoSpaceDE w:val="0"/>
              <w:autoSpaceDN w:val="0"/>
              <w:adjustRightInd w:val="0"/>
              <w:rPr>
                <w:rFonts w:ascii="Calibri" w:hAnsi="Calibri" w:cs="Calibri"/>
                <w:color w:val="000000"/>
                <w:sz w:val="18"/>
                <w:szCs w:val="18"/>
              </w:rPr>
            </w:pPr>
            <w:r w:rsidRPr="000A3C73">
              <w:rPr>
                <w:rFonts w:ascii="Calibri" w:hAnsi="Calibri" w:cs="Calibri"/>
                <w:b/>
                <w:color w:val="000000"/>
                <w:sz w:val="18"/>
                <w:szCs w:val="18"/>
              </w:rPr>
              <w:t>Outcome 4:</w:t>
            </w:r>
            <w:r w:rsidRPr="0089284E">
              <w:rPr>
                <w:rFonts w:ascii="Calibri" w:hAnsi="Calibri" w:cs="Calibri"/>
                <w:color w:val="000000"/>
                <w:sz w:val="18"/>
                <w:szCs w:val="18"/>
              </w:rPr>
              <w:t>Transboundary Cooperation</w:t>
            </w:r>
          </w:p>
        </w:tc>
        <w:tc>
          <w:tcPr>
            <w:tcW w:w="656" w:type="pct"/>
            <w:tcBorders>
              <w:top w:val="single" w:sz="6" w:space="0" w:color="auto"/>
              <w:left w:val="single" w:sz="6" w:space="0" w:color="auto"/>
              <w:bottom w:val="single" w:sz="6" w:space="0" w:color="auto"/>
              <w:right w:val="single" w:sz="6" w:space="0" w:color="auto"/>
            </w:tcBorders>
          </w:tcPr>
          <w:p w:rsidR="00D272D4" w:rsidRPr="00FC657B" w:rsidRDefault="00D272D4" w:rsidP="005A7184">
            <w:pPr>
              <w:autoSpaceDE w:val="0"/>
              <w:autoSpaceDN w:val="0"/>
              <w:adjustRightInd w:val="0"/>
              <w:jc w:val="right"/>
              <w:rPr>
                <w:rFonts w:ascii="Calibri" w:hAnsi="Calibri" w:cs="Calibri"/>
                <w:color w:val="000000"/>
                <w:sz w:val="18"/>
                <w:szCs w:val="18"/>
              </w:rPr>
            </w:pPr>
            <w:r w:rsidRPr="00FC657B">
              <w:rPr>
                <w:rFonts w:ascii="Calibri" w:hAnsi="Calibri" w:cs="Calibri"/>
                <w:color w:val="000000"/>
                <w:sz w:val="18"/>
                <w:szCs w:val="18"/>
              </w:rPr>
              <w:t>0.25</w:t>
            </w:r>
          </w:p>
        </w:tc>
        <w:tc>
          <w:tcPr>
            <w:tcW w:w="829" w:type="pct"/>
            <w:tcBorders>
              <w:top w:val="single" w:sz="6" w:space="0" w:color="auto"/>
              <w:left w:val="single" w:sz="6" w:space="0" w:color="auto"/>
              <w:bottom w:val="single" w:sz="6" w:space="0" w:color="auto"/>
              <w:right w:val="single" w:sz="6" w:space="0" w:color="auto"/>
            </w:tcBorders>
          </w:tcPr>
          <w:p w:rsidR="00D272D4" w:rsidRPr="00CD42DE" w:rsidRDefault="00D272D4" w:rsidP="000C5B5A">
            <w:pPr>
              <w:tabs>
                <w:tab w:val="center" w:pos="784"/>
                <w:tab w:val="right" w:pos="1569"/>
              </w:tabs>
              <w:autoSpaceDE w:val="0"/>
              <w:autoSpaceDN w:val="0"/>
              <w:adjustRightInd w:val="0"/>
              <w:jc w:val="right"/>
              <w:rPr>
                <w:rFonts w:ascii="Calibri" w:hAnsi="Calibri" w:cs="Calibri"/>
                <w:color w:val="000000"/>
                <w:sz w:val="18"/>
                <w:szCs w:val="18"/>
              </w:rPr>
            </w:pPr>
            <w:r w:rsidRPr="00D77DF1">
              <w:rPr>
                <w:rFonts w:ascii="Calibri" w:hAnsi="Calibri" w:cs="Calibri"/>
                <w:color w:val="000000"/>
                <w:sz w:val="18"/>
                <w:szCs w:val="18"/>
              </w:rPr>
              <w:t>16.3</w:t>
            </w:r>
            <w:r w:rsidRPr="00CD42DE">
              <w:rPr>
                <w:rFonts w:ascii="Calibri" w:hAnsi="Calibri" w:cs="Calibri"/>
                <w:color w:val="000000"/>
                <w:sz w:val="18"/>
                <w:szCs w:val="18"/>
              </w:rPr>
              <w:t>%</w:t>
            </w:r>
          </w:p>
        </w:tc>
        <w:tc>
          <w:tcPr>
            <w:tcW w:w="622" w:type="pct"/>
            <w:tcBorders>
              <w:top w:val="single" w:sz="6" w:space="0" w:color="auto"/>
              <w:left w:val="single" w:sz="6" w:space="0" w:color="auto"/>
              <w:bottom w:val="single" w:sz="6" w:space="0" w:color="auto"/>
              <w:right w:val="single" w:sz="6" w:space="0" w:color="auto"/>
            </w:tcBorders>
          </w:tcPr>
          <w:p w:rsidR="00D272D4" w:rsidRPr="00CD42DE" w:rsidRDefault="00D272D4" w:rsidP="005A7184">
            <w:pPr>
              <w:autoSpaceDE w:val="0"/>
              <w:autoSpaceDN w:val="0"/>
              <w:adjustRightInd w:val="0"/>
              <w:jc w:val="right"/>
              <w:rPr>
                <w:rFonts w:ascii="Calibri" w:hAnsi="Calibri" w:cs="Calibri"/>
                <w:color w:val="000000"/>
                <w:sz w:val="18"/>
                <w:szCs w:val="18"/>
              </w:rPr>
            </w:pPr>
            <w:r w:rsidRPr="00CD42DE">
              <w:rPr>
                <w:rFonts w:ascii="Calibri" w:hAnsi="Calibri" w:cs="Calibri"/>
                <w:color w:val="000000"/>
                <w:sz w:val="18"/>
                <w:szCs w:val="18"/>
              </w:rPr>
              <w:t>0.23</w:t>
            </w:r>
          </w:p>
        </w:tc>
        <w:tc>
          <w:tcPr>
            <w:tcW w:w="415" w:type="pct"/>
            <w:tcBorders>
              <w:top w:val="single" w:sz="6" w:space="0" w:color="auto"/>
              <w:left w:val="single" w:sz="6" w:space="0" w:color="auto"/>
              <w:bottom w:val="single" w:sz="6" w:space="0" w:color="auto"/>
              <w:right w:val="single" w:sz="6" w:space="0" w:color="auto"/>
            </w:tcBorders>
          </w:tcPr>
          <w:p w:rsidR="00D272D4" w:rsidRPr="008B7E9A" w:rsidRDefault="00EC1A14" w:rsidP="005A7184">
            <w:pPr>
              <w:autoSpaceDE w:val="0"/>
              <w:autoSpaceDN w:val="0"/>
              <w:adjustRightInd w:val="0"/>
              <w:jc w:val="right"/>
              <w:rPr>
                <w:rFonts w:ascii="Calibri" w:hAnsi="Calibri" w:cs="Calibri"/>
                <w:color w:val="000000"/>
                <w:sz w:val="18"/>
                <w:szCs w:val="18"/>
              </w:rPr>
            </w:pPr>
            <w:r w:rsidRPr="00AA7D1F">
              <w:rPr>
                <w:rFonts w:ascii="Calibri" w:hAnsi="Calibri" w:cs="Calibri"/>
                <w:color w:val="000000"/>
                <w:sz w:val="18"/>
                <w:szCs w:val="18"/>
              </w:rPr>
              <w:t>(</w:t>
            </w:r>
            <w:r w:rsidR="00D272D4" w:rsidRPr="005E69C8">
              <w:rPr>
                <w:rFonts w:ascii="Calibri" w:hAnsi="Calibri" w:cs="Calibri"/>
                <w:color w:val="000000"/>
                <w:sz w:val="18"/>
                <w:szCs w:val="18"/>
              </w:rPr>
              <w:t>0.01</w:t>
            </w:r>
            <w:r w:rsidRPr="00850A96">
              <w:rPr>
                <w:rFonts w:ascii="Calibri" w:hAnsi="Calibri" w:cs="Calibri"/>
                <w:color w:val="000000"/>
                <w:sz w:val="18"/>
                <w:szCs w:val="18"/>
              </w:rPr>
              <w:t>)</w:t>
            </w:r>
          </w:p>
        </w:tc>
        <w:tc>
          <w:tcPr>
            <w:tcW w:w="759" w:type="pct"/>
            <w:tcBorders>
              <w:top w:val="single" w:sz="6" w:space="0" w:color="auto"/>
              <w:left w:val="single" w:sz="6" w:space="0" w:color="auto"/>
              <w:bottom w:val="single" w:sz="6" w:space="0" w:color="auto"/>
              <w:right w:val="single" w:sz="6" w:space="0" w:color="auto"/>
            </w:tcBorders>
          </w:tcPr>
          <w:p w:rsidR="00D272D4" w:rsidRPr="000126EE" w:rsidRDefault="00D272D4" w:rsidP="005A7184">
            <w:pPr>
              <w:autoSpaceDE w:val="0"/>
              <w:autoSpaceDN w:val="0"/>
              <w:adjustRightInd w:val="0"/>
              <w:jc w:val="right"/>
              <w:rPr>
                <w:rFonts w:ascii="Calibri" w:hAnsi="Calibri" w:cs="Calibri"/>
                <w:color w:val="000000"/>
                <w:sz w:val="18"/>
                <w:szCs w:val="18"/>
              </w:rPr>
            </w:pPr>
            <w:r w:rsidRPr="000126EE">
              <w:rPr>
                <w:rFonts w:ascii="Calibri" w:hAnsi="Calibri" w:cs="Calibri"/>
                <w:color w:val="000000"/>
                <w:sz w:val="18"/>
                <w:szCs w:val="18"/>
              </w:rPr>
              <w:t>15.6%</w:t>
            </w:r>
          </w:p>
        </w:tc>
        <w:tc>
          <w:tcPr>
            <w:tcW w:w="449" w:type="pct"/>
            <w:tcBorders>
              <w:top w:val="single" w:sz="6" w:space="0" w:color="auto"/>
              <w:left w:val="single" w:sz="6" w:space="0" w:color="auto"/>
              <w:bottom w:val="single" w:sz="6" w:space="0" w:color="auto"/>
              <w:right w:val="single" w:sz="6" w:space="0" w:color="auto"/>
            </w:tcBorders>
          </w:tcPr>
          <w:p w:rsidR="00D272D4" w:rsidRPr="002C744B" w:rsidRDefault="00EC1A14" w:rsidP="005A7184">
            <w:pPr>
              <w:autoSpaceDE w:val="0"/>
              <w:autoSpaceDN w:val="0"/>
              <w:adjustRightInd w:val="0"/>
              <w:jc w:val="right"/>
              <w:rPr>
                <w:rFonts w:ascii="Calibri" w:hAnsi="Calibri" w:cs="Calibri"/>
                <w:color w:val="000000"/>
                <w:sz w:val="18"/>
                <w:szCs w:val="18"/>
              </w:rPr>
            </w:pPr>
            <w:r w:rsidRPr="00B71D27">
              <w:rPr>
                <w:rFonts w:ascii="Calibri" w:hAnsi="Calibri" w:cs="Calibri"/>
                <w:color w:val="000000"/>
                <w:sz w:val="18"/>
                <w:szCs w:val="18"/>
              </w:rPr>
              <w:t>(</w:t>
            </w:r>
            <w:r w:rsidR="00D272D4" w:rsidRPr="00595792">
              <w:rPr>
                <w:rFonts w:ascii="Calibri" w:hAnsi="Calibri" w:cs="Calibri"/>
                <w:color w:val="000000"/>
                <w:sz w:val="18"/>
                <w:szCs w:val="18"/>
              </w:rPr>
              <w:t>0.7</w:t>
            </w:r>
            <w:r w:rsidR="00BF5F72" w:rsidRPr="00602E30">
              <w:rPr>
                <w:rFonts w:ascii="Calibri" w:hAnsi="Calibri" w:cs="Calibri"/>
                <w:color w:val="000000"/>
                <w:sz w:val="18"/>
                <w:szCs w:val="18"/>
              </w:rPr>
              <w:t>%</w:t>
            </w:r>
            <w:r w:rsidRPr="002A69B7">
              <w:rPr>
                <w:rFonts w:ascii="Calibri" w:hAnsi="Calibri" w:cs="Calibri"/>
                <w:color w:val="000000"/>
                <w:sz w:val="18"/>
                <w:szCs w:val="18"/>
              </w:rPr>
              <w:t>)</w:t>
            </w:r>
          </w:p>
        </w:tc>
      </w:tr>
      <w:tr w:rsidR="00D272D4" w:rsidRPr="000A3C73" w:rsidTr="004C01E0">
        <w:trPr>
          <w:trHeight w:val="69"/>
        </w:trPr>
        <w:tc>
          <w:tcPr>
            <w:tcW w:w="1270" w:type="pct"/>
            <w:tcBorders>
              <w:top w:val="single" w:sz="6" w:space="0" w:color="auto"/>
              <w:left w:val="single" w:sz="6" w:space="0" w:color="auto"/>
              <w:bottom w:val="single" w:sz="6" w:space="0" w:color="auto"/>
              <w:right w:val="single" w:sz="6" w:space="0" w:color="auto"/>
            </w:tcBorders>
          </w:tcPr>
          <w:p w:rsidR="00D272D4" w:rsidRPr="000A3C73" w:rsidRDefault="00D272D4" w:rsidP="005A7184">
            <w:pPr>
              <w:autoSpaceDE w:val="0"/>
              <w:autoSpaceDN w:val="0"/>
              <w:adjustRightInd w:val="0"/>
              <w:rPr>
                <w:rFonts w:ascii="Calibri" w:hAnsi="Calibri" w:cs="Calibri"/>
                <w:color w:val="000000"/>
                <w:sz w:val="18"/>
                <w:szCs w:val="18"/>
              </w:rPr>
            </w:pPr>
            <w:r w:rsidRPr="000A3C73">
              <w:rPr>
                <w:rFonts w:ascii="Calibri" w:hAnsi="Calibri" w:cs="Calibri"/>
                <w:b/>
                <w:color w:val="000000"/>
                <w:sz w:val="18"/>
                <w:szCs w:val="18"/>
              </w:rPr>
              <w:t>Outcome 5:</w:t>
            </w:r>
            <w:r w:rsidRPr="000A3C73">
              <w:rPr>
                <w:rFonts w:ascii="Calibri" w:hAnsi="Calibri" w:cs="Calibri"/>
                <w:color w:val="000000"/>
                <w:sz w:val="18"/>
                <w:szCs w:val="18"/>
              </w:rPr>
              <w:t xml:space="preserve"> Lessons Learned and Adaptive Management</w:t>
            </w:r>
          </w:p>
        </w:tc>
        <w:tc>
          <w:tcPr>
            <w:tcW w:w="656" w:type="pct"/>
            <w:tcBorders>
              <w:top w:val="single" w:sz="6" w:space="0" w:color="auto"/>
              <w:left w:val="single" w:sz="6" w:space="0" w:color="auto"/>
              <w:bottom w:val="single" w:sz="6" w:space="0" w:color="auto"/>
              <w:right w:val="single" w:sz="6" w:space="0" w:color="auto"/>
            </w:tcBorders>
          </w:tcPr>
          <w:p w:rsidR="00D272D4" w:rsidRPr="000A3C73" w:rsidRDefault="00D272D4" w:rsidP="005A7184">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0.24</w:t>
            </w:r>
          </w:p>
        </w:tc>
        <w:tc>
          <w:tcPr>
            <w:tcW w:w="829" w:type="pct"/>
            <w:tcBorders>
              <w:top w:val="single" w:sz="6" w:space="0" w:color="auto"/>
              <w:left w:val="single" w:sz="6" w:space="0" w:color="auto"/>
              <w:bottom w:val="single" w:sz="6" w:space="0" w:color="auto"/>
              <w:right w:val="single" w:sz="6" w:space="0" w:color="auto"/>
            </w:tcBorders>
          </w:tcPr>
          <w:p w:rsidR="00D272D4" w:rsidRPr="000A3C73" w:rsidRDefault="00D272D4" w:rsidP="000C5B5A">
            <w:pPr>
              <w:tabs>
                <w:tab w:val="center" w:pos="784"/>
                <w:tab w:val="right" w:pos="1569"/>
              </w:tabs>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16.2%</w:t>
            </w:r>
          </w:p>
        </w:tc>
        <w:tc>
          <w:tcPr>
            <w:tcW w:w="622" w:type="pct"/>
            <w:tcBorders>
              <w:top w:val="single" w:sz="6" w:space="0" w:color="auto"/>
              <w:left w:val="single" w:sz="6" w:space="0" w:color="auto"/>
              <w:bottom w:val="single" w:sz="6" w:space="0" w:color="auto"/>
              <w:right w:val="single" w:sz="6" w:space="0" w:color="auto"/>
            </w:tcBorders>
          </w:tcPr>
          <w:p w:rsidR="00D272D4" w:rsidRPr="000A3C73" w:rsidRDefault="00D272D4" w:rsidP="005A7184">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0.27</w:t>
            </w:r>
          </w:p>
        </w:tc>
        <w:tc>
          <w:tcPr>
            <w:tcW w:w="415" w:type="pct"/>
            <w:tcBorders>
              <w:top w:val="single" w:sz="6" w:space="0" w:color="auto"/>
              <w:left w:val="single" w:sz="6" w:space="0" w:color="auto"/>
              <w:bottom w:val="single" w:sz="6" w:space="0" w:color="auto"/>
              <w:right w:val="single" w:sz="6" w:space="0" w:color="auto"/>
            </w:tcBorders>
          </w:tcPr>
          <w:p w:rsidR="00D272D4" w:rsidRPr="000A3C73" w:rsidRDefault="00EC1A14" w:rsidP="005A7184">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0.03</w:t>
            </w:r>
          </w:p>
        </w:tc>
        <w:tc>
          <w:tcPr>
            <w:tcW w:w="759" w:type="pct"/>
            <w:tcBorders>
              <w:top w:val="single" w:sz="6" w:space="0" w:color="auto"/>
              <w:left w:val="single" w:sz="6" w:space="0" w:color="auto"/>
              <w:bottom w:val="single" w:sz="6" w:space="0" w:color="auto"/>
              <w:right w:val="single" w:sz="6" w:space="0" w:color="auto"/>
            </w:tcBorders>
          </w:tcPr>
          <w:p w:rsidR="00D272D4" w:rsidRPr="000A3C73" w:rsidRDefault="00D272D4" w:rsidP="005A7184">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18.4%</w:t>
            </w:r>
          </w:p>
        </w:tc>
        <w:tc>
          <w:tcPr>
            <w:tcW w:w="449" w:type="pct"/>
            <w:tcBorders>
              <w:top w:val="single" w:sz="6" w:space="0" w:color="auto"/>
              <w:left w:val="single" w:sz="6" w:space="0" w:color="auto"/>
              <w:bottom w:val="single" w:sz="6" w:space="0" w:color="auto"/>
              <w:right w:val="single" w:sz="6" w:space="0" w:color="auto"/>
            </w:tcBorders>
          </w:tcPr>
          <w:p w:rsidR="00D272D4" w:rsidRPr="000A3C73" w:rsidRDefault="00D272D4" w:rsidP="005A7184">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2.2</w:t>
            </w:r>
            <w:r w:rsidR="00BF5F72" w:rsidRPr="000A3C73">
              <w:rPr>
                <w:rFonts w:ascii="Calibri" w:hAnsi="Calibri" w:cs="Calibri"/>
                <w:color w:val="000000"/>
                <w:sz w:val="18"/>
                <w:szCs w:val="18"/>
              </w:rPr>
              <w:t>%</w:t>
            </w:r>
          </w:p>
        </w:tc>
      </w:tr>
      <w:tr w:rsidR="00772CD3" w:rsidRPr="000A3C73" w:rsidTr="004C01E0">
        <w:trPr>
          <w:trHeight w:val="69"/>
        </w:trPr>
        <w:tc>
          <w:tcPr>
            <w:tcW w:w="1270" w:type="pct"/>
            <w:tcBorders>
              <w:top w:val="single" w:sz="6" w:space="0" w:color="auto"/>
              <w:left w:val="single" w:sz="6" w:space="0" w:color="auto"/>
              <w:bottom w:val="single" w:sz="6" w:space="0" w:color="auto"/>
              <w:right w:val="single" w:sz="6" w:space="0" w:color="auto"/>
            </w:tcBorders>
          </w:tcPr>
          <w:p w:rsidR="00772CD3" w:rsidRPr="000A3C73" w:rsidRDefault="00772CD3" w:rsidP="005A7184">
            <w:pPr>
              <w:autoSpaceDE w:val="0"/>
              <w:autoSpaceDN w:val="0"/>
              <w:adjustRightInd w:val="0"/>
              <w:rPr>
                <w:rFonts w:ascii="Calibri" w:hAnsi="Calibri" w:cs="Calibri"/>
                <w:color w:val="000000"/>
                <w:sz w:val="18"/>
                <w:szCs w:val="18"/>
              </w:rPr>
            </w:pPr>
            <w:r w:rsidRPr="000A3C73">
              <w:rPr>
                <w:rFonts w:ascii="Calibri" w:hAnsi="Calibri" w:cs="Calibri"/>
                <w:color w:val="000000"/>
                <w:sz w:val="18"/>
                <w:szCs w:val="18"/>
              </w:rPr>
              <w:t>Monitoring and evaluation*</w:t>
            </w:r>
            <w:r w:rsidR="00450C8B" w:rsidRPr="000A3C73">
              <w:rPr>
                <w:rFonts w:ascii="Calibri" w:hAnsi="Calibri" w:cs="Calibri"/>
                <w:color w:val="000000"/>
                <w:sz w:val="18"/>
                <w:szCs w:val="18"/>
              </w:rPr>
              <w:t>*</w:t>
            </w:r>
          </w:p>
        </w:tc>
        <w:tc>
          <w:tcPr>
            <w:tcW w:w="656" w:type="pct"/>
            <w:tcBorders>
              <w:top w:val="single" w:sz="6" w:space="0" w:color="auto"/>
              <w:left w:val="single" w:sz="6" w:space="0" w:color="auto"/>
              <w:bottom w:val="single" w:sz="6" w:space="0" w:color="auto"/>
              <w:right w:val="single" w:sz="6" w:space="0" w:color="auto"/>
            </w:tcBorders>
          </w:tcPr>
          <w:p w:rsidR="00772CD3" w:rsidRPr="000A3C73" w:rsidRDefault="00772CD3" w:rsidP="005A7184">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N/A</w:t>
            </w:r>
          </w:p>
        </w:tc>
        <w:tc>
          <w:tcPr>
            <w:tcW w:w="829" w:type="pct"/>
            <w:tcBorders>
              <w:top w:val="single" w:sz="6" w:space="0" w:color="auto"/>
              <w:left w:val="single" w:sz="6" w:space="0" w:color="auto"/>
              <w:bottom w:val="single" w:sz="6" w:space="0" w:color="auto"/>
              <w:right w:val="single" w:sz="6" w:space="0" w:color="auto"/>
            </w:tcBorders>
          </w:tcPr>
          <w:p w:rsidR="00772CD3" w:rsidRPr="000A3C73" w:rsidRDefault="00772CD3" w:rsidP="005A7184">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N/A</w:t>
            </w:r>
          </w:p>
        </w:tc>
        <w:tc>
          <w:tcPr>
            <w:tcW w:w="622" w:type="pct"/>
            <w:tcBorders>
              <w:top w:val="single" w:sz="6" w:space="0" w:color="auto"/>
              <w:left w:val="single" w:sz="6" w:space="0" w:color="auto"/>
              <w:bottom w:val="single" w:sz="6" w:space="0" w:color="auto"/>
              <w:right w:val="single" w:sz="6" w:space="0" w:color="auto"/>
            </w:tcBorders>
          </w:tcPr>
          <w:p w:rsidR="00772CD3" w:rsidRPr="000A3C73" w:rsidRDefault="00772CD3" w:rsidP="005A7184">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N/A</w:t>
            </w:r>
          </w:p>
        </w:tc>
        <w:tc>
          <w:tcPr>
            <w:tcW w:w="415" w:type="pct"/>
            <w:tcBorders>
              <w:top w:val="single" w:sz="6" w:space="0" w:color="auto"/>
              <w:left w:val="single" w:sz="6" w:space="0" w:color="auto"/>
              <w:bottom w:val="single" w:sz="6" w:space="0" w:color="auto"/>
              <w:right w:val="single" w:sz="6" w:space="0" w:color="auto"/>
            </w:tcBorders>
          </w:tcPr>
          <w:p w:rsidR="00772CD3" w:rsidRPr="000A3C73" w:rsidRDefault="00772CD3" w:rsidP="005A7184">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N/A</w:t>
            </w:r>
          </w:p>
        </w:tc>
        <w:tc>
          <w:tcPr>
            <w:tcW w:w="759" w:type="pct"/>
            <w:tcBorders>
              <w:top w:val="single" w:sz="6" w:space="0" w:color="auto"/>
              <w:left w:val="single" w:sz="6" w:space="0" w:color="auto"/>
              <w:bottom w:val="single" w:sz="6" w:space="0" w:color="auto"/>
              <w:right w:val="single" w:sz="6" w:space="0" w:color="auto"/>
            </w:tcBorders>
          </w:tcPr>
          <w:p w:rsidR="00772CD3" w:rsidRPr="000A3C73" w:rsidRDefault="00772CD3" w:rsidP="005A7184">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N/A</w:t>
            </w:r>
          </w:p>
        </w:tc>
        <w:tc>
          <w:tcPr>
            <w:tcW w:w="449" w:type="pct"/>
            <w:tcBorders>
              <w:top w:val="single" w:sz="6" w:space="0" w:color="auto"/>
              <w:left w:val="single" w:sz="6" w:space="0" w:color="auto"/>
              <w:bottom w:val="single" w:sz="6" w:space="0" w:color="auto"/>
              <w:right w:val="single" w:sz="6" w:space="0" w:color="auto"/>
            </w:tcBorders>
          </w:tcPr>
          <w:p w:rsidR="00772CD3" w:rsidRPr="000A3C73" w:rsidRDefault="00772CD3" w:rsidP="005A7184">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N/A</w:t>
            </w:r>
          </w:p>
        </w:tc>
      </w:tr>
      <w:tr w:rsidR="004C01E0" w:rsidRPr="000A3C73" w:rsidTr="004C01E0">
        <w:trPr>
          <w:trHeight w:val="69"/>
        </w:trPr>
        <w:tc>
          <w:tcPr>
            <w:tcW w:w="1270" w:type="pct"/>
            <w:tcBorders>
              <w:top w:val="single" w:sz="6" w:space="0" w:color="auto"/>
              <w:left w:val="single" w:sz="6" w:space="0" w:color="auto"/>
              <w:bottom w:val="single" w:sz="6" w:space="0" w:color="auto"/>
              <w:right w:val="single" w:sz="6" w:space="0" w:color="auto"/>
            </w:tcBorders>
          </w:tcPr>
          <w:p w:rsidR="004C01E0" w:rsidRPr="000A3C73" w:rsidRDefault="004C01E0" w:rsidP="005A7184">
            <w:pPr>
              <w:autoSpaceDE w:val="0"/>
              <w:autoSpaceDN w:val="0"/>
              <w:adjustRightInd w:val="0"/>
              <w:rPr>
                <w:rFonts w:ascii="Calibri" w:hAnsi="Calibri" w:cs="Calibri"/>
                <w:color w:val="000000"/>
                <w:sz w:val="18"/>
                <w:szCs w:val="18"/>
              </w:rPr>
            </w:pPr>
            <w:r w:rsidRPr="000A3C73">
              <w:rPr>
                <w:rFonts w:ascii="Calibri" w:hAnsi="Calibri" w:cs="Calibri"/>
                <w:color w:val="000000"/>
                <w:sz w:val="18"/>
                <w:szCs w:val="18"/>
              </w:rPr>
              <w:t>Project coordination and management</w:t>
            </w:r>
            <w:r w:rsidRPr="000A3C73">
              <w:rPr>
                <w:rFonts w:ascii="Calibri" w:hAnsi="Calibri" w:cs="Calibri"/>
                <w:color w:val="000000"/>
                <w:sz w:val="18"/>
                <w:szCs w:val="18"/>
                <w:vertAlign w:val="superscript"/>
              </w:rPr>
              <w:t>‡</w:t>
            </w:r>
          </w:p>
        </w:tc>
        <w:tc>
          <w:tcPr>
            <w:tcW w:w="656" w:type="pct"/>
            <w:tcBorders>
              <w:top w:val="single" w:sz="6" w:space="0" w:color="auto"/>
              <w:left w:val="single" w:sz="6" w:space="0" w:color="auto"/>
              <w:bottom w:val="single" w:sz="6" w:space="0" w:color="auto"/>
              <w:right w:val="single" w:sz="6" w:space="0" w:color="auto"/>
            </w:tcBorders>
          </w:tcPr>
          <w:p w:rsidR="004C01E0" w:rsidRPr="000A3C73" w:rsidRDefault="004C01E0" w:rsidP="005A7184">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U/A</w:t>
            </w:r>
          </w:p>
        </w:tc>
        <w:tc>
          <w:tcPr>
            <w:tcW w:w="829" w:type="pct"/>
            <w:tcBorders>
              <w:top w:val="single" w:sz="6" w:space="0" w:color="auto"/>
              <w:left w:val="single" w:sz="6" w:space="0" w:color="auto"/>
              <w:bottom w:val="single" w:sz="6" w:space="0" w:color="auto"/>
              <w:right w:val="single" w:sz="6" w:space="0" w:color="auto"/>
            </w:tcBorders>
          </w:tcPr>
          <w:p w:rsidR="004C01E0" w:rsidRPr="000A3C73" w:rsidRDefault="004C01E0" w:rsidP="005A7184">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U/A</w:t>
            </w:r>
          </w:p>
        </w:tc>
        <w:tc>
          <w:tcPr>
            <w:tcW w:w="622" w:type="pct"/>
            <w:tcBorders>
              <w:top w:val="single" w:sz="6" w:space="0" w:color="auto"/>
              <w:left w:val="single" w:sz="6" w:space="0" w:color="auto"/>
              <w:bottom w:val="single" w:sz="6" w:space="0" w:color="auto"/>
              <w:right w:val="single" w:sz="6" w:space="0" w:color="auto"/>
            </w:tcBorders>
          </w:tcPr>
          <w:p w:rsidR="004C01E0" w:rsidRPr="000A3C73" w:rsidRDefault="004C01E0" w:rsidP="005A7184">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U/A</w:t>
            </w:r>
          </w:p>
        </w:tc>
        <w:tc>
          <w:tcPr>
            <w:tcW w:w="415" w:type="pct"/>
            <w:tcBorders>
              <w:top w:val="single" w:sz="6" w:space="0" w:color="auto"/>
              <w:left w:val="single" w:sz="6" w:space="0" w:color="auto"/>
              <w:bottom w:val="single" w:sz="6" w:space="0" w:color="auto"/>
              <w:right w:val="single" w:sz="6" w:space="0" w:color="auto"/>
            </w:tcBorders>
          </w:tcPr>
          <w:p w:rsidR="004C01E0" w:rsidRPr="000A3C73" w:rsidRDefault="004C01E0" w:rsidP="005A7184">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U/A</w:t>
            </w:r>
          </w:p>
        </w:tc>
        <w:tc>
          <w:tcPr>
            <w:tcW w:w="759" w:type="pct"/>
            <w:tcBorders>
              <w:top w:val="single" w:sz="6" w:space="0" w:color="auto"/>
              <w:left w:val="single" w:sz="6" w:space="0" w:color="auto"/>
              <w:bottom w:val="single" w:sz="6" w:space="0" w:color="auto"/>
              <w:right w:val="single" w:sz="6" w:space="0" w:color="auto"/>
            </w:tcBorders>
          </w:tcPr>
          <w:p w:rsidR="004C01E0" w:rsidRPr="000A3C73" w:rsidRDefault="004C01E0" w:rsidP="005A7184">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U/A</w:t>
            </w:r>
          </w:p>
        </w:tc>
        <w:tc>
          <w:tcPr>
            <w:tcW w:w="449" w:type="pct"/>
            <w:tcBorders>
              <w:top w:val="single" w:sz="6" w:space="0" w:color="auto"/>
              <w:left w:val="single" w:sz="6" w:space="0" w:color="auto"/>
              <w:bottom w:val="single" w:sz="6" w:space="0" w:color="auto"/>
              <w:right w:val="single" w:sz="6" w:space="0" w:color="auto"/>
            </w:tcBorders>
          </w:tcPr>
          <w:p w:rsidR="004C01E0" w:rsidRPr="000A3C73" w:rsidRDefault="004C01E0" w:rsidP="005A7184">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U/A</w:t>
            </w:r>
          </w:p>
        </w:tc>
      </w:tr>
      <w:tr w:rsidR="004C01E0" w:rsidRPr="000A3C73" w:rsidTr="004C01E0">
        <w:trPr>
          <w:trHeight w:val="69"/>
        </w:trPr>
        <w:tc>
          <w:tcPr>
            <w:tcW w:w="1270" w:type="pct"/>
            <w:tcBorders>
              <w:top w:val="single" w:sz="6" w:space="0" w:color="auto"/>
              <w:left w:val="single" w:sz="6" w:space="0" w:color="auto"/>
              <w:bottom w:val="single" w:sz="6" w:space="0" w:color="auto"/>
              <w:right w:val="single" w:sz="6" w:space="0" w:color="auto"/>
            </w:tcBorders>
            <w:shd w:val="solid" w:color="C0C0C0" w:fill="auto"/>
          </w:tcPr>
          <w:p w:rsidR="004C01E0" w:rsidRPr="000A3C73" w:rsidRDefault="004C01E0" w:rsidP="005A7184">
            <w:pPr>
              <w:autoSpaceDE w:val="0"/>
              <w:autoSpaceDN w:val="0"/>
              <w:adjustRightInd w:val="0"/>
              <w:jc w:val="right"/>
              <w:rPr>
                <w:rFonts w:ascii="Calibri" w:hAnsi="Calibri" w:cs="Calibri"/>
                <w:b/>
                <w:bCs/>
                <w:color w:val="000000"/>
                <w:sz w:val="18"/>
                <w:szCs w:val="18"/>
              </w:rPr>
            </w:pPr>
            <w:r w:rsidRPr="000A3C73">
              <w:rPr>
                <w:rFonts w:ascii="Calibri" w:hAnsi="Calibri" w:cs="Calibri"/>
                <w:b/>
                <w:bCs/>
                <w:color w:val="000000"/>
                <w:sz w:val="18"/>
                <w:szCs w:val="18"/>
              </w:rPr>
              <w:t>Total</w:t>
            </w:r>
          </w:p>
        </w:tc>
        <w:tc>
          <w:tcPr>
            <w:tcW w:w="656" w:type="pct"/>
            <w:tcBorders>
              <w:top w:val="single" w:sz="6" w:space="0" w:color="auto"/>
              <w:left w:val="single" w:sz="6" w:space="0" w:color="auto"/>
              <w:bottom w:val="single" w:sz="6" w:space="0" w:color="auto"/>
              <w:right w:val="single" w:sz="6" w:space="0" w:color="auto"/>
            </w:tcBorders>
            <w:shd w:val="solid" w:color="C0C0C0" w:fill="auto"/>
          </w:tcPr>
          <w:p w:rsidR="004C01E0" w:rsidRPr="000A3C73" w:rsidRDefault="00FC4E1B" w:rsidP="005A7184">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1.48</w:t>
            </w:r>
          </w:p>
        </w:tc>
        <w:tc>
          <w:tcPr>
            <w:tcW w:w="829" w:type="pct"/>
            <w:tcBorders>
              <w:top w:val="single" w:sz="6" w:space="0" w:color="auto"/>
              <w:left w:val="single" w:sz="6" w:space="0" w:color="auto"/>
              <w:bottom w:val="single" w:sz="6" w:space="0" w:color="auto"/>
              <w:right w:val="single" w:sz="6" w:space="0" w:color="auto"/>
            </w:tcBorders>
            <w:shd w:val="solid" w:color="C0C0C0" w:fill="auto"/>
          </w:tcPr>
          <w:p w:rsidR="004C01E0" w:rsidRPr="000A3C73" w:rsidRDefault="004C01E0" w:rsidP="005A7184">
            <w:pPr>
              <w:autoSpaceDE w:val="0"/>
              <w:autoSpaceDN w:val="0"/>
              <w:adjustRightInd w:val="0"/>
              <w:jc w:val="right"/>
              <w:rPr>
                <w:rFonts w:ascii="Calibri" w:hAnsi="Calibri" w:cs="Calibri"/>
                <w:color w:val="000000"/>
                <w:sz w:val="18"/>
                <w:szCs w:val="18"/>
              </w:rPr>
            </w:pPr>
          </w:p>
        </w:tc>
        <w:tc>
          <w:tcPr>
            <w:tcW w:w="622" w:type="pct"/>
            <w:tcBorders>
              <w:top w:val="single" w:sz="6" w:space="0" w:color="auto"/>
              <w:left w:val="single" w:sz="6" w:space="0" w:color="auto"/>
              <w:bottom w:val="single" w:sz="6" w:space="0" w:color="auto"/>
              <w:right w:val="single" w:sz="6" w:space="0" w:color="auto"/>
            </w:tcBorders>
            <w:shd w:val="solid" w:color="C0C0C0" w:fill="auto"/>
          </w:tcPr>
          <w:p w:rsidR="004C01E0" w:rsidRPr="000A3C73" w:rsidRDefault="00FC4E1B" w:rsidP="005A7184">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1.47</w:t>
            </w:r>
          </w:p>
        </w:tc>
        <w:tc>
          <w:tcPr>
            <w:tcW w:w="415" w:type="pct"/>
            <w:tcBorders>
              <w:top w:val="single" w:sz="6" w:space="0" w:color="auto"/>
              <w:left w:val="single" w:sz="6" w:space="0" w:color="auto"/>
              <w:bottom w:val="single" w:sz="6" w:space="0" w:color="auto"/>
              <w:right w:val="single" w:sz="6" w:space="0" w:color="auto"/>
            </w:tcBorders>
            <w:shd w:val="solid" w:color="C0C0C0" w:fill="auto"/>
          </w:tcPr>
          <w:p w:rsidR="004C01E0" w:rsidRPr="000A3C73" w:rsidRDefault="00FC4E1B" w:rsidP="005A7184">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0.01</w:t>
            </w:r>
          </w:p>
        </w:tc>
        <w:tc>
          <w:tcPr>
            <w:tcW w:w="759" w:type="pct"/>
            <w:tcBorders>
              <w:top w:val="single" w:sz="6" w:space="0" w:color="auto"/>
              <w:left w:val="single" w:sz="6" w:space="0" w:color="auto"/>
              <w:bottom w:val="single" w:sz="6" w:space="0" w:color="auto"/>
              <w:right w:val="single" w:sz="6" w:space="0" w:color="auto"/>
            </w:tcBorders>
            <w:shd w:val="solid" w:color="C0C0C0" w:fill="auto"/>
          </w:tcPr>
          <w:p w:rsidR="004C01E0" w:rsidRPr="000A3C73" w:rsidRDefault="004C01E0" w:rsidP="005A7184">
            <w:pPr>
              <w:autoSpaceDE w:val="0"/>
              <w:autoSpaceDN w:val="0"/>
              <w:adjustRightInd w:val="0"/>
              <w:jc w:val="right"/>
              <w:rPr>
                <w:rFonts w:ascii="Calibri" w:hAnsi="Calibri" w:cs="Calibri"/>
                <w:color w:val="000000"/>
                <w:sz w:val="18"/>
                <w:szCs w:val="18"/>
              </w:rPr>
            </w:pPr>
          </w:p>
        </w:tc>
        <w:tc>
          <w:tcPr>
            <w:tcW w:w="449" w:type="pct"/>
            <w:tcBorders>
              <w:top w:val="single" w:sz="6" w:space="0" w:color="auto"/>
              <w:left w:val="single" w:sz="6" w:space="0" w:color="auto"/>
              <w:bottom w:val="single" w:sz="6" w:space="0" w:color="auto"/>
              <w:right w:val="single" w:sz="6" w:space="0" w:color="auto"/>
            </w:tcBorders>
            <w:shd w:val="solid" w:color="C0C0C0" w:fill="auto"/>
          </w:tcPr>
          <w:p w:rsidR="004C01E0" w:rsidRPr="000A3C73" w:rsidRDefault="004C01E0" w:rsidP="005A7184">
            <w:pPr>
              <w:autoSpaceDE w:val="0"/>
              <w:autoSpaceDN w:val="0"/>
              <w:adjustRightInd w:val="0"/>
              <w:jc w:val="right"/>
              <w:rPr>
                <w:rFonts w:ascii="Calibri" w:hAnsi="Calibri" w:cs="Calibri"/>
                <w:color w:val="000000"/>
                <w:sz w:val="18"/>
                <w:szCs w:val="18"/>
              </w:rPr>
            </w:pPr>
          </w:p>
        </w:tc>
      </w:tr>
    </w:tbl>
    <w:p w:rsidR="00237577" w:rsidRPr="000A3C73" w:rsidRDefault="00237577" w:rsidP="00237577">
      <w:pPr>
        <w:rPr>
          <w:rFonts w:ascii="Calibri" w:hAnsi="Calibri"/>
          <w:i/>
          <w:sz w:val="18"/>
        </w:rPr>
      </w:pPr>
      <w:r w:rsidRPr="000A3C73">
        <w:rPr>
          <w:rFonts w:ascii="Calibri" w:hAnsi="Calibri"/>
          <w:i/>
          <w:sz w:val="18"/>
        </w:rPr>
        <w:t xml:space="preserve">Sources: </w:t>
      </w:r>
      <w:r w:rsidR="005F3C64" w:rsidRPr="000A3C73">
        <w:rPr>
          <w:rFonts w:ascii="Calibri" w:hAnsi="Calibri"/>
          <w:i/>
          <w:sz w:val="18"/>
        </w:rPr>
        <w:t>Planned amounts: Project Document Annual Workplans; Actual amounts: Macedonia Combined Delivery Reports (CDRs).</w:t>
      </w:r>
    </w:p>
    <w:p w:rsidR="00450C8B" w:rsidRPr="000A3C73" w:rsidRDefault="00450C8B" w:rsidP="000D1E2A">
      <w:pPr>
        <w:rPr>
          <w:rFonts w:ascii="Calibri" w:hAnsi="Calibri"/>
          <w:i/>
          <w:sz w:val="18"/>
        </w:rPr>
      </w:pPr>
      <w:r w:rsidRPr="000A3C73">
        <w:rPr>
          <w:rFonts w:ascii="Calibri" w:hAnsi="Calibri"/>
          <w:i/>
          <w:sz w:val="18"/>
        </w:rPr>
        <w:t>*The Macedonia Component was not completed until June 30, 2012, and thus the total expenditures shown here do not include the full final project expenditure by component.</w:t>
      </w:r>
    </w:p>
    <w:p w:rsidR="000D1E2A" w:rsidRPr="000A3C73" w:rsidRDefault="000D1E2A" w:rsidP="000D1E2A">
      <w:pPr>
        <w:rPr>
          <w:rFonts w:ascii="Calibri" w:hAnsi="Calibri"/>
          <w:i/>
          <w:sz w:val="18"/>
        </w:rPr>
      </w:pPr>
      <w:r w:rsidRPr="000A3C73">
        <w:rPr>
          <w:rFonts w:ascii="Calibri" w:hAnsi="Calibri"/>
          <w:i/>
          <w:sz w:val="18"/>
        </w:rPr>
        <w:t>*</w:t>
      </w:r>
      <w:r w:rsidR="00450C8B" w:rsidRPr="000A3C73">
        <w:rPr>
          <w:rFonts w:ascii="Calibri" w:hAnsi="Calibri"/>
          <w:i/>
          <w:sz w:val="18"/>
        </w:rPr>
        <w:t>*</w:t>
      </w:r>
      <w:r w:rsidRPr="000A3C73">
        <w:rPr>
          <w:rFonts w:ascii="Calibri" w:hAnsi="Calibri"/>
          <w:i/>
          <w:sz w:val="18"/>
        </w:rPr>
        <w:t>There was one single M&amp;E budget for the entire project, and not an additional M&amp;E fund amount, beyond what is included under Outcome 5.</w:t>
      </w:r>
    </w:p>
    <w:p w:rsidR="000D1E2A" w:rsidRPr="000A3C73" w:rsidRDefault="000D1E2A" w:rsidP="000D1E2A">
      <w:pPr>
        <w:rPr>
          <w:rFonts w:ascii="Calibri" w:hAnsi="Calibri"/>
          <w:i/>
          <w:sz w:val="18"/>
        </w:rPr>
      </w:pPr>
      <w:r w:rsidRPr="000A3C73">
        <w:rPr>
          <w:rFonts w:ascii="Calibri" w:hAnsi="Calibri"/>
          <w:b/>
          <w:i/>
          <w:sz w:val="18"/>
        </w:rPr>
        <w:t>‡</w:t>
      </w:r>
      <w:r w:rsidRPr="000A3C73">
        <w:rPr>
          <w:rFonts w:ascii="Calibri" w:hAnsi="Calibri"/>
          <w:i/>
          <w:sz w:val="18"/>
        </w:rPr>
        <w:t xml:space="preserve">There was not a separate “Project Management” budget line shown in the planned project budget included in the Project Document. Project managements expenditures were drawn from all outcomes, but particularly Outcome 5. However, not all of Outcome 5 can be considered project management, as demonstrated by the fact that it was planned at 16.2% of the GEF expenditure, well above the stated threshold of 10%. </w:t>
      </w:r>
    </w:p>
    <w:p w:rsidR="00237577" w:rsidRPr="000A3C73" w:rsidRDefault="00237577" w:rsidP="00803C03">
      <w:pPr>
        <w:rPr>
          <w:rFonts w:ascii="Calibri" w:hAnsi="Calibri"/>
          <w:i/>
          <w:sz w:val="18"/>
        </w:rPr>
      </w:pPr>
    </w:p>
    <w:p w:rsidR="00237577" w:rsidRPr="000A3C73" w:rsidRDefault="00237577" w:rsidP="00237577">
      <w:pPr>
        <w:pStyle w:val="Caption"/>
      </w:pPr>
      <w:bookmarkStart w:id="62" w:name="_Ref210962148"/>
      <w:r w:rsidRPr="000A3C73">
        <w:t xml:space="preserve">Table </w:t>
      </w:r>
      <w:r w:rsidR="008269C6" w:rsidRPr="00552EEF">
        <w:fldChar w:fldCharType="begin"/>
      </w:r>
      <w:r w:rsidR="00CF23E9" w:rsidRPr="000A3C73">
        <w:instrText xml:space="preserve"> SEQ Table \* ARABIC </w:instrText>
      </w:r>
      <w:r w:rsidR="008269C6" w:rsidRPr="00552EEF">
        <w:fldChar w:fldCharType="separate"/>
      </w:r>
      <w:r w:rsidR="006E18A7" w:rsidRPr="000A3C73">
        <w:rPr>
          <w:noProof/>
        </w:rPr>
        <w:t>6</w:t>
      </w:r>
      <w:r w:rsidR="008269C6" w:rsidRPr="00552EEF">
        <w:rPr>
          <w:noProof/>
        </w:rPr>
        <w:fldChar w:fldCharType="end"/>
      </w:r>
      <w:bookmarkEnd w:id="62"/>
      <w:r w:rsidRPr="000A3C73">
        <w:t xml:space="preserve"> Transboundary (DEX) Component Planned Budget and Actual Expenditure Through </w:t>
      </w:r>
      <w:r w:rsidR="00A972C2" w:rsidRPr="000A3C73">
        <w:t>May</w:t>
      </w:r>
      <w:r w:rsidRPr="000A3C73">
        <w:t xml:space="preserve"> 31, 2012 </w:t>
      </w:r>
      <w:r w:rsidRPr="000A3C73">
        <w:rPr>
          <w:sz w:val="20"/>
        </w:rPr>
        <w:t>(USD)</w:t>
      </w:r>
    </w:p>
    <w:tbl>
      <w:tblPr>
        <w:tblW w:w="4973" w:type="pct"/>
        <w:tblCellMar>
          <w:left w:w="70" w:type="dxa"/>
          <w:right w:w="70" w:type="dxa"/>
        </w:tblCellMar>
        <w:tblLook w:val="0000"/>
      </w:tblPr>
      <w:tblGrid>
        <w:gridCol w:w="3760"/>
        <w:gridCol w:w="1709"/>
        <w:gridCol w:w="2160"/>
        <w:gridCol w:w="1600"/>
        <w:gridCol w:w="920"/>
        <w:gridCol w:w="1960"/>
        <w:gridCol w:w="920"/>
      </w:tblGrid>
      <w:tr w:rsidR="008A2117" w:rsidRPr="000A3C73" w:rsidTr="00DC4810">
        <w:trPr>
          <w:trHeight w:val="201"/>
        </w:trPr>
        <w:tc>
          <w:tcPr>
            <w:tcW w:w="1443" w:type="pct"/>
            <w:tcBorders>
              <w:top w:val="single" w:sz="6" w:space="0" w:color="auto"/>
              <w:left w:val="single" w:sz="6" w:space="0" w:color="auto"/>
              <w:bottom w:val="single" w:sz="6" w:space="0" w:color="auto"/>
              <w:right w:val="single" w:sz="6" w:space="0" w:color="auto"/>
            </w:tcBorders>
          </w:tcPr>
          <w:p w:rsidR="008A2117" w:rsidRPr="000A3C73" w:rsidRDefault="008A2117" w:rsidP="00DC4810">
            <w:pPr>
              <w:autoSpaceDE w:val="0"/>
              <w:autoSpaceDN w:val="0"/>
              <w:adjustRightInd w:val="0"/>
              <w:jc w:val="right"/>
              <w:rPr>
                <w:rFonts w:ascii="Calibri" w:hAnsi="Calibri" w:cs="Calibri"/>
                <w:color w:val="000000"/>
                <w:sz w:val="18"/>
                <w:szCs w:val="18"/>
              </w:rPr>
            </w:pPr>
          </w:p>
        </w:tc>
        <w:tc>
          <w:tcPr>
            <w:tcW w:w="656" w:type="pct"/>
            <w:tcBorders>
              <w:top w:val="single" w:sz="6" w:space="0" w:color="auto"/>
              <w:left w:val="single" w:sz="6" w:space="0" w:color="auto"/>
              <w:bottom w:val="single" w:sz="6" w:space="0" w:color="auto"/>
              <w:right w:val="single" w:sz="6" w:space="0" w:color="auto"/>
            </w:tcBorders>
            <w:shd w:val="solid" w:color="C0C0C0" w:fill="auto"/>
          </w:tcPr>
          <w:p w:rsidR="008A2117" w:rsidRPr="000A3C73" w:rsidRDefault="008A2117" w:rsidP="00DC4810">
            <w:pPr>
              <w:autoSpaceDE w:val="0"/>
              <w:autoSpaceDN w:val="0"/>
              <w:adjustRightInd w:val="0"/>
              <w:jc w:val="center"/>
              <w:rPr>
                <w:rFonts w:ascii="Calibri" w:hAnsi="Calibri" w:cs="Calibri"/>
                <w:b/>
                <w:bCs/>
                <w:color w:val="000000"/>
                <w:sz w:val="18"/>
                <w:szCs w:val="18"/>
              </w:rPr>
            </w:pPr>
            <w:r w:rsidRPr="000A3C73">
              <w:rPr>
                <w:rFonts w:ascii="Calibri" w:hAnsi="Calibri" w:cs="Calibri"/>
                <w:b/>
                <w:bCs/>
                <w:color w:val="000000"/>
                <w:sz w:val="18"/>
                <w:szCs w:val="18"/>
              </w:rPr>
              <w:t>GEF amount planned</w:t>
            </w:r>
          </w:p>
        </w:tc>
        <w:tc>
          <w:tcPr>
            <w:tcW w:w="829" w:type="pct"/>
            <w:tcBorders>
              <w:top w:val="single" w:sz="6" w:space="0" w:color="auto"/>
              <w:left w:val="single" w:sz="6" w:space="0" w:color="auto"/>
              <w:bottom w:val="single" w:sz="6" w:space="0" w:color="auto"/>
              <w:right w:val="single" w:sz="6" w:space="0" w:color="auto"/>
            </w:tcBorders>
            <w:shd w:val="solid" w:color="C0C0C0" w:fill="auto"/>
          </w:tcPr>
          <w:p w:rsidR="008A2117" w:rsidRPr="000A3C73" w:rsidRDefault="008A2117" w:rsidP="00DC4810">
            <w:pPr>
              <w:autoSpaceDE w:val="0"/>
              <w:autoSpaceDN w:val="0"/>
              <w:adjustRightInd w:val="0"/>
              <w:jc w:val="center"/>
              <w:rPr>
                <w:rFonts w:ascii="Calibri" w:hAnsi="Calibri" w:cs="Calibri"/>
                <w:b/>
                <w:bCs/>
                <w:color w:val="000000"/>
                <w:sz w:val="18"/>
                <w:szCs w:val="18"/>
              </w:rPr>
            </w:pPr>
            <w:r w:rsidRPr="000A3C73">
              <w:rPr>
                <w:rFonts w:ascii="Calibri" w:hAnsi="Calibri" w:cs="Calibri"/>
                <w:b/>
                <w:bCs/>
                <w:color w:val="000000"/>
                <w:sz w:val="18"/>
                <w:szCs w:val="18"/>
              </w:rPr>
              <w:t>% of GEF amount planned</w:t>
            </w:r>
          </w:p>
        </w:tc>
        <w:tc>
          <w:tcPr>
            <w:tcW w:w="614" w:type="pct"/>
            <w:tcBorders>
              <w:top w:val="single" w:sz="6" w:space="0" w:color="auto"/>
              <w:left w:val="single" w:sz="6" w:space="0" w:color="auto"/>
              <w:bottom w:val="single" w:sz="6" w:space="0" w:color="auto"/>
              <w:right w:val="single" w:sz="6" w:space="0" w:color="auto"/>
            </w:tcBorders>
            <w:shd w:val="solid" w:color="C0C0C0" w:fill="auto"/>
          </w:tcPr>
          <w:p w:rsidR="008A2117" w:rsidRPr="000A3C73" w:rsidRDefault="008A2117" w:rsidP="00DC4810">
            <w:pPr>
              <w:autoSpaceDE w:val="0"/>
              <w:autoSpaceDN w:val="0"/>
              <w:adjustRightInd w:val="0"/>
              <w:jc w:val="center"/>
              <w:rPr>
                <w:rFonts w:ascii="Calibri" w:hAnsi="Calibri" w:cs="Calibri"/>
                <w:b/>
                <w:bCs/>
                <w:color w:val="000000"/>
                <w:sz w:val="18"/>
                <w:szCs w:val="18"/>
              </w:rPr>
            </w:pPr>
            <w:r w:rsidRPr="000A3C73">
              <w:rPr>
                <w:rFonts w:ascii="Calibri" w:hAnsi="Calibri" w:cs="Calibri"/>
                <w:b/>
                <w:bCs/>
                <w:color w:val="000000"/>
                <w:sz w:val="18"/>
                <w:szCs w:val="18"/>
              </w:rPr>
              <w:t>GEF amount actual</w:t>
            </w:r>
          </w:p>
        </w:tc>
        <w:tc>
          <w:tcPr>
            <w:tcW w:w="353" w:type="pct"/>
            <w:tcBorders>
              <w:top w:val="single" w:sz="6" w:space="0" w:color="auto"/>
              <w:left w:val="single" w:sz="6" w:space="0" w:color="auto"/>
              <w:bottom w:val="single" w:sz="6" w:space="0" w:color="auto"/>
              <w:right w:val="single" w:sz="6" w:space="0" w:color="auto"/>
            </w:tcBorders>
            <w:shd w:val="solid" w:color="C0C0C0" w:fill="auto"/>
          </w:tcPr>
          <w:p w:rsidR="008A2117" w:rsidRPr="000A3C73" w:rsidRDefault="00A972C2" w:rsidP="00DC4810">
            <w:pPr>
              <w:autoSpaceDE w:val="0"/>
              <w:autoSpaceDN w:val="0"/>
              <w:adjustRightInd w:val="0"/>
              <w:jc w:val="center"/>
              <w:rPr>
                <w:rFonts w:ascii="Calibri" w:hAnsi="Calibri" w:cs="Calibri"/>
                <w:b/>
                <w:bCs/>
                <w:color w:val="000000"/>
                <w:sz w:val="18"/>
                <w:szCs w:val="18"/>
              </w:rPr>
            </w:pPr>
            <w:r w:rsidRPr="000A3C73">
              <w:rPr>
                <w:rFonts w:ascii="Calibri" w:hAnsi="Calibri" w:cs="Calibri"/>
                <w:b/>
                <w:bCs/>
                <w:color w:val="000000"/>
                <w:sz w:val="18"/>
                <w:szCs w:val="18"/>
              </w:rPr>
              <w:t xml:space="preserve">$ </w:t>
            </w:r>
            <w:r w:rsidR="008A2117" w:rsidRPr="000A3C73">
              <w:rPr>
                <w:rFonts w:ascii="Calibri" w:hAnsi="Calibri" w:cs="Calibri"/>
                <w:b/>
                <w:bCs/>
                <w:color w:val="000000"/>
                <w:sz w:val="18"/>
                <w:szCs w:val="18"/>
              </w:rPr>
              <w:t>Difference</w:t>
            </w:r>
          </w:p>
        </w:tc>
        <w:tc>
          <w:tcPr>
            <w:tcW w:w="752" w:type="pct"/>
            <w:tcBorders>
              <w:top w:val="single" w:sz="6" w:space="0" w:color="auto"/>
              <w:left w:val="single" w:sz="6" w:space="0" w:color="auto"/>
              <w:bottom w:val="single" w:sz="6" w:space="0" w:color="auto"/>
              <w:right w:val="single" w:sz="6" w:space="0" w:color="auto"/>
            </w:tcBorders>
            <w:shd w:val="solid" w:color="C0C0C0" w:fill="auto"/>
          </w:tcPr>
          <w:p w:rsidR="008A2117" w:rsidRPr="000A3C73" w:rsidRDefault="008A2117" w:rsidP="00DC4810">
            <w:pPr>
              <w:autoSpaceDE w:val="0"/>
              <w:autoSpaceDN w:val="0"/>
              <w:adjustRightInd w:val="0"/>
              <w:jc w:val="center"/>
              <w:rPr>
                <w:rFonts w:ascii="Calibri" w:hAnsi="Calibri" w:cs="Calibri"/>
                <w:b/>
                <w:bCs/>
                <w:color w:val="000000"/>
                <w:sz w:val="18"/>
                <w:szCs w:val="18"/>
              </w:rPr>
            </w:pPr>
            <w:r w:rsidRPr="000A3C73">
              <w:rPr>
                <w:rFonts w:ascii="Calibri" w:hAnsi="Calibri" w:cs="Calibri"/>
                <w:b/>
                <w:bCs/>
                <w:color w:val="000000"/>
                <w:sz w:val="18"/>
                <w:szCs w:val="18"/>
              </w:rPr>
              <w:t>% of GEF amount actual</w:t>
            </w:r>
          </w:p>
        </w:tc>
        <w:tc>
          <w:tcPr>
            <w:tcW w:w="353" w:type="pct"/>
            <w:tcBorders>
              <w:top w:val="single" w:sz="6" w:space="0" w:color="auto"/>
              <w:left w:val="single" w:sz="6" w:space="0" w:color="auto"/>
              <w:bottom w:val="single" w:sz="6" w:space="0" w:color="auto"/>
              <w:right w:val="single" w:sz="6" w:space="0" w:color="auto"/>
            </w:tcBorders>
            <w:shd w:val="solid" w:color="C0C0C0" w:fill="auto"/>
          </w:tcPr>
          <w:p w:rsidR="008A2117" w:rsidRPr="000A3C73" w:rsidRDefault="00A972C2" w:rsidP="00DC4810">
            <w:pPr>
              <w:autoSpaceDE w:val="0"/>
              <w:autoSpaceDN w:val="0"/>
              <w:adjustRightInd w:val="0"/>
              <w:jc w:val="center"/>
              <w:rPr>
                <w:rFonts w:ascii="Calibri" w:hAnsi="Calibri" w:cs="Calibri"/>
                <w:b/>
                <w:bCs/>
                <w:color w:val="000000"/>
                <w:sz w:val="18"/>
                <w:szCs w:val="18"/>
              </w:rPr>
            </w:pPr>
            <w:r w:rsidRPr="000A3C73">
              <w:rPr>
                <w:rFonts w:ascii="Calibri" w:hAnsi="Calibri" w:cs="Calibri"/>
                <w:b/>
                <w:bCs/>
                <w:color w:val="000000"/>
                <w:sz w:val="18"/>
                <w:szCs w:val="18"/>
              </w:rPr>
              <w:t xml:space="preserve">% </w:t>
            </w:r>
            <w:r w:rsidR="008A2117" w:rsidRPr="000A3C73">
              <w:rPr>
                <w:rFonts w:ascii="Calibri" w:hAnsi="Calibri" w:cs="Calibri"/>
                <w:b/>
                <w:bCs/>
                <w:color w:val="000000"/>
                <w:sz w:val="18"/>
                <w:szCs w:val="18"/>
              </w:rPr>
              <w:t>Difference</w:t>
            </w:r>
          </w:p>
        </w:tc>
      </w:tr>
      <w:tr w:rsidR="008A2117" w:rsidRPr="000A3C73" w:rsidTr="00DC4810">
        <w:trPr>
          <w:trHeight w:val="399"/>
        </w:trPr>
        <w:tc>
          <w:tcPr>
            <w:tcW w:w="1443" w:type="pct"/>
            <w:tcBorders>
              <w:top w:val="single" w:sz="6" w:space="0" w:color="auto"/>
              <w:left w:val="single" w:sz="6" w:space="0" w:color="auto"/>
              <w:bottom w:val="single" w:sz="6" w:space="0" w:color="auto"/>
              <w:right w:val="single" w:sz="6" w:space="0" w:color="auto"/>
            </w:tcBorders>
          </w:tcPr>
          <w:p w:rsidR="008A2117" w:rsidRPr="00FC657B" w:rsidRDefault="008A2117" w:rsidP="00DC4810">
            <w:pPr>
              <w:autoSpaceDE w:val="0"/>
              <w:autoSpaceDN w:val="0"/>
              <w:adjustRightInd w:val="0"/>
              <w:rPr>
                <w:rFonts w:ascii="Calibri" w:hAnsi="Calibri" w:cs="Calibri"/>
                <w:color w:val="000000"/>
                <w:sz w:val="18"/>
                <w:szCs w:val="18"/>
              </w:rPr>
            </w:pPr>
            <w:r w:rsidRPr="000A3C73">
              <w:rPr>
                <w:rFonts w:ascii="Calibri" w:hAnsi="Calibri" w:cs="Calibri"/>
                <w:b/>
                <w:color w:val="000000"/>
                <w:sz w:val="18"/>
                <w:szCs w:val="18"/>
              </w:rPr>
              <w:t>Outcome 1:</w:t>
            </w:r>
            <w:r w:rsidRPr="0089284E">
              <w:rPr>
                <w:rFonts w:ascii="Calibri" w:hAnsi="Calibri" w:cs="Calibri"/>
                <w:bCs/>
                <w:color w:val="000000"/>
                <w:sz w:val="18"/>
                <w:szCs w:val="18"/>
              </w:rPr>
              <w:t>Land and Water / Nature Resource Management</w:t>
            </w:r>
          </w:p>
        </w:tc>
        <w:tc>
          <w:tcPr>
            <w:tcW w:w="656" w:type="pct"/>
            <w:tcBorders>
              <w:top w:val="single" w:sz="6" w:space="0" w:color="auto"/>
              <w:left w:val="single" w:sz="6" w:space="0" w:color="auto"/>
              <w:bottom w:val="single" w:sz="6" w:space="0" w:color="auto"/>
              <w:right w:val="single" w:sz="6" w:space="0" w:color="auto"/>
            </w:tcBorders>
          </w:tcPr>
          <w:p w:rsidR="008A2117" w:rsidRPr="00D77DF1" w:rsidRDefault="00A47231" w:rsidP="00DC4810">
            <w:pPr>
              <w:autoSpaceDE w:val="0"/>
              <w:autoSpaceDN w:val="0"/>
              <w:adjustRightInd w:val="0"/>
              <w:jc w:val="right"/>
              <w:rPr>
                <w:rFonts w:ascii="Calibri" w:hAnsi="Calibri" w:cs="Calibri"/>
                <w:color w:val="000000"/>
                <w:sz w:val="18"/>
                <w:szCs w:val="18"/>
              </w:rPr>
            </w:pPr>
            <w:r w:rsidRPr="00FC657B">
              <w:rPr>
                <w:rFonts w:ascii="Calibri" w:hAnsi="Calibri" w:cs="Calibri"/>
                <w:color w:val="000000"/>
                <w:sz w:val="18"/>
                <w:szCs w:val="18"/>
              </w:rPr>
              <w:t>0.00</w:t>
            </w:r>
          </w:p>
        </w:tc>
        <w:tc>
          <w:tcPr>
            <w:tcW w:w="829" w:type="pct"/>
            <w:tcBorders>
              <w:top w:val="single" w:sz="6" w:space="0" w:color="auto"/>
              <w:left w:val="single" w:sz="6" w:space="0" w:color="auto"/>
              <w:bottom w:val="single" w:sz="6" w:space="0" w:color="auto"/>
              <w:right w:val="single" w:sz="6" w:space="0" w:color="auto"/>
            </w:tcBorders>
          </w:tcPr>
          <w:p w:rsidR="008A2117" w:rsidRPr="005E69C8" w:rsidRDefault="00A47231" w:rsidP="00DC4810">
            <w:pPr>
              <w:autoSpaceDE w:val="0"/>
              <w:autoSpaceDN w:val="0"/>
              <w:adjustRightInd w:val="0"/>
              <w:jc w:val="right"/>
              <w:rPr>
                <w:rFonts w:ascii="Calibri" w:hAnsi="Calibri" w:cs="Calibri"/>
                <w:color w:val="000000"/>
                <w:sz w:val="18"/>
                <w:szCs w:val="18"/>
              </w:rPr>
            </w:pPr>
            <w:r w:rsidRPr="00CD42DE">
              <w:rPr>
                <w:rFonts w:ascii="Calibri" w:hAnsi="Calibri" w:cs="Calibri"/>
                <w:color w:val="000000"/>
                <w:sz w:val="18"/>
                <w:szCs w:val="18"/>
              </w:rPr>
              <w:t>0.0</w:t>
            </w:r>
            <w:r w:rsidR="00A972C2" w:rsidRPr="00AA7D1F">
              <w:rPr>
                <w:rFonts w:ascii="Calibri" w:hAnsi="Calibri" w:cs="Calibri"/>
                <w:color w:val="000000"/>
                <w:sz w:val="18"/>
                <w:szCs w:val="18"/>
              </w:rPr>
              <w:t>%</w:t>
            </w:r>
          </w:p>
        </w:tc>
        <w:tc>
          <w:tcPr>
            <w:tcW w:w="614" w:type="pct"/>
            <w:tcBorders>
              <w:top w:val="single" w:sz="6" w:space="0" w:color="auto"/>
              <w:left w:val="single" w:sz="6" w:space="0" w:color="auto"/>
              <w:bottom w:val="single" w:sz="6" w:space="0" w:color="auto"/>
              <w:right w:val="single" w:sz="6" w:space="0" w:color="auto"/>
            </w:tcBorders>
          </w:tcPr>
          <w:p w:rsidR="008A2117" w:rsidRPr="008B7E9A" w:rsidRDefault="00A47231" w:rsidP="00DC4810">
            <w:pPr>
              <w:autoSpaceDE w:val="0"/>
              <w:autoSpaceDN w:val="0"/>
              <w:adjustRightInd w:val="0"/>
              <w:jc w:val="right"/>
              <w:rPr>
                <w:rFonts w:ascii="Calibri" w:hAnsi="Calibri" w:cs="Calibri"/>
                <w:color w:val="000000"/>
                <w:sz w:val="18"/>
                <w:szCs w:val="18"/>
              </w:rPr>
            </w:pPr>
            <w:r w:rsidRPr="00850A96">
              <w:rPr>
                <w:rFonts w:ascii="Calibri" w:hAnsi="Calibri" w:cs="Calibri"/>
                <w:color w:val="000000"/>
                <w:sz w:val="18"/>
                <w:szCs w:val="18"/>
              </w:rPr>
              <w:t>0.00</w:t>
            </w:r>
          </w:p>
        </w:tc>
        <w:tc>
          <w:tcPr>
            <w:tcW w:w="353" w:type="pct"/>
            <w:tcBorders>
              <w:top w:val="single" w:sz="6" w:space="0" w:color="auto"/>
              <w:left w:val="single" w:sz="6" w:space="0" w:color="auto"/>
              <w:bottom w:val="single" w:sz="6" w:space="0" w:color="auto"/>
              <w:right w:val="single" w:sz="6" w:space="0" w:color="auto"/>
            </w:tcBorders>
          </w:tcPr>
          <w:p w:rsidR="008A2117" w:rsidRPr="00B71D27" w:rsidRDefault="00A47231" w:rsidP="00DC4810">
            <w:pPr>
              <w:autoSpaceDE w:val="0"/>
              <w:autoSpaceDN w:val="0"/>
              <w:adjustRightInd w:val="0"/>
              <w:jc w:val="right"/>
              <w:rPr>
                <w:rFonts w:ascii="Calibri" w:hAnsi="Calibri" w:cs="Calibri"/>
                <w:color w:val="000000"/>
                <w:sz w:val="18"/>
                <w:szCs w:val="18"/>
              </w:rPr>
            </w:pPr>
            <w:r w:rsidRPr="000126EE">
              <w:rPr>
                <w:rFonts w:ascii="Calibri" w:hAnsi="Calibri" w:cs="Calibri"/>
                <w:color w:val="000000"/>
                <w:sz w:val="18"/>
                <w:szCs w:val="18"/>
              </w:rPr>
              <w:t>N/A</w:t>
            </w:r>
          </w:p>
        </w:tc>
        <w:tc>
          <w:tcPr>
            <w:tcW w:w="752" w:type="pct"/>
            <w:tcBorders>
              <w:top w:val="single" w:sz="6" w:space="0" w:color="auto"/>
              <w:left w:val="single" w:sz="6" w:space="0" w:color="auto"/>
              <w:bottom w:val="single" w:sz="6" w:space="0" w:color="auto"/>
              <w:right w:val="single" w:sz="6" w:space="0" w:color="auto"/>
            </w:tcBorders>
          </w:tcPr>
          <w:p w:rsidR="008A2117" w:rsidRPr="002A69B7" w:rsidRDefault="00A47231" w:rsidP="00DC4810">
            <w:pPr>
              <w:autoSpaceDE w:val="0"/>
              <w:autoSpaceDN w:val="0"/>
              <w:adjustRightInd w:val="0"/>
              <w:jc w:val="right"/>
              <w:rPr>
                <w:rFonts w:ascii="Calibri" w:hAnsi="Calibri" w:cs="Calibri"/>
                <w:color w:val="000000"/>
                <w:sz w:val="18"/>
                <w:szCs w:val="18"/>
              </w:rPr>
            </w:pPr>
            <w:r w:rsidRPr="00595792">
              <w:rPr>
                <w:rFonts w:ascii="Calibri" w:hAnsi="Calibri" w:cs="Calibri"/>
                <w:color w:val="000000"/>
                <w:sz w:val="18"/>
                <w:szCs w:val="18"/>
              </w:rPr>
              <w:t>0.0</w:t>
            </w:r>
            <w:r w:rsidR="00A972C2" w:rsidRPr="00602E30">
              <w:rPr>
                <w:rFonts w:ascii="Calibri" w:hAnsi="Calibri" w:cs="Calibri"/>
                <w:color w:val="000000"/>
                <w:sz w:val="18"/>
                <w:szCs w:val="18"/>
              </w:rPr>
              <w:t>%</w:t>
            </w:r>
          </w:p>
        </w:tc>
        <w:tc>
          <w:tcPr>
            <w:tcW w:w="353" w:type="pct"/>
            <w:tcBorders>
              <w:top w:val="single" w:sz="6" w:space="0" w:color="auto"/>
              <w:left w:val="single" w:sz="6" w:space="0" w:color="auto"/>
              <w:bottom w:val="single" w:sz="6" w:space="0" w:color="auto"/>
              <w:right w:val="single" w:sz="6" w:space="0" w:color="auto"/>
            </w:tcBorders>
          </w:tcPr>
          <w:p w:rsidR="008A2117" w:rsidRPr="00C56966" w:rsidRDefault="00A47231" w:rsidP="00DC4810">
            <w:pPr>
              <w:autoSpaceDE w:val="0"/>
              <w:autoSpaceDN w:val="0"/>
              <w:adjustRightInd w:val="0"/>
              <w:jc w:val="right"/>
              <w:rPr>
                <w:rFonts w:ascii="Calibri" w:hAnsi="Calibri" w:cs="Calibri"/>
                <w:color w:val="000000"/>
                <w:sz w:val="18"/>
                <w:szCs w:val="18"/>
              </w:rPr>
            </w:pPr>
            <w:r w:rsidRPr="002C744B">
              <w:rPr>
                <w:rFonts w:ascii="Calibri" w:hAnsi="Calibri" w:cs="Calibri"/>
                <w:color w:val="000000"/>
                <w:sz w:val="18"/>
                <w:szCs w:val="18"/>
              </w:rPr>
              <w:t>N/A</w:t>
            </w:r>
          </w:p>
        </w:tc>
      </w:tr>
      <w:tr w:rsidR="008A2117" w:rsidRPr="000A3C73" w:rsidTr="00DC4810">
        <w:trPr>
          <w:trHeight w:val="174"/>
        </w:trPr>
        <w:tc>
          <w:tcPr>
            <w:tcW w:w="1443" w:type="pct"/>
            <w:tcBorders>
              <w:top w:val="single" w:sz="6" w:space="0" w:color="auto"/>
              <w:left w:val="single" w:sz="6" w:space="0" w:color="auto"/>
              <w:bottom w:val="single" w:sz="6" w:space="0" w:color="auto"/>
              <w:right w:val="single" w:sz="6" w:space="0" w:color="auto"/>
            </w:tcBorders>
          </w:tcPr>
          <w:p w:rsidR="008A2117" w:rsidRPr="00FC657B" w:rsidRDefault="008A2117" w:rsidP="00DC4810">
            <w:pPr>
              <w:autoSpaceDE w:val="0"/>
              <w:autoSpaceDN w:val="0"/>
              <w:adjustRightInd w:val="0"/>
              <w:rPr>
                <w:rFonts w:ascii="Calibri" w:hAnsi="Calibri" w:cs="Calibri"/>
                <w:color w:val="000000"/>
                <w:sz w:val="18"/>
                <w:szCs w:val="18"/>
              </w:rPr>
            </w:pPr>
            <w:r w:rsidRPr="000A3C73">
              <w:rPr>
                <w:rFonts w:ascii="Calibri" w:hAnsi="Calibri" w:cs="Calibri"/>
                <w:b/>
                <w:color w:val="000000"/>
                <w:sz w:val="18"/>
                <w:szCs w:val="18"/>
              </w:rPr>
              <w:t>Outcome 2:</w:t>
            </w:r>
            <w:r w:rsidRPr="0089284E">
              <w:rPr>
                <w:rFonts w:ascii="Calibri" w:hAnsi="Calibri" w:cs="Calibri"/>
                <w:color w:val="000000"/>
                <w:sz w:val="18"/>
                <w:szCs w:val="18"/>
              </w:rPr>
              <w:t>Productive Sector Improvement</w:t>
            </w:r>
          </w:p>
        </w:tc>
        <w:tc>
          <w:tcPr>
            <w:tcW w:w="656" w:type="pct"/>
            <w:tcBorders>
              <w:top w:val="single" w:sz="6" w:space="0" w:color="auto"/>
              <w:left w:val="single" w:sz="6" w:space="0" w:color="auto"/>
              <w:bottom w:val="single" w:sz="6" w:space="0" w:color="auto"/>
              <w:right w:val="single" w:sz="6" w:space="0" w:color="auto"/>
            </w:tcBorders>
          </w:tcPr>
          <w:p w:rsidR="008A2117" w:rsidRPr="00D77DF1" w:rsidRDefault="00A47231" w:rsidP="00DC4810">
            <w:pPr>
              <w:autoSpaceDE w:val="0"/>
              <w:autoSpaceDN w:val="0"/>
              <w:adjustRightInd w:val="0"/>
              <w:jc w:val="right"/>
              <w:rPr>
                <w:rFonts w:ascii="Calibri" w:hAnsi="Calibri" w:cs="Calibri"/>
                <w:color w:val="000000"/>
                <w:sz w:val="18"/>
                <w:szCs w:val="18"/>
              </w:rPr>
            </w:pPr>
            <w:r w:rsidRPr="00FC657B">
              <w:rPr>
                <w:rFonts w:ascii="Calibri" w:hAnsi="Calibri" w:cs="Calibri"/>
                <w:color w:val="000000"/>
                <w:sz w:val="18"/>
                <w:szCs w:val="18"/>
              </w:rPr>
              <w:t>0.00</w:t>
            </w:r>
          </w:p>
        </w:tc>
        <w:tc>
          <w:tcPr>
            <w:tcW w:w="829" w:type="pct"/>
            <w:tcBorders>
              <w:top w:val="single" w:sz="6" w:space="0" w:color="auto"/>
              <w:left w:val="single" w:sz="6" w:space="0" w:color="auto"/>
              <w:bottom w:val="single" w:sz="6" w:space="0" w:color="auto"/>
              <w:right w:val="single" w:sz="6" w:space="0" w:color="auto"/>
            </w:tcBorders>
          </w:tcPr>
          <w:p w:rsidR="008A2117" w:rsidRPr="005E69C8" w:rsidRDefault="00A47231" w:rsidP="00DC4810">
            <w:pPr>
              <w:autoSpaceDE w:val="0"/>
              <w:autoSpaceDN w:val="0"/>
              <w:adjustRightInd w:val="0"/>
              <w:jc w:val="right"/>
              <w:rPr>
                <w:rFonts w:ascii="Calibri" w:hAnsi="Calibri" w:cs="Calibri"/>
                <w:color w:val="000000"/>
                <w:sz w:val="18"/>
                <w:szCs w:val="18"/>
              </w:rPr>
            </w:pPr>
            <w:r w:rsidRPr="00CD42DE">
              <w:rPr>
                <w:rFonts w:ascii="Calibri" w:hAnsi="Calibri" w:cs="Calibri"/>
                <w:color w:val="000000"/>
                <w:sz w:val="18"/>
                <w:szCs w:val="18"/>
              </w:rPr>
              <w:t>0.0</w:t>
            </w:r>
            <w:r w:rsidR="00A972C2" w:rsidRPr="00AA7D1F">
              <w:rPr>
                <w:rFonts w:ascii="Calibri" w:hAnsi="Calibri" w:cs="Calibri"/>
                <w:color w:val="000000"/>
                <w:sz w:val="18"/>
                <w:szCs w:val="18"/>
              </w:rPr>
              <w:t>%</w:t>
            </w:r>
          </w:p>
        </w:tc>
        <w:tc>
          <w:tcPr>
            <w:tcW w:w="614" w:type="pct"/>
            <w:tcBorders>
              <w:top w:val="single" w:sz="6" w:space="0" w:color="auto"/>
              <w:left w:val="single" w:sz="6" w:space="0" w:color="auto"/>
              <w:bottom w:val="single" w:sz="6" w:space="0" w:color="auto"/>
              <w:right w:val="single" w:sz="6" w:space="0" w:color="auto"/>
            </w:tcBorders>
          </w:tcPr>
          <w:p w:rsidR="008A2117" w:rsidRPr="008B7E9A" w:rsidRDefault="00A47231" w:rsidP="00DC4810">
            <w:pPr>
              <w:autoSpaceDE w:val="0"/>
              <w:autoSpaceDN w:val="0"/>
              <w:adjustRightInd w:val="0"/>
              <w:jc w:val="right"/>
              <w:rPr>
                <w:rFonts w:ascii="Calibri" w:hAnsi="Calibri" w:cs="Calibri"/>
                <w:color w:val="000000"/>
                <w:sz w:val="18"/>
                <w:szCs w:val="18"/>
              </w:rPr>
            </w:pPr>
            <w:r w:rsidRPr="00850A96">
              <w:rPr>
                <w:rFonts w:ascii="Calibri" w:hAnsi="Calibri" w:cs="Calibri"/>
                <w:color w:val="000000"/>
                <w:sz w:val="18"/>
                <w:szCs w:val="18"/>
              </w:rPr>
              <w:t>0.00</w:t>
            </w:r>
          </w:p>
        </w:tc>
        <w:tc>
          <w:tcPr>
            <w:tcW w:w="353" w:type="pct"/>
            <w:tcBorders>
              <w:top w:val="single" w:sz="6" w:space="0" w:color="auto"/>
              <w:left w:val="single" w:sz="6" w:space="0" w:color="auto"/>
              <w:bottom w:val="single" w:sz="6" w:space="0" w:color="auto"/>
              <w:right w:val="single" w:sz="6" w:space="0" w:color="auto"/>
            </w:tcBorders>
          </w:tcPr>
          <w:p w:rsidR="008A2117" w:rsidRPr="00B71D27" w:rsidRDefault="00A47231" w:rsidP="00DC4810">
            <w:pPr>
              <w:autoSpaceDE w:val="0"/>
              <w:autoSpaceDN w:val="0"/>
              <w:adjustRightInd w:val="0"/>
              <w:jc w:val="right"/>
              <w:rPr>
                <w:rFonts w:ascii="Calibri" w:hAnsi="Calibri" w:cs="Calibri"/>
                <w:color w:val="000000"/>
                <w:sz w:val="18"/>
                <w:szCs w:val="18"/>
              </w:rPr>
            </w:pPr>
            <w:r w:rsidRPr="000126EE">
              <w:rPr>
                <w:rFonts w:ascii="Calibri" w:hAnsi="Calibri" w:cs="Calibri"/>
                <w:color w:val="000000"/>
                <w:sz w:val="18"/>
                <w:szCs w:val="18"/>
              </w:rPr>
              <w:t>N/A</w:t>
            </w:r>
          </w:p>
        </w:tc>
        <w:tc>
          <w:tcPr>
            <w:tcW w:w="752" w:type="pct"/>
            <w:tcBorders>
              <w:top w:val="single" w:sz="6" w:space="0" w:color="auto"/>
              <w:left w:val="single" w:sz="6" w:space="0" w:color="auto"/>
              <w:bottom w:val="single" w:sz="6" w:space="0" w:color="auto"/>
              <w:right w:val="single" w:sz="6" w:space="0" w:color="auto"/>
            </w:tcBorders>
          </w:tcPr>
          <w:p w:rsidR="008A2117" w:rsidRPr="002A69B7" w:rsidRDefault="00A47231" w:rsidP="00DC4810">
            <w:pPr>
              <w:autoSpaceDE w:val="0"/>
              <w:autoSpaceDN w:val="0"/>
              <w:adjustRightInd w:val="0"/>
              <w:jc w:val="right"/>
              <w:rPr>
                <w:rFonts w:ascii="Calibri" w:hAnsi="Calibri" w:cs="Calibri"/>
                <w:color w:val="000000"/>
                <w:sz w:val="18"/>
                <w:szCs w:val="18"/>
              </w:rPr>
            </w:pPr>
            <w:r w:rsidRPr="00595792">
              <w:rPr>
                <w:rFonts w:ascii="Calibri" w:hAnsi="Calibri" w:cs="Calibri"/>
                <w:color w:val="000000"/>
                <w:sz w:val="18"/>
                <w:szCs w:val="18"/>
              </w:rPr>
              <w:t>0.0</w:t>
            </w:r>
            <w:r w:rsidR="00A972C2" w:rsidRPr="00602E30">
              <w:rPr>
                <w:rFonts w:ascii="Calibri" w:hAnsi="Calibri" w:cs="Calibri"/>
                <w:color w:val="000000"/>
                <w:sz w:val="18"/>
                <w:szCs w:val="18"/>
              </w:rPr>
              <w:t>%</w:t>
            </w:r>
          </w:p>
        </w:tc>
        <w:tc>
          <w:tcPr>
            <w:tcW w:w="353" w:type="pct"/>
            <w:tcBorders>
              <w:top w:val="single" w:sz="6" w:space="0" w:color="auto"/>
              <w:left w:val="single" w:sz="6" w:space="0" w:color="auto"/>
              <w:bottom w:val="single" w:sz="6" w:space="0" w:color="auto"/>
              <w:right w:val="single" w:sz="6" w:space="0" w:color="auto"/>
            </w:tcBorders>
          </w:tcPr>
          <w:p w:rsidR="008A2117" w:rsidRPr="00C56966" w:rsidRDefault="00A47231" w:rsidP="00DC4810">
            <w:pPr>
              <w:autoSpaceDE w:val="0"/>
              <w:autoSpaceDN w:val="0"/>
              <w:adjustRightInd w:val="0"/>
              <w:jc w:val="right"/>
              <w:rPr>
                <w:rFonts w:ascii="Calibri" w:hAnsi="Calibri" w:cs="Calibri"/>
                <w:color w:val="000000"/>
                <w:sz w:val="18"/>
                <w:szCs w:val="18"/>
              </w:rPr>
            </w:pPr>
            <w:r w:rsidRPr="002C744B">
              <w:rPr>
                <w:rFonts w:ascii="Calibri" w:hAnsi="Calibri" w:cs="Calibri"/>
                <w:color w:val="000000"/>
                <w:sz w:val="18"/>
                <w:szCs w:val="18"/>
              </w:rPr>
              <w:t>N/A</w:t>
            </w:r>
          </w:p>
        </w:tc>
      </w:tr>
      <w:tr w:rsidR="008A2117" w:rsidRPr="000A3C73" w:rsidTr="00DC4810">
        <w:trPr>
          <w:trHeight w:val="69"/>
        </w:trPr>
        <w:tc>
          <w:tcPr>
            <w:tcW w:w="1443" w:type="pct"/>
            <w:tcBorders>
              <w:top w:val="single" w:sz="6" w:space="0" w:color="auto"/>
              <w:left w:val="single" w:sz="6" w:space="0" w:color="auto"/>
              <w:bottom w:val="single" w:sz="6" w:space="0" w:color="auto"/>
              <w:right w:val="single" w:sz="6" w:space="0" w:color="auto"/>
            </w:tcBorders>
          </w:tcPr>
          <w:p w:rsidR="008A2117" w:rsidRPr="00FC657B" w:rsidRDefault="008A2117" w:rsidP="00DC4810">
            <w:pPr>
              <w:autoSpaceDE w:val="0"/>
              <w:autoSpaceDN w:val="0"/>
              <w:adjustRightInd w:val="0"/>
              <w:rPr>
                <w:rFonts w:ascii="Calibri" w:hAnsi="Calibri" w:cs="Calibri"/>
                <w:color w:val="000000"/>
                <w:sz w:val="18"/>
                <w:szCs w:val="18"/>
              </w:rPr>
            </w:pPr>
            <w:r w:rsidRPr="000A3C73">
              <w:rPr>
                <w:rFonts w:ascii="Calibri" w:hAnsi="Calibri" w:cs="Calibri"/>
                <w:b/>
                <w:color w:val="000000"/>
                <w:sz w:val="18"/>
                <w:szCs w:val="18"/>
              </w:rPr>
              <w:t>Outcome 3:</w:t>
            </w:r>
            <w:r w:rsidRPr="0089284E">
              <w:rPr>
                <w:rFonts w:ascii="Calibri" w:hAnsi="Calibri" w:cs="Calibri"/>
                <w:color w:val="000000"/>
                <w:sz w:val="18"/>
                <w:szCs w:val="18"/>
              </w:rPr>
              <w:t>Protected Areas Strengthening / Biodiversity Conservation</w:t>
            </w:r>
          </w:p>
        </w:tc>
        <w:tc>
          <w:tcPr>
            <w:tcW w:w="656" w:type="pct"/>
            <w:tcBorders>
              <w:top w:val="single" w:sz="6" w:space="0" w:color="auto"/>
              <w:left w:val="single" w:sz="6" w:space="0" w:color="auto"/>
              <w:bottom w:val="single" w:sz="6" w:space="0" w:color="auto"/>
              <w:right w:val="single" w:sz="6" w:space="0" w:color="auto"/>
            </w:tcBorders>
          </w:tcPr>
          <w:p w:rsidR="008A2117" w:rsidRPr="00D77DF1" w:rsidRDefault="00772CD3" w:rsidP="00DC4810">
            <w:pPr>
              <w:autoSpaceDE w:val="0"/>
              <w:autoSpaceDN w:val="0"/>
              <w:adjustRightInd w:val="0"/>
              <w:jc w:val="right"/>
              <w:rPr>
                <w:rFonts w:ascii="Calibri" w:hAnsi="Calibri" w:cs="Calibri"/>
                <w:color w:val="000000"/>
                <w:sz w:val="18"/>
                <w:szCs w:val="18"/>
              </w:rPr>
            </w:pPr>
            <w:r w:rsidRPr="00FC657B">
              <w:rPr>
                <w:rFonts w:ascii="Calibri" w:hAnsi="Calibri" w:cs="Calibri"/>
                <w:color w:val="000000"/>
                <w:sz w:val="18"/>
                <w:szCs w:val="18"/>
              </w:rPr>
              <w:t>0.39</w:t>
            </w:r>
          </w:p>
        </w:tc>
        <w:tc>
          <w:tcPr>
            <w:tcW w:w="829" w:type="pct"/>
            <w:tcBorders>
              <w:top w:val="single" w:sz="6" w:space="0" w:color="auto"/>
              <w:left w:val="single" w:sz="6" w:space="0" w:color="auto"/>
              <w:bottom w:val="single" w:sz="6" w:space="0" w:color="auto"/>
              <w:right w:val="single" w:sz="6" w:space="0" w:color="auto"/>
            </w:tcBorders>
          </w:tcPr>
          <w:p w:rsidR="008A2117" w:rsidRPr="00AA7D1F" w:rsidRDefault="00A972C2" w:rsidP="00DC4810">
            <w:pPr>
              <w:autoSpaceDE w:val="0"/>
              <w:autoSpaceDN w:val="0"/>
              <w:adjustRightInd w:val="0"/>
              <w:jc w:val="right"/>
              <w:rPr>
                <w:rFonts w:ascii="Calibri" w:hAnsi="Calibri" w:cs="Calibri"/>
                <w:color w:val="000000"/>
                <w:sz w:val="18"/>
                <w:szCs w:val="18"/>
              </w:rPr>
            </w:pPr>
            <w:r w:rsidRPr="00CD42DE">
              <w:rPr>
                <w:rFonts w:ascii="Calibri" w:hAnsi="Calibri" w:cs="Calibri"/>
                <w:color w:val="000000"/>
                <w:sz w:val="18"/>
                <w:szCs w:val="18"/>
              </w:rPr>
              <w:t>24.2%</w:t>
            </w:r>
          </w:p>
        </w:tc>
        <w:tc>
          <w:tcPr>
            <w:tcW w:w="614" w:type="pct"/>
            <w:tcBorders>
              <w:top w:val="single" w:sz="6" w:space="0" w:color="auto"/>
              <w:left w:val="single" w:sz="6" w:space="0" w:color="auto"/>
              <w:bottom w:val="single" w:sz="6" w:space="0" w:color="auto"/>
              <w:right w:val="single" w:sz="6" w:space="0" w:color="auto"/>
            </w:tcBorders>
          </w:tcPr>
          <w:p w:rsidR="008A2117" w:rsidRPr="00850A96" w:rsidRDefault="00A972C2" w:rsidP="00DC4810">
            <w:pPr>
              <w:autoSpaceDE w:val="0"/>
              <w:autoSpaceDN w:val="0"/>
              <w:adjustRightInd w:val="0"/>
              <w:jc w:val="right"/>
              <w:rPr>
                <w:rFonts w:ascii="Calibri" w:hAnsi="Calibri" w:cs="Calibri"/>
                <w:color w:val="000000"/>
                <w:sz w:val="18"/>
                <w:szCs w:val="18"/>
              </w:rPr>
            </w:pPr>
            <w:r w:rsidRPr="005E69C8">
              <w:rPr>
                <w:rFonts w:ascii="Calibri" w:hAnsi="Calibri" w:cs="Calibri"/>
                <w:color w:val="000000"/>
                <w:sz w:val="18"/>
                <w:szCs w:val="18"/>
              </w:rPr>
              <w:t>0.32</w:t>
            </w:r>
          </w:p>
        </w:tc>
        <w:tc>
          <w:tcPr>
            <w:tcW w:w="353" w:type="pct"/>
            <w:tcBorders>
              <w:top w:val="single" w:sz="6" w:space="0" w:color="auto"/>
              <w:left w:val="single" w:sz="6" w:space="0" w:color="auto"/>
              <w:bottom w:val="single" w:sz="6" w:space="0" w:color="auto"/>
              <w:right w:val="single" w:sz="6" w:space="0" w:color="auto"/>
            </w:tcBorders>
          </w:tcPr>
          <w:p w:rsidR="008A2117" w:rsidRPr="00595792" w:rsidRDefault="00EB6310" w:rsidP="00DC4810">
            <w:pPr>
              <w:autoSpaceDE w:val="0"/>
              <w:autoSpaceDN w:val="0"/>
              <w:adjustRightInd w:val="0"/>
              <w:jc w:val="right"/>
              <w:rPr>
                <w:rFonts w:ascii="Calibri" w:hAnsi="Calibri" w:cs="Calibri"/>
                <w:color w:val="000000"/>
                <w:sz w:val="18"/>
                <w:szCs w:val="18"/>
              </w:rPr>
            </w:pPr>
            <w:r w:rsidRPr="008B7E9A">
              <w:rPr>
                <w:rFonts w:ascii="Calibri" w:hAnsi="Calibri" w:cs="Calibri"/>
                <w:color w:val="000000"/>
                <w:sz w:val="18"/>
                <w:szCs w:val="18"/>
              </w:rPr>
              <w:t>(</w:t>
            </w:r>
            <w:r w:rsidR="00A972C2" w:rsidRPr="000126EE">
              <w:rPr>
                <w:rFonts w:ascii="Calibri" w:hAnsi="Calibri" w:cs="Calibri"/>
                <w:color w:val="000000"/>
                <w:sz w:val="18"/>
                <w:szCs w:val="18"/>
              </w:rPr>
              <w:t>0.07</w:t>
            </w:r>
            <w:r w:rsidRPr="00B71D27">
              <w:rPr>
                <w:rFonts w:ascii="Calibri" w:hAnsi="Calibri" w:cs="Calibri"/>
                <w:color w:val="000000"/>
                <w:sz w:val="18"/>
                <w:szCs w:val="18"/>
              </w:rPr>
              <w:t>)</w:t>
            </w:r>
          </w:p>
        </w:tc>
        <w:tc>
          <w:tcPr>
            <w:tcW w:w="752" w:type="pct"/>
            <w:tcBorders>
              <w:top w:val="single" w:sz="6" w:space="0" w:color="auto"/>
              <w:left w:val="single" w:sz="6" w:space="0" w:color="auto"/>
              <w:bottom w:val="single" w:sz="6" w:space="0" w:color="auto"/>
              <w:right w:val="single" w:sz="6" w:space="0" w:color="auto"/>
            </w:tcBorders>
          </w:tcPr>
          <w:p w:rsidR="008A2117" w:rsidRPr="002A69B7" w:rsidRDefault="0023099D" w:rsidP="00DC4810">
            <w:pPr>
              <w:autoSpaceDE w:val="0"/>
              <w:autoSpaceDN w:val="0"/>
              <w:adjustRightInd w:val="0"/>
              <w:jc w:val="right"/>
              <w:rPr>
                <w:rFonts w:ascii="Calibri" w:hAnsi="Calibri" w:cs="Calibri"/>
                <w:color w:val="000000"/>
                <w:sz w:val="18"/>
                <w:szCs w:val="18"/>
              </w:rPr>
            </w:pPr>
            <w:r w:rsidRPr="00602E30">
              <w:rPr>
                <w:rFonts w:ascii="Calibri" w:hAnsi="Calibri" w:cs="Calibri"/>
                <w:color w:val="000000"/>
                <w:sz w:val="18"/>
                <w:szCs w:val="18"/>
              </w:rPr>
              <w:t>20.7%</w:t>
            </w:r>
          </w:p>
        </w:tc>
        <w:tc>
          <w:tcPr>
            <w:tcW w:w="353" w:type="pct"/>
            <w:tcBorders>
              <w:top w:val="single" w:sz="6" w:space="0" w:color="auto"/>
              <w:left w:val="single" w:sz="6" w:space="0" w:color="auto"/>
              <w:bottom w:val="single" w:sz="6" w:space="0" w:color="auto"/>
              <w:right w:val="single" w:sz="6" w:space="0" w:color="auto"/>
            </w:tcBorders>
          </w:tcPr>
          <w:p w:rsidR="008A2117" w:rsidRPr="000A3C73" w:rsidRDefault="00EB6310" w:rsidP="00DC4810">
            <w:pPr>
              <w:autoSpaceDE w:val="0"/>
              <w:autoSpaceDN w:val="0"/>
              <w:adjustRightInd w:val="0"/>
              <w:jc w:val="right"/>
              <w:rPr>
                <w:rFonts w:ascii="Calibri" w:hAnsi="Calibri" w:cs="Calibri"/>
                <w:color w:val="000000"/>
                <w:sz w:val="18"/>
                <w:szCs w:val="18"/>
              </w:rPr>
            </w:pPr>
            <w:r w:rsidRPr="002C744B">
              <w:rPr>
                <w:rFonts w:ascii="Calibri" w:hAnsi="Calibri" w:cs="Calibri"/>
                <w:color w:val="000000"/>
                <w:sz w:val="18"/>
                <w:szCs w:val="18"/>
              </w:rPr>
              <w:t>(</w:t>
            </w:r>
            <w:r w:rsidR="0023099D" w:rsidRPr="00C56966">
              <w:rPr>
                <w:rFonts w:ascii="Calibri" w:hAnsi="Calibri" w:cs="Calibri"/>
                <w:color w:val="000000"/>
                <w:sz w:val="18"/>
                <w:szCs w:val="18"/>
              </w:rPr>
              <w:t>3.5%</w:t>
            </w:r>
            <w:r w:rsidRPr="002D3949">
              <w:rPr>
                <w:rFonts w:ascii="Calibri" w:hAnsi="Calibri" w:cs="Calibri"/>
                <w:color w:val="000000"/>
                <w:sz w:val="18"/>
                <w:szCs w:val="18"/>
              </w:rPr>
              <w:t>)</w:t>
            </w:r>
          </w:p>
        </w:tc>
      </w:tr>
      <w:tr w:rsidR="008A2117" w:rsidRPr="000A3C73" w:rsidTr="00DC4810">
        <w:trPr>
          <w:trHeight w:val="69"/>
        </w:trPr>
        <w:tc>
          <w:tcPr>
            <w:tcW w:w="1443" w:type="pct"/>
            <w:tcBorders>
              <w:top w:val="single" w:sz="6" w:space="0" w:color="auto"/>
              <w:left w:val="single" w:sz="6" w:space="0" w:color="auto"/>
              <w:bottom w:val="single" w:sz="6" w:space="0" w:color="auto"/>
              <w:right w:val="single" w:sz="6" w:space="0" w:color="auto"/>
            </w:tcBorders>
          </w:tcPr>
          <w:p w:rsidR="008A2117" w:rsidRPr="00FC657B" w:rsidRDefault="008A2117" w:rsidP="00DC4810">
            <w:pPr>
              <w:autoSpaceDE w:val="0"/>
              <w:autoSpaceDN w:val="0"/>
              <w:adjustRightInd w:val="0"/>
              <w:rPr>
                <w:rFonts w:ascii="Calibri" w:hAnsi="Calibri" w:cs="Calibri"/>
                <w:color w:val="000000"/>
                <w:sz w:val="18"/>
                <w:szCs w:val="18"/>
              </w:rPr>
            </w:pPr>
            <w:r w:rsidRPr="000A3C73">
              <w:rPr>
                <w:rFonts w:ascii="Calibri" w:hAnsi="Calibri" w:cs="Calibri"/>
                <w:b/>
                <w:color w:val="000000"/>
                <w:sz w:val="18"/>
                <w:szCs w:val="18"/>
              </w:rPr>
              <w:t>Outcome 4:</w:t>
            </w:r>
            <w:r w:rsidRPr="0089284E">
              <w:rPr>
                <w:rFonts w:ascii="Calibri" w:hAnsi="Calibri" w:cs="Calibri"/>
                <w:color w:val="000000"/>
                <w:sz w:val="18"/>
                <w:szCs w:val="18"/>
              </w:rPr>
              <w:t>Transboundary Cooperation</w:t>
            </w:r>
          </w:p>
        </w:tc>
        <w:tc>
          <w:tcPr>
            <w:tcW w:w="656" w:type="pct"/>
            <w:tcBorders>
              <w:top w:val="single" w:sz="6" w:space="0" w:color="auto"/>
              <w:left w:val="single" w:sz="6" w:space="0" w:color="auto"/>
              <w:bottom w:val="single" w:sz="6" w:space="0" w:color="auto"/>
              <w:right w:val="single" w:sz="6" w:space="0" w:color="auto"/>
            </w:tcBorders>
          </w:tcPr>
          <w:p w:rsidR="008A2117" w:rsidRPr="00D77DF1" w:rsidRDefault="00772CD3" w:rsidP="00DC4810">
            <w:pPr>
              <w:autoSpaceDE w:val="0"/>
              <w:autoSpaceDN w:val="0"/>
              <w:adjustRightInd w:val="0"/>
              <w:jc w:val="right"/>
              <w:rPr>
                <w:rFonts w:ascii="Calibri" w:hAnsi="Calibri" w:cs="Calibri"/>
                <w:color w:val="000000"/>
                <w:sz w:val="18"/>
                <w:szCs w:val="18"/>
              </w:rPr>
            </w:pPr>
            <w:r w:rsidRPr="00FC657B">
              <w:rPr>
                <w:rFonts w:ascii="Calibri" w:hAnsi="Calibri" w:cs="Calibri"/>
                <w:color w:val="000000"/>
                <w:sz w:val="18"/>
                <w:szCs w:val="18"/>
              </w:rPr>
              <w:t>0.65</w:t>
            </w:r>
          </w:p>
        </w:tc>
        <w:tc>
          <w:tcPr>
            <w:tcW w:w="829" w:type="pct"/>
            <w:tcBorders>
              <w:top w:val="single" w:sz="6" w:space="0" w:color="auto"/>
              <w:left w:val="single" w:sz="6" w:space="0" w:color="auto"/>
              <w:bottom w:val="single" w:sz="6" w:space="0" w:color="auto"/>
              <w:right w:val="single" w:sz="6" w:space="0" w:color="auto"/>
            </w:tcBorders>
          </w:tcPr>
          <w:p w:rsidR="008A2117" w:rsidRPr="00AA7D1F" w:rsidRDefault="00A972C2" w:rsidP="00DC4810">
            <w:pPr>
              <w:autoSpaceDE w:val="0"/>
              <w:autoSpaceDN w:val="0"/>
              <w:adjustRightInd w:val="0"/>
              <w:jc w:val="right"/>
              <w:rPr>
                <w:rFonts w:ascii="Calibri" w:hAnsi="Calibri" w:cs="Calibri"/>
                <w:color w:val="000000"/>
                <w:sz w:val="18"/>
                <w:szCs w:val="18"/>
              </w:rPr>
            </w:pPr>
            <w:r w:rsidRPr="00CD42DE">
              <w:rPr>
                <w:rFonts w:ascii="Calibri" w:hAnsi="Calibri" w:cs="Calibri"/>
                <w:color w:val="000000"/>
                <w:sz w:val="18"/>
                <w:szCs w:val="18"/>
              </w:rPr>
              <w:t>40.6%</w:t>
            </w:r>
          </w:p>
        </w:tc>
        <w:tc>
          <w:tcPr>
            <w:tcW w:w="614" w:type="pct"/>
            <w:tcBorders>
              <w:top w:val="single" w:sz="6" w:space="0" w:color="auto"/>
              <w:left w:val="single" w:sz="6" w:space="0" w:color="auto"/>
              <w:bottom w:val="single" w:sz="6" w:space="0" w:color="auto"/>
              <w:right w:val="single" w:sz="6" w:space="0" w:color="auto"/>
            </w:tcBorders>
          </w:tcPr>
          <w:p w:rsidR="008A2117" w:rsidRPr="00850A96" w:rsidRDefault="00A972C2" w:rsidP="00DC4810">
            <w:pPr>
              <w:autoSpaceDE w:val="0"/>
              <w:autoSpaceDN w:val="0"/>
              <w:adjustRightInd w:val="0"/>
              <w:jc w:val="right"/>
              <w:rPr>
                <w:rFonts w:ascii="Calibri" w:hAnsi="Calibri" w:cs="Calibri"/>
                <w:color w:val="000000"/>
                <w:sz w:val="18"/>
                <w:szCs w:val="18"/>
              </w:rPr>
            </w:pPr>
            <w:r w:rsidRPr="005E69C8">
              <w:rPr>
                <w:rFonts w:ascii="Calibri" w:hAnsi="Calibri" w:cs="Calibri"/>
                <w:color w:val="000000"/>
                <w:sz w:val="18"/>
                <w:szCs w:val="18"/>
              </w:rPr>
              <w:t>0.62</w:t>
            </w:r>
          </w:p>
        </w:tc>
        <w:tc>
          <w:tcPr>
            <w:tcW w:w="353" w:type="pct"/>
            <w:tcBorders>
              <w:top w:val="single" w:sz="6" w:space="0" w:color="auto"/>
              <w:left w:val="single" w:sz="6" w:space="0" w:color="auto"/>
              <w:bottom w:val="single" w:sz="6" w:space="0" w:color="auto"/>
              <w:right w:val="single" w:sz="6" w:space="0" w:color="auto"/>
            </w:tcBorders>
          </w:tcPr>
          <w:p w:rsidR="008A2117" w:rsidRPr="00595792" w:rsidRDefault="00EB6310" w:rsidP="00DC4810">
            <w:pPr>
              <w:autoSpaceDE w:val="0"/>
              <w:autoSpaceDN w:val="0"/>
              <w:adjustRightInd w:val="0"/>
              <w:jc w:val="right"/>
              <w:rPr>
                <w:rFonts w:ascii="Calibri" w:hAnsi="Calibri" w:cs="Calibri"/>
                <w:color w:val="000000"/>
                <w:sz w:val="18"/>
                <w:szCs w:val="18"/>
              </w:rPr>
            </w:pPr>
            <w:r w:rsidRPr="008B7E9A">
              <w:rPr>
                <w:rFonts w:ascii="Calibri" w:hAnsi="Calibri" w:cs="Calibri"/>
                <w:color w:val="000000"/>
                <w:sz w:val="18"/>
                <w:szCs w:val="18"/>
              </w:rPr>
              <w:t>(</w:t>
            </w:r>
            <w:r w:rsidR="00A972C2" w:rsidRPr="000126EE">
              <w:rPr>
                <w:rFonts w:ascii="Calibri" w:hAnsi="Calibri" w:cs="Calibri"/>
                <w:color w:val="000000"/>
                <w:sz w:val="18"/>
                <w:szCs w:val="18"/>
              </w:rPr>
              <w:t>0.03</w:t>
            </w:r>
            <w:r w:rsidRPr="00B71D27">
              <w:rPr>
                <w:rFonts w:ascii="Calibri" w:hAnsi="Calibri" w:cs="Calibri"/>
                <w:color w:val="000000"/>
                <w:sz w:val="18"/>
                <w:szCs w:val="18"/>
              </w:rPr>
              <w:t>)</w:t>
            </w:r>
          </w:p>
        </w:tc>
        <w:tc>
          <w:tcPr>
            <w:tcW w:w="752" w:type="pct"/>
            <w:tcBorders>
              <w:top w:val="single" w:sz="6" w:space="0" w:color="auto"/>
              <w:left w:val="single" w:sz="6" w:space="0" w:color="auto"/>
              <w:bottom w:val="single" w:sz="6" w:space="0" w:color="auto"/>
              <w:right w:val="single" w:sz="6" w:space="0" w:color="auto"/>
            </w:tcBorders>
          </w:tcPr>
          <w:p w:rsidR="008A2117" w:rsidRPr="002A69B7" w:rsidRDefault="0023099D" w:rsidP="00DC4810">
            <w:pPr>
              <w:autoSpaceDE w:val="0"/>
              <w:autoSpaceDN w:val="0"/>
              <w:adjustRightInd w:val="0"/>
              <w:jc w:val="right"/>
              <w:rPr>
                <w:rFonts w:ascii="Calibri" w:hAnsi="Calibri" w:cs="Calibri"/>
                <w:color w:val="000000"/>
                <w:sz w:val="18"/>
                <w:szCs w:val="18"/>
              </w:rPr>
            </w:pPr>
            <w:r w:rsidRPr="00602E30">
              <w:rPr>
                <w:rFonts w:ascii="Calibri" w:hAnsi="Calibri" w:cs="Calibri"/>
                <w:color w:val="000000"/>
                <w:sz w:val="18"/>
                <w:szCs w:val="18"/>
              </w:rPr>
              <w:t>40.1%</w:t>
            </w:r>
          </w:p>
        </w:tc>
        <w:tc>
          <w:tcPr>
            <w:tcW w:w="353" w:type="pct"/>
            <w:tcBorders>
              <w:top w:val="single" w:sz="6" w:space="0" w:color="auto"/>
              <w:left w:val="single" w:sz="6" w:space="0" w:color="auto"/>
              <w:bottom w:val="single" w:sz="6" w:space="0" w:color="auto"/>
              <w:right w:val="single" w:sz="6" w:space="0" w:color="auto"/>
            </w:tcBorders>
          </w:tcPr>
          <w:p w:rsidR="008A2117" w:rsidRPr="000A3C73" w:rsidRDefault="00EB6310" w:rsidP="00DC4810">
            <w:pPr>
              <w:autoSpaceDE w:val="0"/>
              <w:autoSpaceDN w:val="0"/>
              <w:adjustRightInd w:val="0"/>
              <w:jc w:val="right"/>
              <w:rPr>
                <w:rFonts w:ascii="Calibri" w:hAnsi="Calibri" w:cs="Calibri"/>
                <w:color w:val="000000"/>
                <w:sz w:val="18"/>
                <w:szCs w:val="18"/>
              </w:rPr>
            </w:pPr>
            <w:r w:rsidRPr="002C744B">
              <w:rPr>
                <w:rFonts w:ascii="Calibri" w:hAnsi="Calibri" w:cs="Calibri"/>
                <w:color w:val="000000"/>
                <w:sz w:val="18"/>
                <w:szCs w:val="18"/>
              </w:rPr>
              <w:t>(</w:t>
            </w:r>
            <w:r w:rsidR="0023099D" w:rsidRPr="00C56966">
              <w:rPr>
                <w:rFonts w:ascii="Calibri" w:hAnsi="Calibri" w:cs="Calibri"/>
                <w:color w:val="000000"/>
                <w:sz w:val="18"/>
                <w:szCs w:val="18"/>
              </w:rPr>
              <w:t>0.5%</w:t>
            </w:r>
            <w:r w:rsidRPr="002D3949">
              <w:rPr>
                <w:rFonts w:ascii="Calibri" w:hAnsi="Calibri" w:cs="Calibri"/>
                <w:color w:val="000000"/>
                <w:sz w:val="18"/>
                <w:szCs w:val="18"/>
              </w:rPr>
              <w:t>)</w:t>
            </w:r>
          </w:p>
        </w:tc>
      </w:tr>
      <w:tr w:rsidR="008A2117" w:rsidRPr="000A3C73" w:rsidTr="00DC4810">
        <w:trPr>
          <w:trHeight w:val="69"/>
        </w:trPr>
        <w:tc>
          <w:tcPr>
            <w:tcW w:w="1443" w:type="pct"/>
            <w:tcBorders>
              <w:top w:val="single" w:sz="6" w:space="0" w:color="auto"/>
              <w:left w:val="single" w:sz="6" w:space="0" w:color="auto"/>
              <w:bottom w:val="single" w:sz="6" w:space="0" w:color="auto"/>
              <w:right w:val="single" w:sz="6" w:space="0" w:color="auto"/>
            </w:tcBorders>
          </w:tcPr>
          <w:p w:rsidR="008A2117" w:rsidRPr="000A3C73" w:rsidRDefault="008A2117" w:rsidP="00DC4810">
            <w:pPr>
              <w:autoSpaceDE w:val="0"/>
              <w:autoSpaceDN w:val="0"/>
              <w:adjustRightInd w:val="0"/>
              <w:rPr>
                <w:rFonts w:ascii="Calibri" w:hAnsi="Calibri" w:cs="Calibri"/>
                <w:color w:val="000000"/>
                <w:sz w:val="18"/>
                <w:szCs w:val="18"/>
              </w:rPr>
            </w:pPr>
            <w:r w:rsidRPr="000A3C73">
              <w:rPr>
                <w:rFonts w:ascii="Calibri" w:hAnsi="Calibri" w:cs="Calibri"/>
                <w:b/>
                <w:color w:val="000000"/>
                <w:sz w:val="18"/>
                <w:szCs w:val="18"/>
              </w:rPr>
              <w:t>Outcome 5:</w:t>
            </w:r>
            <w:r w:rsidRPr="000A3C73">
              <w:rPr>
                <w:rFonts w:ascii="Calibri" w:hAnsi="Calibri" w:cs="Calibri"/>
                <w:color w:val="000000"/>
                <w:sz w:val="18"/>
                <w:szCs w:val="18"/>
              </w:rPr>
              <w:t xml:space="preserve"> Lessons Learned and Adaptive Management</w:t>
            </w:r>
          </w:p>
        </w:tc>
        <w:tc>
          <w:tcPr>
            <w:tcW w:w="656" w:type="pct"/>
            <w:tcBorders>
              <w:top w:val="single" w:sz="6" w:space="0" w:color="auto"/>
              <w:left w:val="single" w:sz="6" w:space="0" w:color="auto"/>
              <w:bottom w:val="single" w:sz="6" w:space="0" w:color="auto"/>
              <w:right w:val="single" w:sz="6" w:space="0" w:color="auto"/>
            </w:tcBorders>
          </w:tcPr>
          <w:p w:rsidR="008A2117" w:rsidRPr="000A3C73" w:rsidRDefault="00772CD3" w:rsidP="00DC4810">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0.57</w:t>
            </w:r>
          </w:p>
        </w:tc>
        <w:tc>
          <w:tcPr>
            <w:tcW w:w="829" w:type="pct"/>
            <w:tcBorders>
              <w:top w:val="single" w:sz="6" w:space="0" w:color="auto"/>
              <w:left w:val="single" w:sz="6" w:space="0" w:color="auto"/>
              <w:bottom w:val="single" w:sz="6" w:space="0" w:color="auto"/>
              <w:right w:val="single" w:sz="6" w:space="0" w:color="auto"/>
            </w:tcBorders>
          </w:tcPr>
          <w:p w:rsidR="008A2117" w:rsidRPr="000A3C73" w:rsidRDefault="00A972C2" w:rsidP="00DC4810">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35.2%</w:t>
            </w:r>
          </w:p>
        </w:tc>
        <w:tc>
          <w:tcPr>
            <w:tcW w:w="614" w:type="pct"/>
            <w:tcBorders>
              <w:top w:val="single" w:sz="6" w:space="0" w:color="auto"/>
              <w:left w:val="single" w:sz="6" w:space="0" w:color="auto"/>
              <w:bottom w:val="single" w:sz="6" w:space="0" w:color="auto"/>
              <w:right w:val="single" w:sz="6" w:space="0" w:color="auto"/>
            </w:tcBorders>
          </w:tcPr>
          <w:p w:rsidR="008A2117" w:rsidRPr="000A3C73" w:rsidRDefault="00A972C2" w:rsidP="00DC4810">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0.55</w:t>
            </w:r>
          </w:p>
        </w:tc>
        <w:tc>
          <w:tcPr>
            <w:tcW w:w="353" w:type="pct"/>
            <w:tcBorders>
              <w:top w:val="single" w:sz="6" w:space="0" w:color="auto"/>
              <w:left w:val="single" w:sz="6" w:space="0" w:color="auto"/>
              <w:bottom w:val="single" w:sz="6" w:space="0" w:color="auto"/>
              <w:right w:val="single" w:sz="6" w:space="0" w:color="auto"/>
            </w:tcBorders>
          </w:tcPr>
          <w:p w:rsidR="008A2117" w:rsidRPr="000A3C73" w:rsidRDefault="00EB6310" w:rsidP="00DC4810">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w:t>
            </w:r>
            <w:r w:rsidR="00A972C2" w:rsidRPr="000A3C73">
              <w:rPr>
                <w:rFonts w:ascii="Calibri" w:hAnsi="Calibri" w:cs="Calibri"/>
                <w:color w:val="000000"/>
                <w:sz w:val="18"/>
                <w:szCs w:val="18"/>
              </w:rPr>
              <w:t>0.02</w:t>
            </w:r>
            <w:r w:rsidRPr="000A3C73">
              <w:rPr>
                <w:rFonts w:ascii="Calibri" w:hAnsi="Calibri" w:cs="Calibri"/>
                <w:color w:val="000000"/>
                <w:sz w:val="18"/>
                <w:szCs w:val="18"/>
              </w:rPr>
              <w:t>)</w:t>
            </w:r>
          </w:p>
        </w:tc>
        <w:tc>
          <w:tcPr>
            <w:tcW w:w="752" w:type="pct"/>
            <w:tcBorders>
              <w:top w:val="single" w:sz="6" w:space="0" w:color="auto"/>
              <w:left w:val="single" w:sz="6" w:space="0" w:color="auto"/>
              <w:bottom w:val="single" w:sz="6" w:space="0" w:color="auto"/>
              <w:right w:val="single" w:sz="6" w:space="0" w:color="auto"/>
            </w:tcBorders>
          </w:tcPr>
          <w:p w:rsidR="008A2117" w:rsidRPr="000A3C73" w:rsidRDefault="0023099D" w:rsidP="00DC4810">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35.1%</w:t>
            </w:r>
          </w:p>
        </w:tc>
        <w:tc>
          <w:tcPr>
            <w:tcW w:w="353" w:type="pct"/>
            <w:tcBorders>
              <w:top w:val="single" w:sz="6" w:space="0" w:color="auto"/>
              <w:left w:val="single" w:sz="6" w:space="0" w:color="auto"/>
              <w:bottom w:val="single" w:sz="6" w:space="0" w:color="auto"/>
              <w:right w:val="single" w:sz="6" w:space="0" w:color="auto"/>
            </w:tcBorders>
          </w:tcPr>
          <w:p w:rsidR="008A2117" w:rsidRPr="000A3C73" w:rsidRDefault="00EB6310" w:rsidP="00DC4810">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w:t>
            </w:r>
            <w:r w:rsidR="0023099D" w:rsidRPr="000A3C73">
              <w:rPr>
                <w:rFonts w:ascii="Calibri" w:hAnsi="Calibri" w:cs="Calibri"/>
                <w:color w:val="000000"/>
                <w:sz w:val="18"/>
                <w:szCs w:val="18"/>
              </w:rPr>
              <w:t>0.1%</w:t>
            </w:r>
            <w:r w:rsidRPr="000A3C73">
              <w:rPr>
                <w:rFonts w:ascii="Calibri" w:hAnsi="Calibri" w:cs="Calibri"/>
                <w:color w:val="000000"/>
                <w:sz w:val="18"/>
                <w:szCs w:val="18"/>
              </w:rPr>
              <w:t>)</w:t>
            </w:r>
          </w:p>
        </w:tc>
      </w:tr>
      <w:tr w:rsidR="008A2117" w:rsidRPr="000A3C73" w:rsidTr="00DC4810">
        <w:trPr>
          <w:trHeight w:val="69"/>
        </w:trPr>
        <w:tc>
          <w:tcPr>
            <w:tcW w:w="1443" w:type="pct"/>
            <w:tcBorders>
              <w:top w:val="single" w:sz="6" w:space="0" w:color="auto"/>
              <w:left w:val="single" w:sz="6" w:space="0" w:color="auto"/>
              <w:bottom w:val="single" w:sz="6" w:space="0" w:color="auto"/>
              <w:right w:val="single" w:sz="6" w:space="0" w:color="auto"/>
            </w:tcBorders>
          </w:tcPr>
          <w:p w:rsidR="008A2117" w:rsidRPr="000A3C73" w:rsidRDefault="008A2117" w:rsidP="00DC4810">
            <w:pPr>
              <w:autoSpaceDE w:val="0"/>
              <w:autoSpaceDN w:val="0"/>
              <w:adjustRightInd w:val="0"/>
              <w:rPr>
                <w:rFonts w:ascii="Calibri" w:hAnsi="Calibri" w:cs="Calibri"/>
                <w:color w:val="000000"/>
                <w:sz w:val="18"/>
                <w:szCs w:val="18"/>
              </w:rPr>
            </w:pPr>
            <w:r w:rsidRPr="000A3C73">
              <w:rPr>
                <w:rFonts w:ascii="Calibri" w:hAnsi="Calibri" w:cs="Calibri"/>
                <w:color w:val="000000"/>
                <w:sz w:val="18"/>
                <w:szCs w:val="18"/>
              </w:rPr>
              <w:t>Monitoring and evaluation*</w:t>
            </w:r>
          </w:p>
        </w:tc>
        <w:tc>
          <w:tcPr>
            <w:tcW w:w="656" w:type="pct"/>
            <w:tcBorders>
              <w:top w:val="single" w:sz="6" w:space="0" w:color="auto"/>
              <w:left w:val="single" w:sz="6" w:space="0" w:color="auto"/>
              <w:bottom w:val="single" w:sz="6" w:space="0" w:color="auto"/>
              <w:right w:val="single" w:sz="6" w:space="0" w:color="auto"/>
            </w:tcBorders>
          </w:tcPr>
          <w:p w:rsidR="008A2117" w:rsidRPr="000A3C73" w:rsidRDefault="00A972C2" w:rsidP="00DC4810">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N/A</w:t>
            </w:r>
          </w:p>
        </w:tc>
        <w:tc>
          <w:tcPr>
            <w:tcW w:w="829" w:type="pct"/>
            <w:tcBorders>
              <w:top w:val="single" w:sz="6" w:space="0" w:color="auto"/>
              <w:left w:val="single" w:sz="6" w:space="0" w:color="auto"/>
              <w:bottom w:val="single" w:sz="6" w:space="0" w:color="auto"/>
              <w:right w:val="single" w:sz="6" w:space="0" w:color="auto"/>
            </w:tcBorders>
          </w:tcPr>
          <w:p w:rsidR="008A2117" w:rsidRPr="000A3C73" w:rsidRDefault="00A972C2" w:rsidP="00DC4810">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N/A</w:t>
            </w:r>
          </w:p>
        </w:tc>
        <w:tc>
          <w:tcPr>
            <w:tcW w:w="614" w:type="pct"/>
            <w:tcBorders>
              <w:top w:val="single" w:sz="6" w:space="0" w:color="auto"/>
              <w:left w:val="single" w:sz="6" w:space="0" w:color="auto"/>
              <w:bottom w:val="single" w:sz="6" w:space="0" w:color="auto"/>
              <w:right w:val="single" w:sz="6" w:space="0" w:color="auto"/>
            </w:tcBorders>
          </w:tcPr>
          <w:p w:rsidR="008A2117" w:rsidRPr="000A3C73" w:rsidRDefault="00A972C2" w:rsidP="00DC4810">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N/A</w:t>
            </w:r>
          </w:p>
        </w:tc>
        <w:tc>
          <w:tcPr>
            <w:tcW w:w="353" w:type="pct"/>
            <w:tcBorders>
              <w:top w:val="single" w:sz="6" w:space="0" w:color="auto"/>
              <w:left w:val="single" w:sz="6" w:space="0" w:color="auto"/>
              <w:bottom w:val="single" w:sz="6" w:space="0" w:color="auto"/>
              <w:right w:val="single" w:sz="6" w:space="0" w:color="auto"/>
            </w:tcBorders>
          </w:tcPr>
          <w:p w:rsidR="008A2117" w:rsidRPr="000A3C73" w:rsidRDefault="00A972C2" w:rsidP="00DC4810">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N/A</w:t>
            </w:r>
          </w:p>
        </w:tc>
        <w:tc>
          <w:tcPr>
            <w:tcW w:w="752" w:type="pct"/>
            <w:tcBorders>
              <w:top w:val="single" w:sz="6" w:space="0" w:color="auto"/>
              <w:left w:val="single" w:sz="6" w:space="0" w:color="auto"/>
              <w:bottom w:val="single" w:sz="6" w:space="0" w:color="auto"/>
              <w:right w:val="single" w:sz="6" w:space="0" w:color="auto"/>
            </w:tcBorders>
          </w:tcPr>
          <w:p w:rsidR="008A2117" w:rsidRPr="000A3C73" w:rsidRDefault="00A972C2" w:rsidP="00DC4810">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N/A</w:t>
            </w:r>
          </w:p>
        </w:tc>
        <w:tc>
          <w:tcPr>
            <w:tcW w:w="353" w:type="pct"/>
            <w:tcBorders>
              <w:top w:val="single" w:sz="6" w:space="0" w:color="auto"/>
              <w:left w:val="single" w:sz="6" w:space="0" w:color="auto"/>
              <w:bottom w:val="single" w:sz="6" w:space="0" w:color="auto"/>
              <w:right w:val="single" w:sz="6" w:space="0" w:color="auto"/>
            </w:tcBorders>
          </w:tcPr>
          <w:p w:rsidR="008A2117" w:rsidRPr="000A3C73" w:rsidRDefault="00A972C2" w:rsidP="00DC4810">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N/A</w:t>
            </w:r>
          </w:p>
        </w:tc>
      </w:tr>
      <w:tr w:rsidR="008A2117" w:rsidRPr="000A3C73" w:rsidTr="00DC4810">
        <w:trPr>
          <w:trHeight w:val="69"/>
        </w:trPr>
        <w:tc>
          <w:tcPr>
            <w:tcW w:w="1443" w:type="pct"/>
            <w:tcBorders>
              <w:top w:val="single" w:sz="6" w:space="0" w:color="auto"/>
              <w:left w:val="single" w:sz="6" w:space="0" w:color="auto"/>
              <w:bottom w:val="single" w:sz="6" w:space="0" w:color="auto"/>
              <w:right w:val="single" w:sz="6" w:space="0" w:color="auto"/>
            </w:tcBorders>
          </w:tcPr>
          <w:p w:rsidR="008A2117" w:rsidRPr="000A3C73" w:rsidRDefault="008A2117" w:rsidP="00DC4810">
            <w:pPr>
              <w:autoSpaceDE w:val="0"/>
              <w:autoSpaceDN w:val="0"/>
              <w:adjustRightInd w:val="0"/>
              <w:rPr>
                <w:rFonts w:ascii="Calibri" w:hAnsi="Calibri" w:cs="Calibri"/>
                <w:color w:val="000000"/>
                <w:sz w:val="18"/>
                <w:szCs w:val="18"/>
              </w:rPr>
            </w:pPr>
            <w:r w:rsidRPr="000A3C73">
              <w:rPr>
                <w:rFonts w:ascii="Calibri" w:hAnsi="Calibri" w:cs="Calibri"/>
                <w:color w:val="000000"/>
                <w:sz w:val="18"/>
                <w:szCs w:val="18"/>
              </w:rPr>
              <w:t>Project coordination and management</w:t>
            </w:r>
            <w:r w:rsidR="005F2359" w:rsidRPr="000A3C73">
              <w:rPr>
                <w:rFonts w:ascii="Calibri" w:hAnsi="Calibri" w:cs="Calibri"/>
                <w:color w:val="000000"/>
                <w:sz w:val="18"/>
                <w:szCs w:val="18"/>
                <w:vertAlign w:val="superscript"/>
              </w:rPr>
              <w:t>‡</w:t>
            </w:r>
          </w:p>
        </w:tc>
        <w:tc>
          <w:tcPr>
            <w:tcW w:w="656" w:type="pct"/>
            <w:tcBorders>
              <w:top w:val="single" w:sz="6" w:space="0" w:color="auto"/>
              <w:left w:val="single" w:sz="6" w:space="0" w:color="auto"/>
              <w:bottom w:val="single" w:sz="6" w:space="0" w:color="auto"/>
              <w:right w:val="single" w:sz="6" w:space="0" w:color="auto"/>
            </w:tcBorders>
          </w:tcPr>
          <w:p w:rsidR="008A2117" w:rsidRPr="000A3C73" w:rsidRDefault="008A2117" w:rsidP="00DC4810">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U/A</w:t>
            </w:r>
          </w:p>
        </w:tc>
        <w:tc>
          <w:tcPr>
            <w:tcW w:w="829" w:type="pct"/>
            <w:tcBorders>
              <w:top w:val="single" w:sz="6" w:space="0" w:color="auto"/>
              <w:left w:val="single" w:sz="6" w:space="0" w:color="auto"/>
              <w:bottom w:val="single" w:sz="6" w:space="0" w:color="auto"/>
              <w:right w:val="single" w:sz="6" w:space="0" w:color="auto"/>
            </w:tcBorders>
          </w:tcPr>
          <w:p w:rsidR="008A2117" w:rsidRPr="000A3C73" w:rsidRDefault="008A2117" w:rsidP="00DC4810">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U/A</w:t>
            </w:r>
          </w:p>
        </w:tc>
        <w:tc>
          <w:tcPr>
            <w:tcW w:w="614" w:type="pct"/>
            <w:tcBorders>
              <w:top w:val="single" w:sz="6" w:space="0" w:color="auto"/>
              <w:left w:val="single" w:sz="6" w:space="0" w:color="auto"/>
              <w:bottom w:val="single" w:sz="6" w:space="0" w:color="auto"/>
              <w:right w:val="single" w:sz="6" w:space="0" w:color="auto"/>
            </w:tcBorders>
          </w:tcPr>
          <w:p w:rsidR="008A2117" w:rsidRPr="000A3C73" w:rsidRDefault="008A2117" w:rsidP="00DC4810">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U/A</w:t>
            </w:r>
          </w:p>
        </w:tc>
        <w:tc>
          <w:tcPr>
            <w:tcW w:w="353" w:type="pct"/>
            <w:tcBorders>
              <w:top w:val="single" w:sz="6" w:space="0" w:color="auto"/>
              <w:left w:val="single" w:sz="6" w:space="0" w:color="auto"/>
              <w:bottom w:val="single" w:sz="6" w:space="0" w:color="auto"/>
              <w:right w:val="single" w:sz="6" w:space="0" w:color="auto"/>
            </w:tcBorders>
          </w:tcPr>
          <w:p w:rsidR="008A2117" w:rsidRPr="000A3C73" w:rsidRDefault="008A2117" w:rsidP="00DC4810">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U/A</w:t>
            </w:r>
          </w:p>
        </w:tc>
        <w:tc>
          <w:tcPr>
            <w:tcW w:w="752" w:type="pct"/>
            <w:tcBorders>
              <w:top w:val="single" w:sz="6" w:space="0" w:color="auto"/>
              <w:left w:val="single" w:sz="6" w:space="0" w:color="auto"/>
              <w:bottom w:val="single" w:sz="6" w:space="0" w:color="auto"/>
              <w:right w:val="single" w:sz="6" w:space="0" w:color="auto"/>
            </w:tcBorders>
          </w:tcPr>
          <w:p w:rsidR="008A2117" w:rsidRPr="000A3C73" w:rsidRDefault="008A2117" w:rsidP="00DC4810">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U/A</w:t>
            </w:r>
          </w:p>
        </w:tc>
        <w:tc>
          <w:tcPr>
            <w:tcW w:w="353" w:type="pct"/>
            <w:tcBorders>
              <w:top w:val="single" w:sz="6" w:space="0" w:color="auto"/>
              <w:left w:val="single" w:sz="6" w:space="0" w:color="auto"/>
              <w:bottom w:val="single" w:sz="6" w:space="0" w:color="auto"/>
              <w:right w:val="single" w:sz="6" w:space="0" w:color="auto"/>
            </w:tcBorders>
          </w:tcPr>
          <w:p w:rsidR="008A2117" w:rsidRPr="000A3C73" w:rsidRDefault="008A2117" w:rsidP="00DC4810">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U/A</w:t>
            </w:r>
          </w:p>
        </w:tc>
      </w:tr>
      <w:tr w:rsidR="008A2117" w:rsidRPr="000A3C73" w:rsidTr="00DC4810">
        <w:trPr>
          <w:trHeight w:val="69"/>
        </w:trPr>
        <w:tc>
          <w:tcPr>
            <w:tcW w:w="1443" w:type="pct"/>
            <w:tcBorders>
              <w:top w:val="single" w:sz="6" w:space="0" w:color="auto"/>
              <w:left w:val="single" w:sz="6" w:space="0" w:color="auto"/>
              <w:bottom w:val="single" w:sz="6" w:space="0" w:color="auto"/>
              <w:right w:val="single" w:sz="6" w:space="0" w:color="auto"/>
            </w:tcBorders>
            <w:shd w:val="solid" w:color="C0C0C0" w:fill="auto"/>
          </w:tcPr>
          <w:p w:rsidR="008A2117" w:rsidRPr="000A3C73" w:rsidRDefault="008A2117" w:rsidP="00DC4810">
            <w:pPr>
              <w:autoSpaceDE w:val="0"/>
              <w:autoSpaceDN w:val="0"/>
              <w:adjustRightInd w:val="0"/>
              <w:jc w:val="right"/>
              <w:rPr>
                <w:rFonts w:ascii="Calibri" w:hAnsi="Calibri" w:cs="Calibri"/>
                <w:b/>
                <w:bCs/>
                <w:color w:val="000000"/>
                <w:sz w:val="18"/>
                <w:szCs w:val="18"/>
              </w:rPr>
            </w:pPr>
            <w:r w:rsidRPr="000A3C73">
              <w:rPr>
                <w:rFonts w:ascii="Calibri" w:hAnsi="Calibri" w:cs="Calibri"/>
                <w:b/>
                <w:bCs/>
                <w:color w:val="000000"/>
                <w:sz w:val="18"/>
                <w:szCs w:val="18"/>
              </w:rPr>
              <w:t>Total</w:t>
            </w:r>
          </w:p>
        </w:tc>
        <w:tc>
          <w:tcPr>
            <w:tcW w:w="656" w:type="pct"/>
            <w:tcBorders>
              <w:top w:val="single" w:sz="6" w:space="0" w:color="auto"/>
              <w:left w:val="single" w:sz="6" w:space="0" w:color="auto"/>
              <w:bottom w:val="single" w:sz="6" w:space="0" w:color="auto"/>
              <w:right w:val="single" w:sz="6" w:space="0" w:color="auto"/>
            </w:tcBorders>
            <w:shd w:val="solid" w:color="C0C0C0" w:fill="auto"/>
          </w:tcPr>
          <w:p w:rsidR="008A2117" w:rsidRPr="000A3C73" w:rsidRDefault="00A972C2" w:rsidP="00DC4810">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1.61</w:t>
            </w:r>
          </w:p>
        </w:tc>
        <w:tc>
          <w:tcPr>
            <w:tcW w:w="829" w:type="pct"/>
            <w:tcBorders>
              <w:top w:val="single" w:sz="6" w:space="0" w:color="auto"/>
              <w:left w:val="single" w:sz="6" w:space="0" w:color="auto"/>
              <w:bottom w:val="single" w:sz="6" w:space="0" w:color="auto"/>
              <w:right w:val="single" w:sz="6" w:space="0" w:color="auto"/>
            </w:tcBorders>
            <w:shd w:val="solid" w:color="C0C0C0" w:fill="auto"/>
          </w:tcPr>
          <w:p w:rsidR="008A2117" w:rsidRPr="000A3C73" w:rsidRDefault="008A2117" w:rsidP="00DC4810">
            <w:pPr>
              <w:autoSpaceDE w:val="0"/>
              <w:autoSpaceDN w:val="0"/>
              <w:adjustRightInd w:val="0"/>
              <w:jc w:val="right"/>
              <w:rPr>
                <w:rFonts w:ascii="Calibri" w:hAnsi="Calibri" w:cs="Calibri"/>
                <w:color w:val="000000"/>
                <w:sz w:val="18"/>
                <w:szCs w:val="18"/>
              </w:rPr>
            </w:pPr>
          </w:p>
        </w:tc>
        <w:tc>
          <w:tcPr>
            <w:tcW w:w="614" w:type="pct"/>
            <w:tcBorders>
              <w:top w:val="single" w:sz="6" w:space="0" w:color="auto"/>
              <w:left w:val="single" w:sz="6" w:space="0" w:color="auto"/>
              <w:bottom w:val="single" w:sz="6" w:space="0" w:color="auto"/>
              <w:right w:val="single" w:sz="6" w:space="0" w:color="auto"/>
            </w:tcBorders>
            <w:shd w:val="solid" w:color="C0C0C0" w:fill="auto"/>
          </w:tcPr>
          <w:p w:rsidR="008A2117" w:rsidRPr="000A3C73" w:rsidRDefault="00A972C2" w:rsidP="00DC4810">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1.55</w:t>
            </w:r>
          </w:p>
        </w:tc>
        <w:tc>
          <w:tcPr>
            <w:tcW w:w="353" w:type="pct"/>
            <w:tcBorders>
              <w:top w:val="single" w:sz="6" w:space="0" w:color="auto"/>
              <w:left w:val="single" w:sz="6" w:space="0" w:color="auto"/>
              <w:bottom w:val="single" w:sz="6" w:space="0" w:color="auto"/>
              <w:right w:val="single" w:sz="6" w:space="0" w:color="auto"/>
            </w:tcBorders>
            <w:shd w:val="solid" w:color="C0C0C0" w:fill="auto"/>
          </w:tcPr>
          <w:p w:rsidR="008A2117" w:rsidRPr="000A3C73" w:rsidRDefault="00A972C2" w:rsidP="00DC4810">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0.06</w:t>
            </w:r>
          </w:p>
        </w:tc>
        <w:tc>
          <w:tcPr>
            <w:tcW w:w="752" w:type="pct"/>
            <w:tcBorders>
              <w:top w:val="single" w:sz="6" w:space="0" w:color="auto"/>
              <w:left w:val="single" w:sz="6" w:space="0" w:color="auto"/>
              <w:bottom w:val="single" w:sz="6" w:space="0" w:color="auto"/>
              <w:right w:val="single" w:sz="6" w:space="0" w:color="auto"/>
            </w:tcBorders>
            <w:shd w:val="solid" w:color="C0C0C0" w:fill="auto"/>
          </w:tcPr>
          <w:p w:rsidR="008A2117" w:rsidRPr="000A3C73" w:rsidRDefault="008A2117" w:rsidP="00DC4810">
            <w:pPr>
              <w:autoSpaceDE w:val="0"/>
              <w:autoSpaceDN w:val="0"/>
              <w:adjustRightInd w:val="0"/>
              <w:jc w:val="right"/>
              <w:rPr>
                <w:rFonts w:ascii="Calibri" w:hAnsi="Calibri" w:cs="Calibri"/>
                <w:color w:val="000000"/>
                <w:sz w:val="18"/>
                <w:szCs w:val="18"/>
              </w:rPr>
            </w:pPr>
          </w:p>
        </w:tc>
        <w:tc>
          <w:tcPr>
            <w:tcW w:w="353" w:type="pct"/>
            <w:tcBorders>
              <w:top w:val="single" w:sz="6" w:space="0" w:color="auto"/>
              <w:left w:val="single" w:sz="6" w:space="0" w:color="auto"/>
              <w:bottom w:val="single" w:sz="6" w:space="0" w:color="auto"/>
              <w:right w:val="single" w:sz="6" w:space="0" w:color="auto"/>
            </w:tcBorders>
            <w:shd w:val="solid" w:color="C0C0C0" w:fill="auto"/>
          </w:tcPr>
          <w:p w:rsidR="008A2117" w:rsidRPr="000A3C73" w:rsidRDefault="008A2117" w:rsidP="00DC4810">
            <w:pPr>
              <w:autoSpaceDE w:val="0"/>
              <w:autoSpaceDN w:val="0"/>
              <w:adjustRightInd w:val="0"/>
              <w:jc w:val="right"/>
              <w:rPr>
                <w:rFonts w:ascii="Calibri" w:hAnsi="Calibri" w:cs="Calibri"/>
                <w:color w:val="000000"/>
                <w:sz w:val="18"/>
                <w:szCs w:val="18"/>
              </w:rPr>
            </w:pPr>
          </w:p>
        </w:tc>
      </w:tr>
    </w:tbl>
    <w:p w:rsidR="00450C8B" w:rsidRPr="000A3C73" w:rsidRDefault="00237577" w:rsidP="00450C8B">
      <w:pPr>
        <w:rPr>
          <w:rFonts w:ascii="Calibri" w:hAnsi="Calibri"/>
          <w:i/>
          <w:sz w:val="18"/>
        </w:rPr>
      </w:pPr>
      <w:r w:rsidRPr="000A3C73">
        <w:rPr>
          <w:rFonts w:ascii="Calibri" w:hAnsi="Calibri"/>
          <w:i/>
          <w:sz w:val="18"/>
        </w:rPr>
        <w:t xml:space="preserve">Sources: </w:t>
      </w:r>
      <w:r w:rsidR="00450C8B" w:rsidRPr="000A3C73">
        <w:rPr>
          <w:rFonts w:ascii="Calibri" w:hAnsi="Calibri"/>
          <w:i/>
          <w:sz w:val="18"/>
        </w:rPr>
        <w:t>Sources: Planned amounts: Project Document Annual Workplans; Actual amounts: Transboundary Combined Delivery Reports (CDRs).</w:t>
      </w:r>
    </w:p>
    <w:p w:rsidR="00450C8B" w:rsidRPr="000A3C73" w:rsidRDefault="00450C8B" w:rsidP="00773AAE">
      <w:pPr>
        <w:rPr>
          <w:rFonts w:ascii="Calibri" w:hAnsi="Calibri"/>
          <w:i/>
          <w:sz w:val="18"/>
        </w:rPr>
      </w:pPr>
      <w:r w:rsidRPr="000A3C73">
        <w:rPr>
          <w:rFonts w:ascii="Calibri" w:hAnsi="Calibri"/>
          <w:i/>
          <w:sz w:val="18"/>
        </w:rPr>
        <w:t>*The Transboundary Component was not completed until June 30, 2012, and thus the total expenditures shown here do not include the full final project expenditure by component.</w:t>
      </w:r>
    </w:p>
    <w:p w:rsidR="00773AAE" w:rsidRPr="00433B8B" w:rsidRDefault="00773AAE" w:rsidP="00773AAE">
      <w:pPr>
        <w:rPr>
          <w:rFonts w:ascii="Calibri" w:hAnsi="Calibri"/>
          <w:i/>
          <w:sz w:val="18"/>
        </w:rPr>
      </w:pPr>
      <w:r w:rsidRPr="00433B8B">
        <w:rPr>
          <w:rFonts w:ascii="Calibri" w:hAnsi="Calibri"/>
          <w:i/>
          <w:sz w:val="18"/>
        </w:rPr>
        <w:t>*</w:t>
      </w:r>
      <w:r w:rsidR="00450C8B" w:rsidRPr="00433B8B">
        <w:rPr>
          <w:rFonts w:ascii="Calibri" w:hAnsi="Calibri"/>
          <w:i/>
          <w:sz w:val="18"/>
        </w:rPr>
        <w:t>*</w:t>
      </w:r>
      <w:r w:rsidRPr="00433B8B">
        <w:rPr>
          <w:rFonts w:ascii="Calibri" w:hAnsi="Calibri"/>
          <w:i/>
          <w:sz w:val="18"/>
        </w:rPr>
        <w:t>There was one single M&amp;E budget for the entire project, and not an additional M&amp;E fund amount, beyond what is included under Outcome 5.</w:t>
      </w:r>
    </w:p>
    <w:p w:rsidR="000D1E2A" w:rsidRPr="00FC657B" w:rsidRDefault="000D1E2A" w:rsidP="000D1E2A">
      <w:pPr>
        <w:rPr>
          <w:rFonts w:ascii="Calibri" w:hAnsi="Calibri"/>
          <w:i/>
          <w:sz w:val="18"/>
        </w:rPr>
      </w:pPr>
      <w:r w:rsidRPr="00433B8B">
        <w:rPr>
          <w:rFonts w:ascii="Calibri" w:hAnsi="Calibri"/>
          <w:b/>
          <w:i/>
          <w:sz w:val="18"/>
        </w:rPr>
        <w:t>‡</w:t>
      </w:r>
      <w:r w:rsidR="00CA7EAB" w:rsidRPr="00433B8B">
        <w:rPr>
          <w:rFonts w:ascii="Calibri" w:hAnsi="Calibri"/>
          <w:i/>
          <w:sz w:val="18"/>
        </w:rPr>
        <w:t>There was not a separate “Project Management” budget line shown in the planned project budget included in the Project Document. Project managements expenditures were drawn from all outcomes, but particularly Outcome 5. However, not all of Outcome 5 can be considered project management, as demonstrated by the fact that it was planned at 35.2% of the GEF expenditure, well above the stated threshold of 10%.</w:t>
      </w:r>
    </w:p>
    <w:p w:rsidR="00D408CD" w:rsidRPr="00FC657B" w:rsidRDefault="00D408CD" w:rsidP="00803C03">
      <w:pPr>
        <w:rPr>
          <w:rFonts w:ascii="Calibri" w:hAnsi="Calibri"/>
          <w:i/>
          <w:sz w:val="18"/>
        </w:rPr>
      </w:pPr>
    </w:p>
    <w:p w:rsidR="00D408CD" w:rsidRPr="00D77DF1" w:rsidRDefault="00D408CD" w:rsidP="00803C03">
      <w:pPr>
        <w:pStyle w:val="BodyText"/>
        <w:numPr>
          <w:ilvl w:val="0"/>
          <w:numId w:val="0"/>
        </w:numPr>
      </w:pPr>
    </w:p>
    <w:p w:rsidR="00D408CD" w:rsidRPr="000A3C73" w:rsidRDefault="00D408CD" w:rsidP="00D408CD">
      <w:pPr>
        <w:pStyle w:val="BodyText"/>
        <w:sectPr w:rsidR="00D408CD" w:rsidRPr="000A3C73">
          <w:headerReference w:type="default" r:id="rId20"/>
          <w:pgSz w:w="15840" w:h="12240" w:orient="landscape"/>
          <w:pgMar w:top="1440" w:right="1440" w:bottom="1440" w:left="1440" w:header="720" w:footer="720" w:gutter="0"/>
          <w:cols w:space="720"/>
        </w:sectPr>
      </w:pPr>
    </w:p>
    <w:bookmarkStart w:id="63" w:name="_Toc152154275"/>
    <w:bookmarkStart w:id="64" w:name="_Ref195114680"/>
    <w:bookmarkStart w:id="65" w:name="_Ref198644726"/>
    <w:bookmarkStart w:id="66" w:name="_Ref209502984"/>
    <w:p w:rsidR="004E7C38" w:rsidRPr="008B7E9A" w:rsidRDefault="008269C6" w:rsidP="004E7C38">
      <w:pPr>
        <w:pStyle w:val="BodyText"/>
      </w:pPr>
      <w:r w:rsidRPr="002A69B7">
        <w:fldChar w:fldCharType="begin"/>
      </w:r>
      <w:r w:rsidR="004E7C38" w:rsidRPr="000A3C73">
        <w:instrText xml:space="preserve"> REF _Ref210963205 \h </w:instrText>
      </w:r>
      <w:r w:rsidRPr="002A69B7">
        <w:fldChar w:fldCharType="separate"/>
      </w:r>
      <w:r w:rsidR="006E18A7" w:rsidRPr="002A69B7">
        <w:t xml:space="preserve">Figure </w:t>
      </w:r>
      <w:r w:rsidR="006E18A7" w:rsidRPr="002C744B">
        <w:rPr>
          <w:noProof/>
        </w:rPr>
        <w:t>3</w:t>
      </w:r>
      <w:r w:rsidRPr="002A69B7">
        <w:fldChar w:fldCharType="end"/>
      </w:r>
      <w:r w:rsidR="004E7C38" w:rsidRPr="005E69C8">
        <w:t xml:space="preserve">, </w:t>
      </w:r>
      <w:r w:rsidRPr="002A69B7">
        <w:fldChar w:fldCharType="begin"/>
      </w:r>
      <w:r w:rsidR="004E7C38" w:rsidRPr="000A3C73">
        <w:instrText xml:space="preserve"> REF _Ref210963213 \h </w:instrText>
      </w:r>
      <w:r w:rsidRPr="002A69B7">
        <w:fldChar w:fldCharType="separate"/>
      </w:r>
      <w:r w:rsidR="006E18A7" w:rsidRPr="002A69B7">
        <w:t xml:space="preserve">Figure </w:t>
      </w:r>
      <w:r w:rsidR="006E18A7" w:rsidRPr="002C744B">
        <w:rPr>
          <w:noProof/>
        </w:rPr>
        <w:t>4</w:t>
      </w:r>
      <w:r w:rsidRPr="002A69B7">
        <w:fldChar w:fldCharType="end"/>
      </w:r>
      <w:r w:rsidR="004E7C38" w:rsidRPr="005E69C8">
        <w:t xml:space="preserve">, and </w:t>
      </w:r>
      <w:r w:rsidRPr="002A69B7">
        <w:fldChar w:fldCharType="begin"/>
      </w:r>
      <w:r w:rsidR="004E7C38" w:rsidRPr="000A3C73">
        <w:instrText xml:space="preserve"> REF _Ref210963221 \h </w:instrText>
      </w:r>
      <w:r w:rsidRPr="002A69B7">
        <w:fldChar w:fldCharType="separate"/>
      </w:r>
      <w:r w:rsidR="006E18A7" w:rsidRPr="002A69B7">
        <w:t xml:space="preserve">Figure </w:t>
      </w:r>
      <w:r w:rsidR="006E18A7" w:rsidRPr="002C744B">
        <w:rPr>
          <w:noProof/>
        </w:rPr>
        <w:t>5</w:t>
      </w:r>
      <w:r w:rsidRPr="002A69B7">
        <w:fldChar w:fldCharType="end"/>
      </w:r>
      <w:r w:rsidR="004E7C38" w:rsidRPr="005E69C8">
        <w:t xml:space="preserve"> show the actual project delivery by year of implementation, compared to planned delivery. It should be noted that the first disbursement for each of the componen</w:t>
      </w:r>
      <w:r w:rsidR="004E7C38" w:rsidRPr="00850A96">
        <w:t>ts occurred only in mid or late 2006, so it would not have been practical to meet the full “year 1” delivery planned in the project document. The most notable conclusion from the figures below is that after initially slow implementation in 2006 and 2007, t</w:t>
      </w:r>
      <w:r w:rsidR="004E7C38" w:rsidRPr="008B7E9A">
        <w:t xml:space="preserve">he components made up for lost time in the remaining years, though the six to nine month extension was still required to reach full delivery. </w:t>
      </w:r>
    </w:p>
    <w:p w:rsidR="004E7C38" w:rsidRPr="000A3C73" w:rsidRDefault="004E7C38" w:rsidP="004E7C38">
      <w:pPr>
        <w:pStyle w:val="Caption"/>
        <w:jc w:val="both"/>
      </w:pPr>
      <w:bookmarkStart w:id="67" w:name="_Ref210963205"/>
      <w:r w:rsidRPr="000126EE">
        <w:t xml:space="preserve">Figure </w:t>
      </w:r>
      <w:r w:rsidR="008269C6" w:rsidRPr="00F92C45">
        <w:fldChar w:fldCharType="begin"/>
      </w:r>
      <w:r w:rsidR="00190FB1" w:rsidRPr="000A3C73">
        <w:instrText xml:space="preserve"> SEQ Figure \* ARABIC </w:instrText>
      </w:r>
      <w:r w:rsidR="008269C6" w:rsidRPr="00F92C45">
        <w:fldChar w:fldCharType="separate"/>
      </w:r>
      <w:r w:rsidR="006E18A7" w:rsidRPr="000A3C73">
        <w:rPr>
          <w:noProof/>
        </w:rPr>
        <w:t>3</w:t>
      </w:r>
      <w:r w:rsidR="008269C6" w:rsidRPr="00F92C45">
        <w:rPr>
          <w:noProof/>
        </w:rPr>
        <w:fldChar w:fldCharType="end"/>
      </w:r>
      <w:bookmarkEnd w:id="67"/>
      <w:r w:rsidRPr="000A3C73">
        <w:t xml:space="preserve"> Albania Component Actual vs</w:t>
      </w:r>
      <w:r w:rsidR="00D23985" w:rsidRPr="000A3C73">
        <w:t>.</w:t>
      </w:r>
      <w:r w:rsidRPr="000A3C73">
        <w:t xml:space="preserve"> Planned Delivery (USD)</w:t>
      </w:r>
    </w:p>
    <w:p w:rsidR="004E7C38" w:rsidRPr="005E69C8" w:rsidRDefault="004E7C38" w:rsidP="004E7C38">
      <w:pPr>
        <w:pStyle w:val="BodyText"/>
        <w:numPr>
          <w:ilvl w:val="0"/>
          <w:numId w:val="0"/>
        </w:numPr>
      </w:pPr>
      <w:r w:rsidRPr="005E69C8">
        <w:rPr>
          <w:noProof/>
        </w:rPr>
        <w:drawing>
          <wp:inline distT="0" distB="0" distL="0" distR="0">
            <wp:extent cx="4884390" cy="2937933"/>
            <wp:effectExtent l="0" t="0" r="0" b="889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884838" cy="2938202"/>
                    </a:xfrm>
                    <a:prstGeom prst="rect">
                      <a:avLst/>
                    </a:prstGeom>
                    <a:noFill/>
                    <a:ln>
                      <a:noFill/>
                    </a:ln>
                  </pic:spPr>
                </pic:pic>
              </a:graphicData>
            </a:graphic>
          </wp:inline>
        </w:drawing>
      </w:r>
    </w:p>
    <w:p w:rsidR="004E7C38" w:rsidRPr="00850A96" w:rsidRDefault="004E7C38" w:rsidP="004E7C38">
      <w:pPr>
        <w:pStyle w:val="BodyText"/>
        <w:numPr>
          <w:ilvl w:val="0"/>
          <w:numId w:val="0"/>
        </w:numPr>
      </w:pPr>
    </w:p>
    <w:p w:rsidR="004E7C38" w:rsidRPr="000A3C73" w:rsidRDefault="004E7C38" w:rsidP="004E7C38">
      <w:pPr>
        <w:pStyle w:val="Caption"/>
        <w:jc w:val="both"/>
      </w:pPr>
      <w:bookmarkStart w:id="68" w:name="_Ref210963213"/>
      <w:r w:rsidRPr="008B7E9A">
        <w:t xml:space="preserve">Figure </w:t>
      </w:r>
      <w:r w:rsidR="008269C6" w:rsidRPr="00F92C45">
        <w:fldChar w:fldCharType="begin"/>
      </w:r>
      <w:r w:rsidR="00190FB1" w:rsidRPr="000A3C73">
        <w:instrText xml:space="preserve"> SEQ Figure \* ARABIC </w:instrText>
      </w:r>
      <w:r w:rsidR="008269C6" w:rsidRPr="00F92C45">
        <w:fldChar w:fldCharType="separate"/>
      </w:r>
      <w:r w:rsidR="006E18A7" w:rsidRPr="000A3C73">
        <w:rPr>
          <w:noProof/>
        </w:rPr>
        <w:t>4</w:t>
      </w:r>
      <w:r w:rsidR="008269C6" w:rsidRPr="00F92C45">
        <w:rPr>
          <w:noProof/>
        </w:rPr>
        <w:fldChar w:fldCharType="end"/>
      </w:r>
      <w:bookmarkEnd w:id="68"/>
      <w:r w:rsidRPr="000A3C73">
        <w:t xml:space="preserve"> Macedonia Component Actual vs</w:t>
      </w:r>
      <w:r w:rsidR="00D23985" w:rsidRPr="000A3C73">
        <w:t>.</w:t>
      </w:r>
      <w:r w:rsidRPr="000A3C73">
        <w:t xml:space="preserve"> Planned Delivery (USD)</w:t>
      </w:r>
    </w:p>
    <w:p w:rsidR="004E7C38" w:rsidRPr="005E69C8" w:rsidRDefault="004E7C38" w:rsidP="004E7C38">
      <w:pPr>
        <w:pStyle w:val="BodyText"/>
        <w:numPr>
          <w:ilvl w:val="0"/>
          <w:numId w:val="0"/>
        </w:numPr>
      </w:pPr>
      <w:r w:rsidRPr="005E69C8">
        <w:rPr>
          <w:noProof/>
        </w:rPr>
        <w:drawing>
          <wp:inline distT="0" distB="0" distL="0" distR="0">
            <wp:extent cx="4828088" cy="2904067"/>
            <wp:effectExtent l="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828627" cy="2904391"/>
                    </a:xfrm>
                    <a:prstGeom prst="rect">
                      <a:avLst/>
                    </a:prstGeom>
                    <a:noFill/>
                    <a:ln>
                      <a:noFill/>
                    </a:ln>
                  </pic:spPr>
                </pic:pic>
              </a:graphicData>
            </a:graphic>
          </wp:inline>
        </w:drawing>
      </w:r>
    </w:p>
    <w:p w:rsidR="004E7C38" w:rsidRPr="00850A96" w:rsidRDefault="004E7C38" w:rsidP="004E7C38">
      <w:pPr>
        <w:pStyle w:val="BodyText"/>
        <w:numPr>
          <w:ilvl w:val="0"/>
          <w:numId w:val="0"/>
        </w:numPr>
      </w:pPr>
    </w:p>
    <w:p w:rsidR="004E7C38" w:rsidRPr="000A3C73" w:rsidRDefault="004E7C38" w:rsidP="004E7C38">
      <w:pPr>
        <w:pStyle w:val="Caption"/>
        <w:jc w:val="both"/>
      </w:pPr>
      <w:bookmarkStart w:id="69" w:name="_Ref210963221"/>
      <w:r w:rsidRPr="00850A96">
        <w:t xml:space="preserve">Figure </w:t>
      </w:r>
      <w:r w:rsidR="008269C6" w:rsidRPr="00F92C45">
        <w:fldChar w:fldCharType="begin"/>
      </w:r>
      <w:r w:rsidR="00CF23E9" w:rsidRPr="000A3C73">
        <w:instrText xml:space="preserve"> SEQ Figure \* ARABIC </w:instrText>
      </w:r>
      <w:r w:rsidR="008269C6" w:rsidRPr="00F92C45">
        <w:fldChar w:fldCharType="separate"/>
      </w:r>
      <w:r w:rsidR="006E18A7" w:rsidRPr="000A3C73">
        <w:rPr>
          <w:noProof/>
        </w:rPr>
        <w:t>5</w:t>
      </w:r>
      <w:r w:rsidR="008269C6" w:rsidRPr="00F92C45">
        <w:rPr>
          <w:noProof/>
        </w:rPr>
        <w:fldChar w:fldCharType="end"/>
      </w:r>
      <w:bookmarkEnd w:id="69"/>
      <w:r w:rsidRPr="000A3C73">
        <w:t xml:space="preserve"> Transboundary Component Actual vs</w:t>
      </w:r>
      <w:r w:rsidR="00D23985" w:rsidRPr="000A3C73">
        <w:t>.</w:t>
      </w:r>
      <w:r w:rsidRPr="000A3C73">
        <w:t xml:space="preserve"> Planned Delivery (USD)</w:t>
      </w:r>
    </w:p>
    <w:p w:rsidR="004E7C38" w:rsidRPr="000A3C73" w:rsidRDefault="004E7C38" w:rsidP="004E7C38">
      <w:pPr>
        <w:pStyle w:val="BodyText"/>
        <w:numPr>
          <w:ilvl w:val="0"/>
          <w:numId w:val="0"/>
        </w:numPr>
      </w:pPr>
      <w:r w:rsidRPr="00F92C45">
        <w:rPr>
          <w:noProof/>
        </w:rPr>
        <w:drawing>
          <wp:inline distT="0" distB="0" distL="0" distR="0">
            <wp:extent cx="3403600" cy="2047247"/>
            <wp:effectExtent l="0" t="0" r="0" b="1016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405150" cy="2048179"/>
                    </a:xfrm>
                    <a:prstGeom prst="rect">
                      <a:avLst/>
                    </a:prstGeom>
                    <a:noFill/>
                    <a:ln>
                      <a:noFill/>
                    </a:ln>
                  </pic:spPr>
                </pic:pic>
              </a:graphicData>
            </a:graphic>
          </wp:inline>
        </w:drawing>
      </w:r>
    </w:p>
    <w:p w:rsidR="004E7C38" w:rsidRPr="000A3C73" w:rsidRDefault="004E7C38" w:rsidP="004E7C38">
      <w:pPr>
        <w:pStyle w:val="BodyText"/>
        <w:numPr>
          <w:ilvl w:val="0"/>
          <w:numId w:val="0"/>
        </w:numPr>
      </w:pPr>
    </w:p>
    <w:p w:rsidR="0052596D" w:rsidRPr="000A3C73" w:rsidRDefault="00CA7EAB" w:rsidP="0089284E">
      <w:pPr>
        <w:pStyle w:val="BodyText"/>
      </w:pPr>
      <w:r w:rsidRPr="00744CC8">
        <w:t>While the project delivered nearly full implementation of the planned budget by the end</w:t>
      </w:r>
      <w:r w:rsidR="00A17E0C" w:rsidRPr="00744CC8">
        <w:t xml:space="preserve"> of the extension period, </w:t>
      </w:r>
      <w:r w:rsidR="002369A6" w:rsidRPr="00744CC8">
        <w:t>within the Albania and transboundary components there was some</w:t>
      </w:r>
      <w:r w:rsidR="002369A6" w:rsidRPr="00FC657B">
        <w:t xml:space="preserve"> significant variation by outcome compared to what had been envisioned in the project document. The Macedonia component’s per-outcome budget was remarkably</w:t>
      </w:r>
      <w:r w:rsidR="002369A6" w:rsidRPr="00D77DF1">
        <w:t xml:space="preserve"> close to what was originally planned. Shifting budget between project activities is not inherently positive or negative, as it can reflect either adaptive management approaches or unexpected or poorly managed costs in certain areas. </w:t>
      </w:r>
      <w:r w:rsidR="008269C6" w:rsidRPr="00F92C45">
        <w:fldChar w:fldCharType="begin"/>
      </w:r>
      <w:r w:rsidR="000762E1" w:rsidRPr="000A3C73">
        <w:instrText xml:space="preserve"> REF _Ref210969101 \h </w:instrText>
      </w:r>
      <w:r w:rsidR="008269C6" w:rsidRPr="00F92C45">
        <w:fldChar w:fldCharType="separate"/>
      </w:r>
      <w:r w:rsidR="006E18A7" w:rsidRPr="000A3C73">
        <w:t xml:space="preserve">Figure </w:t>
      </w:r>
      <w:r w:rsidR="006E18A7" w:rsidRPr="000A3C73">
        <w:rPr>
          <w:noProof/>
        </w:rPr>
        <w:t>6</w:t>
      </w:r>
      <w:r w:rsidR="008269C6" w:rsidRPr="00F92C45">
        <w:fldChar w:fldCharType="end"/>
      </w:r>
      <w:r w:rsidR="002040E2">
        <w:t xml:space="preserve"> </w:t>
      </w:r>
      <w:r w:rsidR="002369A6" w:rsidRPr="000A3C73">
        <w:t xml:space="preserve">and </w:t>
      </w:r>
      <w:r w:rsidR="008269C6" w:rsidRPr="00206E7A">
        <w:fldChar w:fldCharType="begin"/>
      </w:r>
      <w:r w:rsidR="000762E1" w:rsidRPr="000A3C73">
        <w:instrText xml:space="preserve"> REF _Ref210969079 \h </w:instrText>
      </w:r>
      <w:r w:rsidR="008269C6" w:rsidRPr="00206E7A">
        <w:fldChar w:fldCharType="separate"/>
      </w:r>
      <w:r w:rsidR="006E18A7" w:rsidRPr="000A3C73">
        <w:t xml:space="preserve">Figure </w:t>
      </w:r>
      <w:r w:rsidR="006E18A7" w:rsidRPr="000A3C73">
        <w:rPr>
          <w:noProof/>
        </w:rPr>
        <w:t>7</w:t>
      </w:r>
      <w:r w:rsidR="008269C6" w:rsidRPr="00206E7A">
        <w:fldChar w:fldCharType="end"/>
      </w:r>
      <w:r w:rsidR="002369A6" w:rsidRPr="000A3C73">
        <w:t xml:space="preserve"> below show the planned and actual expenditures by outcome for the Albania component, while </w:t>
      </w:r>
      <w:r w:rsidR="008269C6" w:rsidRPr="00206E7A">
        <w:fldChar w:fldCharType="begin"/>
      </w:r>
      <w:r w:rsidR="000762E1" w:rsidRPr="000A3C73">
        <w:instrText xml:space="preserve"> REF _Ref210969115 \h </w:instrText>
      </w:r>
      <w:r w:rsidR="008269C6" w:rsidRPr="00206E7A">
        <w:fldChar w:fldCharType="separate"/>
      </w:r>
      <w:r w:rsidR="006E18A7" w:rsidRPr="000A3C73">
        <w:t xml:space="preserve">Figure </w:t>
      </w:r>
      <w:r w:rsidR="006E18A7" w:rsidRPr="000A3C73">
        <w:rPr>
          <w:noProof/>
        </w:rPr>
        <w:t>8</w:t>
      </w:r>
      <w:r w:rsidR="008269C6" w:rsidRPr="00206E7A">
        <w:fldChar w:fldCharType="end"/>
      </w:r>
      <w:r w:rsidR="002369A6" w:rsidRPr="000A3C73">
        <w:t xml:space="preserve"> and </w:t>
      </w:r>
      <w:r w:rsidR="008269C6" w:rsidRPr="00206E7A">
        <w:fldChar w:fldCharType="begin"/>
      </w:r>
      <w:r w:rsidR="000762E1" w:rsidRPr="000A3C73">
        <w:instrText xml:space="preserve"> REF _Ref210969125 \h </w:instrText>
      </w:r>
      <w:r w:rsidR="008269C6" w:rsidRPr="00206E7A">
        <w:fldChar w:fldCharType="separate"/>
      </w:r>
      <w:r w:rsidR="006E18A7" w:rsidRPr="000A3C73">
        <w:t xml:space="preserve">Figure </w:t>
      </w:r>
      <w:r w:rsidR="006E18A7" w:rsidRPr="000A3C73">
        <w:rPr>
          <w:noProof/>
        </w:rPr>
        <w:t>9</w:t>
      </w:r>
      <w:r w:rsidR="008269C6" w:rsidRPr="00206E7A">
        <w:fldChar w:fldCharType="end"/>
      </w:r>
      <w:r w:rsidR="002369A6" w:rsidRPr="000A3C73">
        <w:t xml:space="preserve"> show this for the Macedonia component, and </w:t>
      </w:r>
      <w:r w:rsidR="008269C6" w:rsidRPr="00206E7A">
        <w:fldChar w:fldCharType="begin"/>
      </w:r>
      <w:r w:rsidR="000762E1" w:rsidRPr="000A3C73">
        <w:instrText xml:space="preserve"> REF _Ref210969139 \h </w:instrText>
      </w:r>
      <w:r w:rsidR="008269C6" w:rsidRPr="00206E7A">
        <w:fldChar w:fldCharType="separate"/>
      </w:r>
      <w:r w:rsidR="006E18A7" w:rsidRPr="000A3C73">
        <w:t xml:space="preserve">Figure </w:t>
      </w:r>
      <w:r w:rsidR="006E18A7" w:rsidRPr="000A3C73">
        <w:rPr>
          <w:noProof/>
        </w:rPr>
        <w:t>10</w:t>
      </w:r>
      <w:r w:rsidR="008269C6" w:rsidRPr="00206E7A">
        <w:fldChar w:fldCharType="end"/>
      </w:r>
      <w:r w:rsidR="002369A6" w:rsidRPr="000A3C73">
        <w:t xml:space="preserve"> and </w:t>
      </w:r>
      <w:r w:rsidR="008269C6" w:rsidRPr="00206E7A">
        <w:fldChar w:fldCharType="begin"/>
      </w:r>
      <w:r w:rsidR="000762E1" w:rsidRPr="000A3C73">
        <w:instrText xml:space="preserve"> REF _Ref210969149 \h </w:instrText>
      </w:r>
      <w:r w:rsidR="008269C6" w:rsidRPr="00206E7A">
        <w:fldChar w:fldCharType="separate"/>
      </w:r>
      <w:r w:rsidR="006E18A7" w:rsidRPr="000A3C73">
        <w:t xml:space="preserve">Figure </w:t>
      </w:r>
      <w:r w:rsidR="006E18A7" w:rsidRPr="000A3C73">
        <w:rPr>
          <w:noProof/>
        </w:rPr>
        <w:t>11</w:t>
      </w:r>
      <w:r w:rsidR="008269C6" w:rsidRPr="00206E7A">
        <w:fldChar w:fldCharType="end"/>
      </w:r>
      <w:r w:rsidR="002369A6" w:rsidRPr="000A3C73">
        <w:t xml:space="preserve"> show this for the transboundary component. </w:t>
      </w:r>
    </w:p>
    <w:p w:rsidR="00D2195C" w:rsidRPr="000A3C73" w:rsidRDefault="00463F51" w:rsidP="00D2195C">
      <w:pPr>
        <w:pStyle w:val="BodyText"/>
      </w:pPr>
      <w:r w:rsidRPr="000A3C73">
        <w:t xml:space="preserve">The figures for each component are on comparable y-axis scales, so it is possible to get a sense of which outcomes received relatively more or less funding than planned; this data is provided in detail in the financing tables above. </w:t>
      </w:r>
      <w:r w:rsidR="006A3254" w:rsidRPr="000A3C73">
        <w:t>For the Albania component, the largest deviations where for Outcome 4 (</w:t>
      </w:r>
      <w:r w:rsidR="00141B0B" w:rsidRPr="000A3C73">
        <w:t>$0.19 million</w:t>
      </w:r>
      <w:r w:rsidR="006A3254" w:rsidRPr="000A3C73">
        <w:t xml:space="preserve"> less than planned) and Outcome </w:t>
      </w:r>
      <w:r w:rsidR="00141B0B" w:rsidRPr="000A3C73">
        <w:t xml:space="preserve">5 ($0.16 million more than planned). </w:t>
      </w:r>
      <w:r w:rsidR="00AF3A2F" w:rsidRPr="000A3C73">
        <w:t>For the Macedonia component there were not significant</w:t>
      </w:r>
      <w:r w:rsidR="0056043C" w:rsidRPr="000A3C73">
        <w:t xml:space="preserve"> deviations, though all of the o</w:t>
      </w:r>
      <w:r w:rsidR="00AF3A2F" w:rsidRPr="000A3C73">
        <w:t>utcome</w:t>
      </w:r>
      <w:r w:rsidR="0056043C" w:rsidRPr="000A3C73">
        <w:t>s</w:t>
      </w:r>
      <w:r w:rsidR="00AF3A2F" w:rsidRPr="000A3C73">
        <w:t xml:space="preserve"> received less expenditure than planned, except Outcome 5 ($0.03 million more than planned). F</w:t>
      </w:r>
      <w:r w:rsidR="00EB6310" w:rsidRPr="000A3C73">
        <w:t xml:space="preserve">or the transboundary component there were also not significant deviations, </w:t>
      </w:r>
      <w:r w:rsidR="00E811C1" w:rsidRPr="000A3C73">
        <w:t xml:space="preserve">though as the transboundary component was under-delivered on the whole, less funding was spent on each of the three outcomes than planned. </w:t>
      </w:r>
    </w:p>
    <w:p w:rsidR="00C72BED" w:rsidRPr="000A3C73" w:rsidRDefault="00C72BED" w:rsidP="00D2195C">
      <w:pPr>
        <w:pStyle w:val="BodyText"/>
      </w:pPr>
      <w:r w:rsidRPr="000A3C73">
        <w:t xml:space="preserve">Based on the figures of spending by outcome below, it is also possible to see the timing of delivery of respective outcomes – for example, </w:t>
      </w:r>
      <w:r w:rsidR="00BB1D14" w:rsidRPr="000A3C73">
        <w:t xml:space="preserve">it is possible to see that </w:t>
      </w:r>
      <w:r w:rsidRPr="000A3C73">
        <w:t xml:space="preserve">Outcome </w:t>
      </w:r>
      <w:r w:rsidR="00BB1D14" w:rsidRPr="000A3C73">
        <w:t xml:space="preserve">3 of the transboundary component (primarily work on the species conservation plans) was delivered at the end of the project instead of at the beginning as planned.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06"/>
        <w:gridCol w:w="4770"/>
      </w:tblGrid>
      <w:tr w:rsidR="002369A6" w:rsidRPr="000A3C73" w:rsidTr="00205F9F">
        <w:tc>
          <w:tcPr>
            <w:tcW w:w="4788" w:type="dxa"/>
          </w:tcPr>
          <w:p w:rsidR="002369A6" w:rsidRPr="000A3C73" w:rsidRDefault="002369A6" w:rsidP="00205F9F">
            <w:pPr>
              <w:pStyle w:val="Caption"/>
              <w:jc w:val="both"/>
            </w:pPr>
            <w:bookmarkStart w:id="70" w:name="_Ref210969101"/>
            <w:r w:rsidRPr="000A3C73">
              <w:t xml:space="preserve">Figure </w:t>
            </w:r>
            <w:r w:rsidR="008269C6" w:rsidRPr="00552EEF">
              <w:fldChar w:fldCharType="begin"/>
            </w:r>
            <w:r w:rsidR="00CF23E9" w:rsidRPr="000A3C73">
              <w:instrText xml:space="preserve"> SEQ Figure \* ARABIC </w:instrText>
            </w:r>
            <w:r w:rsidR="008269C6" w:rsidRPr="00552EEF">
              <w:fldChar w:fldCharType="separate"/>
            </w:r>
            <w:r w:rsidR="006E18A7" w:rsidRPr="000A3C73">
              <w:rPr>
                <w:noProof/>
              </w:rPr>
              <w:t>6</w:t>
            </w:r>
            <w:r w:rsidR="008269C6" w:rsidRPr="00552EEF">
              <w:rPr>
                <w:noProof/>
              </w:rPr>
              <w:fldChar w:fldCharType="end"/>
            </w:r>
            <w:bookmarkEnd w:id="70"/>
            <w:r w:rsidRPr="000A3C73">
              <w:t xml:space="preserve"> Albania </w:t>
            </w:r>
            <w:r w:rsidRPr="000A3C73">
              <w:rPr>
                <w:u w:val="single"/>
              </w:rPr>
              <w:t>Planned</w:t>
            </w:r>
            <w:r w:rsidRPr="000A3C73">
              <w:t xml:space="preserve"> by Outcome</w:t>
            </w:r>
            <w:r w:rsidR="00096585">
              <w:rPr>
                <w:rStyle w:val="FootnoteReference"/>
              </w:rPr>
              <w:footnoteReference w:id="10"/>
            </w:r>
          </w:p>
          <w:p w:rsidR="002369A6" w:rsidRPr="0089284E" w:rsidRDefault="002369A6" w:rsidP="00205F9F">
            <w:pPr>
              <w:pStyle w:val="BodyText"/>
              <w:keepNext/>
              <w:numPr>
                <w:ilvl w:val="0"/>
                <w:numId w:val="0"/>
              </w:numPr>
              <w:spacing w:before="240"/>
              <w:outlineLvl w:val="2"/>
            </w:pPr>
            <w:r w:rsidRPr="00F92C45">
              <w:rPr>
                <w:noProof/>
              </w:rPr>
              <w:drawing>
                <wp:inline distT="0" distB="0" distL="0" distR="0">
                  <wp:extent cx="2954867" cy="1777335"/>
                  <wp:effectExtent l="0" t="0" r="0" b="127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954867" cy="1777335"/>
                          </a:xfrm>
                          <a:prstGeom prst="rect">
                            <a:avLst/>
                          </a:prstGeom>
                          <a:noFill/>
                          <a:ln>
                            <a:noFill/>
                          </a:ln>
                        </pic:spPr>
                      </pic:pic>
                    </a:graphicData>
                  </a:graphic>
                </wp:inline>
              </w:drawing>
            </w:r>
          </w:p>
        </w:tc>
        <w:tc>
          <w:tcPr>
            <w:tcW w:w="4788" w:type="dxa"/>
          </w:tcPr>
          <w:p w:rsidR="00205F9F" w:rsidRPr="000A3C73" w:rsidRDefault="00205F9F" w:rsidP="00205F9F">
            <w:pPr>
              <w:pStyle w:val="Caption"/>
              <w:jc w:val="both"/>
            </w:pPr>
            <w:bookmarkStart w:id="71" w:name="_Ref210969079"/>
            <w:r w:rsidRPr="000A3C73">
              <w:t xml:space="preserve">Figure </w:t>
            </w:r>
            <w:r w:rsidR="008269C6" w:rsidRPr="00552EEF">
              <w:fldChar w:fldCharType="begin"/>
            </w:r>
            <w:r w:rsidR="00CF23E9" w:rsidRPr="000A3C73">
              <w:instrText xml:space="preserve"> SEQ Figure \* ARABIC </w:instrText>
            </w:r>
            <w:r w:rsidR="008269C6" w:rsidRPr="00552EEF">
              <w:fldChar w:fldCharType="separate"/>
            </w:r>
            <w:r w:rsidR="006E18A7" w:rsidRPr="000A3C73">
              <w:rPr>
                <w:noProof/>
              </w:rPr>
              <w:t>7</w:t>
            </w:r>
            <w:r w:rsidR="008269C6" w:rsidRPr="00552EEF">
              <w:rPr>
                <w:noProof/>
              </w:rPr>
              <w:fldChar w:fldCharType="end"/>
            </w:r>
            <w:bookmarkEnd w:id="71"/>
            <w:r w:rsidRPr="000A3C73">
              <w:t xml:space="preserve"> Albania </w:t>
            </w:r>
            <w:r w:rsidRPr="000A3C73">
              <w:rPr>
                <w:u w:val="single"/>
              </w:rPr>
              <w:t>Actual</w:t>
            </w:r>
            <w:r w:rsidRPr="000A3C73">
              <w:t xml:space="preserve"> by Outcome</w:t>
            </w:r>
          </w:p>
          <w:p w:rsidR="002369A6" w:rsidRPr="0089284E" w:rsidRDefault="00205F9F" w:rsidP="00205F9F">
            <w:pPr>
              <w:pStyle w:val="BodyText"/>
              <w:keepNext/>
              <w:numPr>
                <w:ilvl w:val="0"/>
                <w:numId w:val="0"/>
              </w:numPr>
              <w:spacing w:before="240"/>
              <w:outlineLvl w:val="2"/>
            </w:pPr>
            <w:r w:rsidRPr="00F92C45">
              <w:rPr>
                <w:noProof/>
              </w:rPr>
              <w:drawing>
                <wp:inline distT="0" distB="0" distL="0" distR="0">
                  <wp:extent cx="2931339" cy="1763184"/>
                  <wp:effectExtent l="0" t="0" r="0"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931339" cy="1763184"/>
                          </a:xfrm>
                          <a:prstGeom prst="rect">
                            <a:avLst/>
                          </a:prstGeom>
                          <a:noFill/>
                          <a:ln>
                            <a:noFill/>
                          </a:ln>
                        </pic:spPr>
                      </pic:pic>
                    </a:graphicData>
                  </a:graphic>
                </wp:inline>
              </w:drawing>
            </w:r>
          </w:p>
        </w:tc>
      </w:tr>
    </w:tbl>
    <w:p w:rsidR="002369A6" w:rsidRPr="000A3C73" w:rsidRDefault="002369A6" w:rsidP="002369A6">
      <w:pPr>
        <w:pStyle w:val="BodyText"/>
        <w:numPr>
          <w:ilvl w:val="0"/>
          <w:numId w:val="0"/>
        </w:num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70"/>
        <w:gridCol w:w="4706"/>
      </w:tblGrid>
      <w:tr w:rsidR="00205F9F" w:rsidRPr="000A3C73" w:rsidTr="00FE2895">
        <w:tc>
          <w:tcPr>
            <w:tcW w:w="4788" w:type="dxa"/>
          </w:tcPr>
          <w:p w:rsidR="00205F9F" w:rsidRPr="000A3C73" w:rsidRDefault="00205F9F" w:rsidP="00023762">
            <w:pPr>
              <w:pStyle w:val="Caption"/>
              <w:jc w:val="both"/>
            </w:pPr>
            <w:bookmarkStart w:id="72" w:name="_Ref210969115"/>
            <w:r w:rsidRPr="000A3C73">
              <w:t xml:space="preserve">Figure </w:t>
            </w:r>
            <w:r w:rsidR="008269C6" w:rsidRPr="00552EEF">
              <w:fldChar w:fldCharType="begin"/>
            </w:r>
            <w:r w:rsidR="00CF23E9" w:rsidRPr="000A3C73">
              <w:instrText xml:space="preserve"> SEQ Figure \* ARABIC </w:instrText>
            </w:r>
            <w:r w:rsidR="008269C6" w:rsidRPr="00552EEF">
              <w:fldChar w:fldCharType="separate"/>
            </w:r>
            <w:r w:rsidR="006E18A7" w:rsidRPr="000A3C73">
              <w:rPr>
                <w:noProof/>
              </w:rPr>
              <w:t>8</w:t>
            </w:r>
            <w:r w:rsidR="008269C6" w:rsidRPr="00552EEF">
              <w:rPr>
                <w:noProof/>
              </w:rPr>
              <w:fldChar w:fldCharType="end"/>
            </w:r>
            <w:bookmarkEnd w:id="72"/>
            <w:r w:rsidRPr="000A3C73">
              <w:t xml:space="preserve"> Macedonia </w:t>
            </w:r>
            <w:r w:rsidRPr="000A3C73">
              <w:rPr>
                <w:u w:val="single"/>
              </w:rPr>
              <w:t>Planned</w:t>
            </w:r>
            <w:r w:rsidRPr="000A3C73">
              <w:t xml:space="preserve"> by Outcome</w:t>
            </w:r>
          </w:p>
          <w:p w:rsidR="00205F9F" w:rsidRPr="0089284E" w:rsidRDefault="00FE2895" w:rsidP="00023762">
            <w:pPr>
              <w:pStyle w:val="BodyText"/>
              <w:keepNext/>
              <w:numPr>
                <w:ilvl w:val="0"/>
                <w:numId w:val="0"/>
              </w:numPr>
              <w:spacing w:before="240"/>
              <w:outlineLvl w:val="2"/>
            </w:pPr>
            <w:r w:rsidRPr="00F92C45">
              <w:rPr>
                <w:noProof/>
              </w:rPr>
              <w:drawing>
                <wp:inline distT="0" distB="0" distL="0" distR="0">
                  <wp:extent cx="2954867" cy="1786474"/>
                  <wp:effectExtent l="0" t="0" r="0" b="0"/>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956365" cy="1787380"/>
                          </a:xfrm>
                          <a:prstGeom prst="rect">
                            <a:avLst/>
                          </a:prstGeom>
                          <a:noFill/>
                          <a:ln>
                            <a:noFill/>
                          </a:ln>
                        </pic:spPr>
                      </pic:pic>
                    </a:graphicData>
                  </a:graphic>
                </wp:inline>
              </w:drawing>
            </w:r>
          </w:p>
        </w:tc>
        <w:tc>
          <w:tcPr>
            <w:tcW w:w="4788" w:type="dxa"/>
          </w:tcPr>
          <w:p w:rsidR="00205F9F" w:rsidRPr="000A3C73" w:rsidRDefault="00205F9F" w:rsidP="00023762">
            <w:pPr>
              <w:pStyle w:val="Caption"/>
              <w:jc w:val="both"/>
            </w:pPr>
            <w:bookmarkStart w:id="73" w:name="_Ref210969125"/>
            <w:r w:rsidRPr="000A3C73">
              <w:t xml:space="preserve">Figure </w:t>
            </w:r>
            <w:r w:rsidR="008269C6" w:rsidRPr="00552EEF">
              <w:fldChar w:fldCharType="begin"/>
            </w:r>
            <w:r w:rsidR="00CF23E9" w:rsidRPr="000A3C73">
              <w:instrText xml:space="preserve"> SEQ Figure \* ARABIC </w:instrText>
            </w:r>
            <w:r w:rsidR="008269C6" w:rsidRPr="00552EEF">
              <w:fldChar w:fldCharType="separate"/>
            </w:r>
            <w:r w:rsidR="006E18A7" w:rsidRPr="000A3C73">
              <w:rPr>
                <w:noProof/>
              </w:rPr>
              <w:t>9</w:t>
            </w:r>
            <w:r w:rsidR="008269C6" w:rsidRPr="00552EEF">
              <w:rPr>
                <w:noProof/>
              </w:rPr>
              <w:fldChar w:fldCharType="end"/>
            </w:r>
            <w:bookmarkEnd w:id="73"/>
            <w:r w:rsidRPr="000A3C73">
              <w:t xml:space="preserve"> Macedonia </w:t>
            </w:r>
            <w:r w:rsidRPr="000A3C73">
              <w:rPr>
                <w:u w:val="single"/>
              </w:rPr>
              <w:t>Actual</w:t>
            </w:r>
            <w:r w:rsidRPr="000A3C73">
              <w:t xml:space="preserve"> by Outcome</w:t>
            </w:r>
          </w:p>
          <w:p w:rsidR="00205F9F" w:rsidRPr="0089284E" w:rsidRDefault="00BA3FCC" w:rsidP="00023762">
            <w:pPr>
              <w:pStyle w:val="BodyText"/>
              <w:keepNext/>
              <w:numPr>
                <w:ilvl w:val="0"/>
                <w:numId w:val="0"/>
              </w:numPr>
              <w:spacing w:before="240"/>
              <w:outlineLvl w:val="2"/>
            </w:pPr>
            <w:r w:rsidRPr="00F92C45">
              <w:rPr>
                <w:noProof/>
              </w:rPr>
              <w:drawing>
                <wp:inline distT="0" distB="0" distL="0" distR="0">
                  <wp:extent cx="2849661" cy="1803832"/>
                  <wp:effectExtent l="0" t="0" r="0" b="0"/>
                  <wp:docPr id="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850752" cy="1804523"/>
                          </a:xfrm>
                          <a:prstGeom prst="rect">
                            <a:avLst/>
                          </a:prstGeom>
                          <a:noFill/>
                          <a:ln>
                            <a:noFill/>
                          </a:ln>
                        </pic:spPr>
                      </pic:pic>
                    </a:graphicData>
                  </a:graphic>
                </wp:inline>
              </w:drawing>
            </w:r>
          </w:p>
        </w:tc>
      </w:tr>
    </w:tbl>
    <w:p w:rsidR="002369A6" w:rsidRPr="000A3C73" w:rsidRDefault="002369A6" w:rsidP="002369A6">
      <w:pPr>
        <w:pStyle w:val="BodyText"/>
        <w:numPr>
          <w:ilvl w:val="0"/>
          <w:numId w:val="0"/>
        </w:num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878"/>
        <w:gridCol w:w="4698"/>
      </w:tblGrid>
      <w:tr w:rsidR="00205F9F" w:rsidRPr="000A3C73" w:rsidTr="00B46ECA">
        <w:tc>
          <w:tcPr>
            <w:tcW w:w="4878" w:type="dxa"/>
          </w:tcPr>
          <w:p w:rsidR="00205F9F" w:rsidRPr="000A3C73" w:rsidRDefault="00205F9F" w:rsidP="00023762">
            <w:pPr>
              <w:pStyle w:val="Caption"/>
              <w:jc w:val="both"/>
            </w:pPr>
            <w:bookmarkStart w:id="74" w:name="_Ref210969139"/>
            <w:r w:rsidRPr="000A3C73">
              <w:t xml:space="preserve">Figure </w:t>
            </w:r>
            <w:r w:rsidR="008269C6" w:rsidRPr="00552EEF">
              <w:fldChar w:fldCharType="begin"/>
            </w:r>
            <w:r w:rsidR="00CF23E9" w:rsidRPr="000A3C73">
              <w:instrText xml:space="preserve"> SEQ Figure \* ARABIC </w:instrText>
            </w:r>
            <w:r w:rsidR="008269C6" w:rsidRPr="00552EEF">
              <w:fldChar w:fldCharType="separate"/>
            </w:r>
            <w:r w:rsidR="006E18A7" w:rsidRPr="000A3C73">
              <w:rPr>
                <w:noProof/>
              </w:rPr>
              <w:t>10</w:t>
            </w:r>
            <w:r w:rsidR="008269C6" w:rsidRPr="00552EEF">
              <w:rPr>
                <w:noProof/>
              </w:rPr>
              <w:fldChar w:fldCharType="end"/>
            </w:r>
            <w:bookmarkEnd w:id="74"/>
            <w:r w:rsidRPr="000A3C73">
              <w:t xml:space="preserve"> Transboundary </w:t>
            </w:r>
            <w:r w:rsidRPr="000A3C73">
              <w:rPr>
                <w:u w:val="single"/>
              </w:rPr>
              <w:t>Planned</w:t>
            </w:r>
            <w:r w:rsidRPr="000A3C73">
              <w:t xml:space="preserve"> by Outcome</w:t>
            </w:r>
          </w:p>
          <w:p w:rsidR="00205F9F" w:rsidRPr="0089284E" w:rsidRDefault="00023762" w:rsidP="00023762">
            <w:pPr>
              <w:pStyle w:val="BodyText"/>
              <w:keepNext/>
              <w:numPr>
                <w:ilvl w:val="0"/>
                <w:numId w:val="0"/>
              </w:numPr>
              <w:spacing w:before="240"/>
              <w:outlineLvl w:val="2"/>
            </w:pPr>
            <w:r w:rsidRPr="00F92C45">
              <w:rPr>
                <w:noProof/>
              </w:rPr>
              <w:drawing>
                <wp:inline distT="0" distB="0" distL="0" distR="0">
                  <wp:extent cx="2954655" cy="1752600"/>
                  <wp:effectExtent l="0" t="0" r="0" b="0"/>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954655" cy="1752600"/>
                          </a:xfrm>
                          <a:prstGeom prst="rect">
                            <a:avLst/>
                          </a:prstGeom>
                          <a:noFill/>
                          <a:ln>
                            <a:noFill/>
                          </a:ln>
                        </pic:spPr>
                      </pic:pic>
                    </a:graphicData>
                  </a:graphic>
                </wp:inline>
              </w:drawing>
            </w:r>
          </w:p>
        </w:tc>
        <w:tc>
          <w:tcPr>
            <w:tcW w:w="4698" w:type="dxa"/>
          </w:tcPr>
          <w:p w:rsidR="00205F9F" w:rsidRPr="000A3C73" w:rsidRDefault="00205F9F" w:rsidP="00023762">
            <w:pPr>
              <w:pStyle w:val="Caption"/>
              <w:jc w:val="both"/>
            </w:pPr>
            <w:bookmarkStart w:id="75" w:name="_Ref210969149"/>
            <w:r w:rsidRPr="000A3C73">
              <w:t xml:space="preserve">Figure </w:t>
            </w:r>
            <w:r w:rsidR="008269C6" w:rsidRPr="00552EEF">
              <w:fldChar w:fldCharType="begin"/>
            </w:r>
            <w:r w:rsidR="00CF23E9" w:rsidRPr="000A3C73">
              <w:instrText xml:space="preserve"> SEQ Figure \* ARABIC </w:instrText>
            </w:r>
            <w:r w:rsidR="008269C6" w:rsidRPr="00552EEF">
              <w:fldChar w:fldCharType="separate"/>
            </w:r>
            <w:r w:rsidR="006E18A7" w:rsidRPr="000A3C73">
              <w:rPr>
                <w:noProof/>
              </w:rPr>
              <w:t>11</w:t>
            </w:r>
            <w:r w:rsidR="008269C6" w:rsidRPr="00552EEF">
              <w:rPr>
                <w:noProof/>
              </w:rPr>
              <w:fldChar w:fldCharType="end"/>
            </w:r>
            <w:bookmarkEnd w:id="75"/>
            <w:r w:rsidRPr="000A3C73">
              <w:t xml:space="preserve"> Transboundary </w:t>
            </w:r>
            <w:r w:rsidRPr="000A3C73">
              <w:rPr>
                <w:u w:val="single"/>
              </w:rPr>
              <w:t>Actual</w:t>
            </w:r>
            <w:r w:rsidRPr="000A3C73">
              <w:t xml:space="preserve"> by Outcome</w:t>
            </w:r>
          </w:p>
          <w:p w:rsidR="00205F9F" w:rsidRPr="0089284E" w:rsidRDefault="00023762" w:rsidP="00023762">
            <w:pPr>
              <w:pStyle w:val="BodyText"/>
              <w:keepNext/>
              <w:numPr>
                <w:ilvl w:val="0"/>
                <w:numId w:val="0"/>
              </w:numPr>
              <w:spacing w:before="240"/>
              <w:outlineLvl w:val="2"/>
            </w:pPr>
            <w:r w:rsidRPr="00F92C45">
              <w:rPr>
                <w:noProof/>
              </w:rPr>
              <w:drawing>
                <wp:inline distT="0" distB="0" distL="0" distR="0">
                  <wp:extent cx="2844800" cy="1710055"/>
                  <wp:effectExtent l="0" t="0" r="0" b="0"/>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844800" cy="1710055"/>
                          </a:xfrm>
                          <a:prstGeom prst="rect">
                            <a:avLst/>
                          </a:prstGeom>
                          <a:noFill/>
                          <a:ln>
                            <a:noFill/>
                          </a:ln>
                        </pic:spPr>
                      </pic:pic>
                    </a:graphicData>
                  </a:graphic>
                </wp:inline>
              </w:drawing>
            </w:r>
          </w:p>
        </w:tc>
      </w:tr>
    </w:tbl>
    <w:p w:rsidR="002369A6" w:rsidRPr="000A3C73" w:rsidRDefault="002369A6" w:rsidP="002369A6">
      <w:pPr>
        <w:pStyle w:val="BodyText"/>
        <w:numPr>
          <w:ilvl w:val="0"/>
          <w:numId w:val="0"/>
        </w:numPr>
      </w:pPr>
    </w:p>
    <w:p w:rsidR="00AD3B6B" w:rsidRPr="000A3C73" w:rsidRDefault="001A54F5" w:rsidP="004E7C38">
      <w:pPr>
        <w:pStyle w:val="BodyText"/>
      </w:pPr>
      <w:r w:rsidRPr="000A3C73">
        <w:t>The project management costs for each component, and for the project as a whole, cannot be accurately calculated because the GEF has not clearly and explicitly defined which expenditures should or should not be considered management costs. In addition, the budget lines in the UNDP ATLAS financial management system do not clearly breakdown what UNDP considers “management” costs compared to costs related to technical work. In some cases UNDP provides guidelines to project managers regarding the approximate percentage of their time that should be spen</w:t>
      </w:r>
      <w:r w:rsidR="005E3B00" w:rsidRPr="000A3C73">
        <w:t>t on “management” related items</w:t>
      </w:r>
      <w:r w:rsidRPr="000A3C73">
        <w:t xml:space="preserve">. In virtually all </w:t>
      </w:r>
      <w:r w:rsidR="005E3B00" w:rsidRPr="000A3C73">
        <w:t>projects</w:t>
      </w:r>
      <w:r w:rsidRPr="000A3C73">
        <w:t xml:space="preserve">, a share of project staff time is spent on technical activities, in addition to management activities – so it is not possible to simply equate budget lines related to salaries and office expenses as “project management costs.” </w:t>
      </w:r>
      <w:r w:rsidR="00680498" w:rsidRPr="000A3C73">
        <w:t xml:space="preserve">The structure of the Prespa IEM project did not include a separate component specifically dedicated to project management – management costs were spread among the five outcomes for each of the three components. </w:t>
      </w:r>
      <w:r w:rsidR="004A5317" w:rsidRPr="000A3C73">
        <w:t xml:space="preserve">Therefore it is not clear what the planned management costs were, but the GEF’s stated threshold is 10% of the total budget. </w:t>
      </w:r>
    </w:p>
    <w:p w:rsidR="001A54F5" w:rsidRPr="000A3C73" w:rsidRDefault="004A5317" w:rsidP="004E7C38">
      <w:pPr>
        <w:pStyle w:val="BodyText"/>
      </w:pPr>
      <w:r w:rsidRPr="000A3C73">
        <w:t xml:space="preserve">Based on the information available, it is likely that management costs for the Prespa IEM project exceeded the planned costs. For one, the project was </w:t>
      </w:r>
      <w:r w:rsidR="00AD3B6B" w:rsidRPr="000A3C73">
        <w:t>implemented over a longer period than planned, so management costs as a share of the total budget were likely higher. In addition, the largest share of management costs were slated under Outcome 5 (Lessons Learned and Adaptive Management) and the expenditure for this outcome was higher than planned for both the Albania and Macedonia components, while it was lower for the Transboundary component but only because the component under</w:t>
      </w:r>
      <w:r w:rsidR="000E1881" w:rsidRPr="000A3C73">
        <w:t>-</w:t>
      </w:r>
      <w:r w:rsidR="00AD3B6B" w:rsidRPr="000A3C73">
        <w:t xml:space="preserve">delivered as a whole. </w:t>
      </w:r>
      <w:r w:rsidR="005E3B00" w:rsidRPr="000A3C73">
        <w:t xml:space="preserve">For this evaluation the transboundary component provided internal calculations of management costs, calculated to 20.3% of expenditure under the transboundary component. </w:t>
      </w:r>
      <w:r w:rsidR="00B37B22" w:rsidRPr="000A3C73">
        <w:t>Under the Albania component, as highlighted above, the expenditure for Outcome 5 increased from a planned 20% of GEF resources to more than 35%, but it should be kept in mind that Outcome 5 does not correspond directly to management costs</w:t>
      </w:r>
      <w:r w:rsidR="002C059A" w:rsidRPr="000A3C73">
        <w:t>, as it includes additional items</w:t>
      </w:r>
      <w:r w:rsidR="00B37B22" w:rsidRPr="000A3C73">
        <w:t xml:space="preserve">. </w:t>
      </w:r>
      <w:r w:rsidR="009C4DF3" w:rsidRPr="000A3C73">
        <w:t xml:space="preserve">According to information in the project mid-term evaluation, the discrepancy of planned vs. actual Outcome 5 costs between the Albania and Macedonia component can partly be explained by differing approaches by project managers in each country regarding which budget line items such as salaries, rent, utilities, and transportation were charged to. </w:t>
      </w:r>
    </w:p>
    <w:p w:rsidR="002C0C02" w:rsidRPr="000A3C73" w:rsidRDefault="002C059A" w:rsidP="002C0C02">
      <w:pPr>
        <w:pStyle w:val="BodyText"/>
      </w:pPr>
      <w:r w:rsidRPr="000A3C73">
        <w:t>The project monitoring and evaluation budget was also not broken out separately from among the five outcomes and three components, and there was one M&amp;E budget for the entire project specified in the project document: $150,000, which is adequate for a project of this size. This primarily reflects the costs of mid-term and final evaluations, audits, and the inception workshop. The UNDP Macedonia Country Office was responsible for organizing the mid-term and final evaluati</w:t>
      </w:r>
      <w:r w:rsidR="009E108B" w:rsidRPr="000A3C73">
        <w:t xml:space="preserve">ons, and a separate “inception” budget line was included in the Macedonia national component ATLAS budget. </w:t>
      </w:r>
    </w:p>
    <w:p w:rsidR="004E7C38" w:rsidRPr="000A3C73" w:rsidRDefault="004E7C38" w:rsidP="002C0C02">
      <w:pPr>
        <w:pStyle w:val="BodyText"/>
      </w:pPr>
      <w:r w:rsidRPr="000A3C73">
        <w:t xml:space="preserve">Both </w:t>
      </w:r>
      <w:r w:rsidR="00716EC4" w:rsidRPr="000A3C73">
        <w:t>the Albania and Macedonia</w:t>
      </w:r>
      <w:r w:rsidRPr="000A3C73">
        <w:t xml:space="preserve"> components were implemented in a NEX modality and occasional external audits were performed. The Albania component was audited in 2007 and 2009, with no major problems noted. The Transboundary component is implemented in a DEX modality and hence no external audit was performed. The project was included in a wider internal UNDP report in 2008.</w:t>
      </w:r>
      <w:r w:rsidR="00472525" w:rsidRPr="000A3C73">
        <w:t xml:space="preserve"> The Macedonia component was audited in 2010 for the period covering 2006 – 2010, and no major issues were found. </w:t>
      </w:r>
    </w:p>
    <w:p w:rsidR="004E7C38" w:rsidRPr="000A3C73" w:rsidRDefault="0023273C" w:rsidP="004E7C38">
      <w:pPr>
        <w:pStyle w:val="Heading3"/>
        <w:ind w:left="1440"/>
      </w:pPr>
      <w:bookmarkStart w:id="76" w:name="_Toc238551066"/>
      <w:r w:rsidRPr="000A3C73">
        <w:t xml:space="preserve">Prespa IEM Project </w:t>
      </w:r>
      <w:r w:rsidR="004E7C38" w:rsidRPr="000A3C73">
        <w:t>Co-financing</w:t>
      </w:r>
      <w:bookmarkEnd w:id="76"/>
    </w:p>
    <w:p w:rsidR="00EA5859" w:rsidRPr="000A3C73" w:rsidRDefault="00EA5859" w:rsidP="004948D9">
      <w:pPr>
        <w:pStyle w:val="BodyText"/>
      </w:pPr>
      <w:r w:rsidRPr="000A3C73">
        <w:t xml:space="preserve">There </w:t>
      </w:r>
      <w:r w:rsidR="0023273C" w:rsidRPr="000A3C73">
        <w:t>are discrepancies</w:t>
      </w:r>
      <w:r w:rsidRPr="000A3C73">
        <w:t xml:space="preserve"> about the amount of expected co-financing for the project, as different sources provide different co-financing figures. </w:t>
      </w:r>
      <w:r w:rsidR="004948D9" w:rsidRPr="00CD42DE">
        <w:t>The planned and the actual co-financing of t</w:t>
      </w:r>
      <w:r w:rsidR="004948D9" w:rsidRPr="00AA7D1F">
        <w:t xml:space="preserve">he project </w:t>
      </w:r>
      <w:r w:rsidR="004948D9">
        <w:t xml:space="preserve">discerned by this evaluation </w:t>
      </w:r>
      <w:r w:rsidR="004948D9" w:rsidRPr="00AA7D1F">
        <w:t xml:space="preserve">are shown in </w:t>
      </w:r>
      <w:r w:rsidR="008269C6" w:rsidRPr="005E69C8">
        <w:fldChar w:fldCharType="begin"/>
      </w:r>
      <w:r w:rsidR="004948D9" w:rsidRPr="000A3C73">
        <w:instrText xml:space="preserve"> REF _Ref199310280 \h </w:instrText>
      </w:r>
      <w:r w:rsidR="008269C6" w:rsidRPr="005E69C8">
        <w:fldChar w:fldCharType="separate"/>
      </w:r>
      <w:r w:rsidR="004948D9" w:rsidRPr="000A3C73">
        <w:t xml:space="preserve">Table </w:t>
      </w:r>
      <w:r w:rsidR="004948D9" w:rsidRPr="000A3C73">
        <w:rPr>
          <w:noProof/>
        </w:rPr>
        <w:t>7</w:t>
      </w:r>
      <w:r w:rsidR="008269C6" w:rsidRPr="005E69C8">
        <w:fldChar w:fldCharType="end"/>
      </w:r>
      <w:r w:rsidR="004948D9" w:rsidRPr="00FC657B">
        <w:t xml:space="preserve"> b</w:t>
      </w:r>
      <w:r w:rsidR="004948D9" w:rsidRPr="00D77DF1">
        <w:t>elow</w:t>
      </w:r>
      <w:r w:rsidR="004948D9" w:rsidRPr="00CD42DE">
        <w:t xml:space="preserve">, using the </w:t>
      </w:r>
      <w:r w:rsidR="004948D9" w:rsidRPr="00AA7D1F">
        <w:t xml:space="preserve">planned co-financing amount of $8.636. In addition, the specific sources of co-financing as foreseen in the project document are shown in </w:t>
      </w:r>
      <w:r w:rsidR="008269C6" w:rsidRPr="005E69C8">
        <w:fldChar w:fldCharType="begin"/>
      </w:r>
      <w:r w:rsidR="004948D9" w:rsidRPr="000A3C73">
        <w:instrText xml:space="preserve"> REF _Ref210979915 \h </w:instrText>
      </w:r>
      <w:r w:rsidR="008269C6" w:rsidRPr="005E69C8">
        <w:fldChar w:fldCharType="separate"/>
      </w:r>
      <w:r w:rsidR="004948D9" w:rsidRPr="000A3C73">
        <w:t xml:space="preserve">Table </w:t>
      </w:r>
      <w:r w:rsidR="004948D9" w:rsidRPr="000A3C73">
        <w:rPr>
          <w:noProof/>
        </w:rPr>
        <w:t>8</w:t>
      </w:r>
      <w:r w:rsidR="008269C6" w:rsidRPr="005E69C8">
        <w:fldChar w:fldCharType="end"/>
      </w:r>
      <w:r w:rsidR="004948D9" w:rsidRPr="00FC657B">
        <w:t xml:space="preserve">. </w:t>
      </w:r>
      <w:r w:rsidR="00FB6A07" w:rsidRPr="000A3C73">
        <w:t xml:space="preserve">The project document “Incremental Cost Matrix” shows the expected co-financing for each outcome by source, and the sum of these figures results in a total co-financing figure of $8.636 million USD. This is also the amount recorded in the GEF public online project database, and it is the figure applied by this evaluation. At the same time, the project document “Signature page” for the three components (beginning on page 131 of the project document) provide a summary of financing for each component, include GEF financing and co-financing, and summing the figures provided gives a total co-financing amount of </w:t>
      </w:r>
      <w:r w:rsidR="007851D5" w:rsidRPr="000A3C73">
        <w:t xml:space="preserve">$9.65 million USD. </w:t>
      </w:r>
      <w:r w:rsidR="007A56EE" w:rsidRPr="000A3C73">
        <w:t xml:space="preserve">UNDP’s PIR format also provides an opportunity to review co-financing, including the amount promised at approval. The 2008 PIR gives a total co-financing figure of $8.81 million USD, while the 2010 PIR provides a figure of $4.636 million, but also gives a figure of $6.433 USD co-financing expected by project end. </w:t>
      </w:r>
    </w:p>
    <w:p w:rsidR="000C242A" w:rsidRPr="00FC657B" w:rsidRDefault="003502AA" w:rsidP="004E7C38">
      <w:pPr>
        <w:pStyle w:val="BodyText"/>
      </w:pPr>
      <w:r w:rsidRPr="000A3C73">
        <w:t xml:space="preserve">In addition, there is not clear information about whether co-financing was expected as in-kind or cash, other than the $0.27 million in direct contributions from the Government of Albania and UNDP TRAC that were implemented by UNDP in the Albania component. </w:t>
      </w:r>
      <w:r w:rsidR="00A74603" w:rsidRPr="000A3C73">
        <w:t>Other sources of co-financing were implemented separately, and some of these may be considered as either c</w:t>
      </w:r>
      <w:r w:rsidR="00B063EE" w:rsidRPr="000A3C73">
        <w:t>ash or in-kind. For example, KfW</w:t>
      </w:r>
      <w:r w:rsidR="00A74603" w:rsidRPr="000A3C73">
        <w:t xml:space="preserve"> provided funding in Albania to support the Prespa National Park</w:t>
      </w:r>
      <w:r w:rsidR="00B063EE" w:rsidRPr="000A3C73">
        <w:t xml:space="preserve"> (Albania) and</w:t>
      </w:r>
      <w:r w:rsidR="00A74603" w:rsidRPr="000A3C73">
        <w:t xml:space="preserve"> </w:t>
      </w:r>
      <w:r w:rsidR="00D4199C" w:rsidRPr="008F2522">
        <w:rPr>
          <w:u w:val="single"/>
        </w:rPr>
        <w:t>Galičica</w:t>
      </w:r>
      <w:r w:rsidR="00D4199C" w:rsidRPr="00D4199C">
        <w:rPr>
          <w:i/>
          <w:u w:val="single"/>
        </w:rPr>
        <w:t xml:space="preserve"> </w:t>
      </w:r>
      <w:r w:rsidR="00A74603" w:rsidRPr="000A3C73">
        <w:t>National Park</w:t>
      </w:r>
      <w:r w:rsidR="00B063EE" w:rsidRPr="000A3C73">
        <w:t xml:space="preserve"> (Macedonia)</w:t>
      </w:r>
      <w:r w:rsidR="00A74603" w:rsidRPr="000A3C73">
        <w:t xml:space="preserve">, </w:t>
      </w:r>
      <w:r w:rsidR="00B063EE" w:rsidRPr="000A3C73">
        <w:t>and the</w:t>
      </w:r>
      <w:r w:rsidR="00094A96" w:rsidRPr="000A3C73">
        <w:t xml:space="preserve"> </w:t>
      </w:r>
      <w:r w:rsidR="002040E2">
        <w:t>SDC</w:t>
      </w:r>
      <w:r w:rsidR="00B063EE" w:rsidRPr="000A3C73">
        <w:t xml:space="preserve"> provided </w:t>
      </w:r>
      <w:r w:rsidR="00A74603" w:rsidRPr="000A3C73">
        <w:t>funding in Macedonia for the actual technical work of restoration of the Golema Reka tributary</w:t>
      </w:r>
      <w:r w:rsidR="00A74603" w:rsidRPr="00FC657B">
        <w:t xml:space="preserve">. </w:t>
      </w:r>
      <w:r w:rsidR="00141D9E" w:rsidRPr="00CD42DE">
        <w:t>Based o</w:t>
      </w:r>
      <w:r w:rsidR="00141D9E" w:rsidRPr="00AA7D1F">
        <w:t>n the confirmed amounts of co-financing provided (as outlined in the 2012 PIR), the total estimated amount of co-financing received is $7.43 million, or 86</w:t>
      </w:r>
      <w:r w:rsidR="00DF3943" w:rsidRPr="005E69C8">
        <w:t>.0</w:t>
      </w:r>
      <w:r w:rsidR="00141D9E" w:rsidRPr="00850A96">
        <w:t>% of the expected co-financing, and a GEF to co-financing ratio of 1:1.8. However, this figure does no</w:t>
      </w:r>
      <w:r w:rsidR="00141D9E" w:rsidRPr="008B7E9A">
        <w:t>t include co-financing from activities in Greek Prespa, where there undoubtedly was some support provided, at the very least in terms of in-kind support from SPP and Greek Prespa municipality. While the confirmed actual co-financing appears to be below wha</w:t>
      </w:r>
      <w:r w:rsidR="00141D9E" w:rsidRPr="000126EE">
        <w:t>t was expected, there was also likely additional co-financing from various sources – for example, the time of the many national experts that participated in the transboundary working groups (e.g. the environmental monitoring working group) was not compensa</w:t>
      </w:r>
      <w:r w:rsidR="00141D9E" w:rsidRPr="00B71D27">
        <w:t>ted, only their travel, meals and accommodations were usually re</w:t>
      </w:r>
      <w:r w:rsidR="00A94AAA" w:rsidRPr="00595792">
        <w:t>imbursed.</w:t>
      </w:r>
      <w:r w:rsidR="004948D9">
        <w:t xml:space="preserve"> </w:t>
      </w:r>
      <w:r w:rsidR="00C75A16" w:rsidRPr="00602E30">
        <w:t xml:space="preserve">Considering the technical and geographic breadth of the project, almost any activity in the past six years in the Prespa basin that has supported sustainable development could be considering co-financing, or </w:t>
      </w:r>
      <w:r w:rsidR="006E3003" w:rsidRPr="002A69B7">
        <w:t>at least</w:t>
      </w:r>
      <w:r w:rsidR="00C75A16" w:rsidRPr="002C744B">
        <w:t xml:space="preserve"> “</w:t>
      </w:r>
      <w:r w:rsidR="009F7EEB" w:rsidRPr="00C56966">
        <w:t>associated</w:t>
      </w:r>
      <w:r w:rsidR="00C75A16" w:rsidRPr="002D3949">
        <w:t>”</w:t>
      </w:r>
      <w:r w:rsidR="009F7EEB" w:rsidRPr="000A3C73">
        <w:t xml:space="preserve"> financing.</w:t>
      </w:r>
      <w:r w:rsidR="009F7EEB" w:rsidRPr="00FC657B">
        <w:rPr>
          <w:rStyle w:val="FootnoteReference"/>
        </w:rPr>
        <w:footnoteReference w:id="11"/>
      </w:r>
    </w:p>
    <w:p w:rsidR="009A5894" w:rsidRPr="00C56966" w:rsidRDefault="00561A04" w:rsidP="002D4BA0">
      <w:pPr>
        <w:pStyle w:val="BodyText"/>
      </w:pPr>
      <w:r w:rsidRPr="00D77DF1">
        <w:t>The project also</w:t>
      </w:r>
      <w:r w:rsidR="00373C3A" w:rsidRPr="00CD42DE">
        <w:t xml:space="preserve"> leveraged additional resources</w:t>
      </w:r>
      <w:r w:rsidR="004948D9">
        <w:t>. A</w:t>
      </w:r>
      <w:r w:rsidR="00373C3A" w:rsidRPr="00CD42DE">
        <w:t xml:space="preserve">ccording to </w:t>
      </w:r>
      <w:r w:rsidR="00581CC1">
        <w:t>UNDP Macedonia</w:t>
      </w:r>
      <w:r w:rsidR="00373C3A" w:rsidRPr="00CD42DE">
        <w:t xml:space="preserve">, leveraged resources </w:t>
      </w:r>
      <w:r w:rsidR="00373C3A" w:rsidRPr="00096585">
        <w:t xml:space="preserve">totaled </w:t>
      </w:r>
      <w:r w:rsidR="00373C3A" w:rsidRPr="0089284E">
        <w:t>$</w:t>
      </w:r>
      <w:r w:rsidR="00581CC1" w:rsidRPr="0089284E">
        <w:t>9.93</w:t>
      </w:r>
      <w:r w:rsidR="00373C3A" w:rsidRPr="0089284E">
        <w:t xml:space="preserve"> million USD,</w:t>
      </w:r>
      <w:r w:rsidR="00373C3A" w:rsidRPr="00096585">
        <w:t xml:space="preserve"> all from</w:t>
      </w:r>
      <w:r w:rsidR="00373C3A" w:rsidRPr="00D77DF1">
        <w:t xml:space="preserve"> the SDC.</w:t>
      </w:r>
      <w:r w:rsidR="00581CC1">
        <w:rPr>
          <w:rStyle w:val="FootnoteReference"/>
        </w:rPr>
        <w:footnoteReference w:id="12"/>
      </w:r>
      <w:r w:rsidR="00373C3A" w:rsidRPr="00D77DF1">
        <w:t xml:space="preserve"> Notably this inc</w:t>
      </w:r>
      <w:r w:rsidR="00373C3A" w:rsidRPr="00CD42DE">
        <w:t xml:space="preserve">ludes </w:t>
      </w:r>
      <w:r w:rsidRPr="00AA7D1F">
        <w:t xml:space="preserve">the </w:t>
      </w:r>
      <w:r w:rsidR="00373C3A" w:rsidRPr="005E69C8">
        <w:t>implementa</w:t>
      </w:r>
      <w:r w:rsidR="00373C3A" w:rsidRPr="00850A96">
        <w:t xml:space="preserve">tion of the watershed management plan </w:t>
      </w:r>
      <w:r w:rsidRPr="008B7E9A">
        <w:t xml:space="preserve">follow-up project in Macedonia with </w:t>
      </w:r>
      <w:r w:rsidR="007963DF" w:rsidRPr="000126EE">
        <w:t>5 million Swiss francs ($5.36 million USD)</w:t>
      </w:r>
      <w:r w:rsidR="0009564F" w:rsidRPr="00B71D27">
        <w:t xml:space="preserve"> (see Section </w:t>
      </w:r>
      <w:r w:rsidR="008269C6" w:rsidRPr="005E69C8">
        <w:fldChar w:fldCharType="begin"/>
      </w:r>
      <w:r w:rsidR="0009564F" w:rsidRPr="000A3C73">
        <w:instrText xml:space="preserve"> REF _Ref210981095 \w \h </w:instrText>
      </w:r>
      <w:r w:rsidR="008269C6" w:rsidRPr="005E69C8">
        <w:fldChar w:fldCharType="separate"/>
      </w:r>
      <w:r w:rsidR="006E18A7" w:rsidRPr="005E69C8">
        <w:t>VI.A.i</w:t>
      </w:r>
      <w:r w:rsidR="008269C6" w:rsidRPr="005E69C8">
        <w:fldChar w:fldCharType="end"/>
      </w:r>
      <w:r w:rsidR="0009564F" w:rsidRPr="00FC657B">
        <w:t xml:space="preserve"> on financial sustainability)</w:t>
      </w:r>
      <w:r w:rsidR="007963DF" w:rsidRPr="00D77DF1">
        <w:t xml:space="preserve">. </w:t>
      </w:r>
      <w:r w:rsidR="00373C3A" w:rsidRPr="00CD42DE">
        <w:t>In addition</w:t>
      </w:r>
      <w:r w:rsidR="00373C3A" w:rsidRPr="00096585">
        <w:t>, $</w:t>
      </w:r>
      <w:r w:rsidR="00373C3A" w:rsidRPr="0089284E">
        <w:t>2.07</w:t>
      </w:r>
      <w:r w:rsidR="00373C3A" w:rsidRPr="00096585">
        <w:t xml:space="preserve"> million</w:t>
      </w:r>
      <w:r w:rsidR="00373C3A" w:rsidRPr="005E69C8">
        <w:t xml:space="preserve"> USD went for further restoration </w:t>
      </w:r>
      <w:r w:rsidR="00373C3A" w:rsidRPr="00850A96">
        <w:t>of the Golema Reka tributary, and $0.79 million USD for construction of the organic waste composting facility</w:t>
      </w:r>
      <w:r w:rsidR="002D4BA0" w:rsidRPr="008B7E9A">
        <w:t xml:space="preserve"> (for which the project funded the feasibility study)</w:t>
      </w:r>
      <w:r w:rsidR="00373C3A" w:rsidRPr="000126EE">
        <w:t xml:space="preserve">. </w:t>
      </w:r>
      <w:r w:rsidR="007963DF" w:rsidRPr="00B71D27">
        <w:t xml:space="preserve">There were </w:t>
      </w:r>
      <w:r w:rsidR="00B7626A" w:rsidRPr="00595792">
        <w:t xml:space="preserve">also </w:t>
      </w:r>
      <w:r w:rsidR="007963DF" w:rsidRPr="00602E30">
        <w:t>other efforts in the region, including the work initiated by various stakeholders on the potential for designating the Prespa b</w:t>
      </w:r>
      <w:r w:rsidR="007963DF" w:rsidRPr="002A69B7">
        <w:t>asin as a transbou</w:t>
      </w:r>
      <w:r w:rsidR="00B7626A" w:rsidRPr="002C744B">
        <w:t>ndary UNESCO biosphere reserve.</w:t>
      </w:r>
    </w:p>
    <w:p w:rsidR="00A17E0C" w:rsidRPr="000A3C73" w:rsidRDefault="00A17E0C" w:rsidP="002D4BA0">
      <w:pPr>
        <w:pStyle w:val="BodyText"/>
        <w:sectPr w:rsidR="00A17E0C" w:rsidRPr="000A3C73">
          <w:headerReference w:type="default" r:id="rId30"/>
          <w:pgSz w:w="12240" w:h="15840"/>
          <w:pgMar w:top="1440" w:right="1440" w:bottom="1440" w:left="1440" w:header="720" w:footer="720" w:gutter="0"/>
          <w:cols w:space="720"/>
        </w:sectPr>
      </w:pPr>
    </w:p>
    <w:p w:rsidR="00A17E0C" w:rsidRPr="000A3C73" w:rsidRDefault="00A17E0C" w:rsidP="00A17E0C">
      <w:pPr>
        <w:pStyle w:val="Caption"/>
      </w:pPr>
      <w:bookmarkStart w:id="77" w:name="_Ref199310280"/>
      <w:r w:rsidRPr="000A3C73">
        <w:t xml:space="preserve">Table </w:t>
      </w:r>
      <w:r w:rsidR="008269C6" w:rsidRPr="00552EEF">
        <w:fldChar w:fldCharType="begin"/>
      </w:r>
      <w:r w:rsidR="00190FB1" w:rsidRPr="000A3C73">
        <w:instrText xml:space="preserve"> SEQ Table \* ARABIC </w:instrText>
      </w:r>
      <w:r w:rsidR="008269C6" w:rsidRPr="00552EEF">
        <w:fldChar w:fldCharType="separate"/>
      </w:r>
      <w:r w:rsidR="006E18A7" w:rsidRPr="000A3C73">
        <w:rPr>
          <w:noProof/>
        </w:rPr>
        <w:t>7</w:t>
      </w:r>
      <w:r w:rsidR="008269C6" w:rsidRPr="00552EEF">
        <w:rPr>
          <w:noProof/>
        </w:rPr>
        <w:fldChar w:fldCharType="end"/>
      </w:r>
      <w:bookmarkEnd w:id="77"/>
      <w:r w:rsidRPr="000A3C73">
        <w:t xml:space="preserve"> Project Planned and Actual Co-financing Through </w:t>
      </w:r>
      <w:r w:rsidR="00163C20" w:rsidRPr="000A3C73">
        <w:t>June 30</w:t>
      </w:r>
      <w:r w:rsidRPr="000A3C73">
        <w:t xml:space="preserve">, 2012 </w:t>
      </w:r>
      <w:r w:rsidRPr="000A3C73">
        <w:rPr>
          <w:sz w:val="20"/>
        </w:rPr>
        <w:t>(USD)</w:t>
      </w:r>
    </w:p>
    <w:tbl>
      <w:tblPr>
        <w:tblW w:w="4927" w:type="pct"/>
        <w:tblInd w:w="18" w:type="dxa"/>
        <w:tblLayout w:type="fixed"/>
        <w:tblLook w:val="0000"/>
      </w:tblPr>
      <w:tblGrid>
        <w:gridCol w:w="1980"/>
        <w:gridCol w:w="1085"/>
        <w:gridCol w:w="989"/>
        <w:gridCol w:w="992"/>
        <w:gridCol w:w="901"/>
        <w:gridCol w:w="992"/>
        <w:gridCol w:w="901"/>
        <w:gridCol w:w="992"/>
        <w:gridCol w:w="815"/>
        <w:gridCol w:w="1083"/>
        <w:gridCol w:w="1085"/>
        <w:gridCol w:w="1169"/>
      </w:tblGrid>
      <w:tr w:rsidR="00A17E0C" w:rsidRPr="000A3C73" w:rsidTr="002369A6">
        <w:trPr>
          <w:trHeight w:val="327"/>
        </w:trPr>
        <w:tc>
          <w:tcPr>
            <w:tcW w:w="762" w:type="pct"/>
            <w:tcBorders>
              <w:top w:val="single" w:sz="6" w:space="0" w:color="auto"/>
              <w:left w:val="single" w:sz="6" w:space="0" w:color="auto"/>
              <w:bottom w:val="single" w:sz="6" w:space="0" w:color="auto"/>
              <w:right w:val="single" w:sz="6" w:space="0" w:color="auto"/>
            </w:tcBorders>
            <w:shd w:val="solid" w:color="969696" w:fill="auto"/>
          </w:tcPr>
          <w:p w:rsidR="00A17E0C" w:rsidRPr="000A3C73" w:rsidRDefault="00A17E0C" w:rsidP="002369A6">
            <w:pPr>
              <w:autoSpaceDE w:val="0"/>
              <w:autoSpaceDN w:val="0"/>
              <w:adjustRightInd w:val="0"/>
              <w:rPr>
                <w:rFonts w:ascii="Calibri" w:hAnsi="Calibri" w:cs="Calibri"/>
                <w:b/>
                <w:bCs/>
                <w:color w:val="000000"/>
                <w:sz w:val="18"/>
                <w:szCs w:val="18"/>
              </w:rPr>
            </w:pPr>
            <w:r w:rsidRPr="000A3C73">
              <w:rPr>
                <w:rFonts w:ascii="Calibri" w:hAnsi="Calibri" w:cs="Calibri"/>
                <w:b/>
                <w:bCs/>
                <w:color w:val="000000"/>
                <w:sz w:val="18"/>
                <w:szCs w:val="18"/>
              </w:rPr>
              <w:t>Co-financing (Type/Source)</w:t>
            </w:r>
          </w:p>
        </w:tc>
        <w:tc>
          <w:tcPr>
            <w:tcW w:w="799" w:type="pct"/>
            <w:gridSpan w:val="2"/>
            <w:tcBorders>
              <w:top w:val="single" w:sz="6" w:space="0" w:color="auto"/>
              <w:left w:val="single" w:sz="6" w:space="0" w:color="auto"/>
              <w:bottom w:val="single" w:sz="6" w:space="0" w:color="auto"/>
              <w:right w:val="single" w:sz="6" w:space="0" w:color="auto"/>
            </w:tcBorders>
            <w:shd w:val="solid" w:color="969696" w:fill="auto"/>
          </w:tcPr>
          <w:p w:rsidR="00A17E0C" w:rsidRPr="000A3C73" w:rsidRDefault="00A17E0C" w:rsidP="002369A6">
            <w:pPr>
              <w:autoSpaceDE w:val="0"/>
              <w:autoSpaceDN w:val="0"/>
              <w:adjustRightInd w:val="0"/>
              <w:jc w:val="center"/>
              <w:rPr>
                <w:rFonts w:ascii="Calibri" w:hAnsi="Calibri" w:cs="Calibri"/>
                <w:b/>
                <w:bCs/>
                <w:color w:val="000000"/>
                <w:sz w:val="18"/>
                <w:szCs w:val="18"/>
              </w:rPr>
            </w:pPr>
            <w:r w:rsidRPr="000A3C73">
              <w:rPr>
                <w:rFonts w:ascii="Calibri" w:hAnsi="Calibri" w:cs="Calibri"/>
                <w:b/>
                <w:bCs/>
                <w:color w:val="000000"/>
                <w:sz w:val="18"/>
                <w:szCs w:val="18"/>
              </w:rPr>
              <w:t>UN Agency</w:t>
            </w:r>
          </w:p>
        </w:tc>
        <w:tc>
          <w:tcPr>
            <w:tcW w:w="729" w:type="pct"/>
            <w:gridSpan w:val="2"/>
            <w:tcBorders>
              <w:top w:val="single" w:sz="6" w:space="0" w:color="auto"/>
              <w:left w:val="single" w:sz="6" w:space="0" w:color="auto"/>
              <w:bottom w:val="single" w:sz="6" w:space="0" w:color="auto"/>
              <w:right w:val="single" w:sz="6" w:space="0" w:color="auto"/>
            </w:tcBorders>
            <w:shd w:val="solid" w:color="969696" w:fill="auto"/>
          </w:tcPr>
          <w:p w:rsidR="00A17E0C" w:rsidRPr="000A3C73" w:rsidRDefault="00A17E0C" w:rsidP="002369A6">
            <w:pPr>
              <w:autoSpaceDE w:val="0"/>
              <w:autoSpaceDN w:val="0"/>
              <w:adjustRightInd w:val="0"/>
              <w:jc w:val="center"/>
              <w:rPr>
                <w:rFonts w:ascii="Calibri" w:hAnsi="Calibri" w:cs="Calibri"/>
                <w:b/>
                <w:bCs/>
                <w:color w:val="000000"/>
                <w:sz w:val="18"/>
                <w:szCs w:val="18"/>
              </w:rPr>
            </w:pPr>
            <w:r w:rsidRPr="000A3C73">
              <w:rPr>
                <w:rFonts w:ascii="Calibri" w:hAnsi="Calibri" w:cs="Calibri"/>
                <w:b/>
                <w:bCs/>
                <w:color w:val="000000"/>
                <w:sz w:val="18"/>
                <w:szCs w:val="18"/>
              </w:rPr>
              <w:t>Central Government</w:t>
            </w:r>
          </w:p>
        </w:tc>
        <w:tc>
          <w:tcPr>
            <w:tcW w:w="729" w:type="pct"/>
            <w:gridSpan w:val="2"/>
            <w:tcBorders>
              <w:top w:val="single" w:sz="6" w:space="0" w:color="auto"/>
              <w:left w:val="single" w:sz="6" w:space="0" w:color="auto"/>
              <w:bottom w:val="single" w:sz="6" w:space="0" w:color="auto"/>
              <w:right w:val="single" w:sz="6" w:space="0" w:color="auto"/>
            </w:tcBorders>
            <w:shd w:val="solid" w:color="969696" w:fill="auto"/>
          </w:tcPr>
          <w:p w:rsidR="00A17E0C" w:rsidRPr="000A3C73" w:rsidRDefault="00A17E0C" w:rsidP="002369A6">
            <w:pPr>
              <w:autoSpaceDE w:val="0"/>
              <w:autoSpaceDN w:val="0"/>
              <w:adjustRightInd w:val="0"/>
              <w:jc w:val="center"/>
              <w:rPr>
                <w:rFonts w:ascii="Calibri" w:hAnsi="Calibri" w:cs="Calibri"/>
                <w:b/>
                <w:bCs/>
                <w:color w:val="000000"/>
                <w:sz w:val="18"/>
                <w:szCs w:val="18"/>
              </w:rPr>
            </w:pPr>
            <w:r w:rsidRPr="000A3C73">
              <w:rPr>
                <w:rFonts w:ascii="Calibri" w:hAnsi="Calibri" w:cs="Calibri"/>
                <w:b/>
                <w:bCs/>
                <w:color w:val="000000"/>
                <w:sz w:val="18"/>
                <w:szCs w:val="18"/>
              </w:rPr>
              <w:t>NGOs</w:t>
            </w:r>
          </w:p>
        </w:tc>
        <w:tc>
          <w:tcPr>
            <w:tcW w:w="696" w:type="pct"/>
            <w:gridSpan w:val="2"/>
            <w:tcBorders>
              <w:top w:val="single" w:sz="6" w:space="0" w:color="auto"/>
              <w:left w:val="single" w:sz="6" w:space="0" w:color="auto"/>
              <w:bottom w:val="single" w:sz="6" w:space="0" w:color="auto"/>
              <w:right w:val="single" w:sz="6" w:space="0" w:color="auto"/>
            </w:tcBorders>
            <w:shd w:val="solid" w:color="969696" w:fill="auto"/>
          </w:tcPr>
          <w:p w:rsidR="00A17E0C" w:rsidRPr="000A3C73" w:rsidRDefault="00A17E0C" w:rsidP="002369A6">
            <w:pPr>
              <w:autoSpaceDE w:val="0"/>
              <w:autoSpaceDN w:val="0"/>
              <w:adjustRightInd w:val="0"/>
              <w:jc w:val="center"/>
              <w:rPr>
                <w:rFonts w:ascii="Calibri" w:hAnsi="Calibri" w:cs="Calibri"/>
                <w:b/>
                <w:bCs/>
                <w:color w:val="000000"/>
                <w:sz w:val="18"/>
                <w:szCs w:val="18"/>
              </w:rPr>
            </w:pPr>
            <w:r w:rsidRPr="000A3C73">
              <w:rPr>
                <w:rFonts w:ascii="Calibri" w:hAnsi="Calibri" w:cs="Calibri"/>
                <w:b/>
                <w:bCs/>
                <w:color w:val="000000"/>
                <w:sz w:val="18"/>
                <w:szCs w:val="18"/>
              </w:rPr>
              <w:t>Other Sources</w:t>
            </w:r>
            <w:r w:rsidR="00861C24" w:rsidRPr="000A3C73">
              <w:rPr>
                <w:rFonts w:ascii="Calibri" w:hAnsi="Calibri" w:cs="Calibri"/>
                <w:b/>
                <w:bCs/>
                <w:color w:val="000000"/>
                <w:sz w:val="18"/>
                <w:szCs w:val="18"/>
              </w:rPr>
              <w:t>*</w:t>
            </w:r>
          </w:p>
        </w:tc>
        <w:tc>
          <w:tcPr>
            <w:tcW w:w="835" w:type="pct"/>
            <w:gridSpan w:val="2"/>
            <w:tcBorders>
              <w:top w:val="single" w:sz="6" w:space="0" w:color="auto"/>
              <w:left w:val="single" w:sz="6" w:space="0" w:color="auto"/>
              <w:bottom w:val="single" w:sz="6" w:space="0" w:color="auto"/>
              <w:right w:val="single" w:sz="6" w:space="0" w:color="auto"/>
            </w:tcBorders>
            <w:shd w:val="solid" w:color="969696" w:fill="auto"/>
          </w:tcPr>
          <w:p w:rsidR="00A17E0C" w:rsidRPr="000A3C73" w:rsidRDefault="00A17E0C" w:rsidP="002369A6">
            <w:pPr>
              <w:autoSpaceDE w:val="0"/>
              <w:autoSpaceDN w:val="0"/>
              <w:adjustRightInd w:val="0"/>
              <w:jc w:val="center"/>
              <w:rPr>
                <w:rFonts w:ascii="Calibri" w:hAnsi="Calibri" w:cs="Calibri"/>
                <w:b/>
                <w:bCs/>
                <w:color w:val="000000"/>
                <w:sz w:val="18"/>
                <w:szCs w:val="18"/>
              </w:rPr>
            </w:pPr>
            <w:r w:rsidRPr="000A3C73">
              <w:rPr>
                <w:rFonts w:ascii="Calibri" w:hAnsi="Calibri" w:cs="Calibri"/>
                <w:b/>
                <w:bCs/>
                <w:color w:val="000000"/>
                <w:sz w:val="18"/>
                <w:szCs w:val="18"/>
              </w:rPr>
              <w:t>Total Co-financing</w:t>
            </w:r>
          </w:p>
        </w:tc>
        <w:tc>
          <w:tcPr>
            <w:tcW w:w="450" w:type="pct"/>
            <w:tcBorders>
              <w:top w:val="single" w:sz="6" w:space="0" w:color="auto"/>
              <w:left w:val="single" w:sz="6" w:space="0" w:color="auto"/>
              <w:bottom w:val="single" w:sz="6" w:space="0" w:color="auto"/>
              <w:right w:val="single" w:sz="6" w:space="0" w:color="auto"/>
            </w:tcBorders>
            <w:shd w:val="solid" w:color="969696" w:fill="auto"/>
          </w:tcPr>
          <w:p w:rsidR="00A17E0C" w:rsidRPr="000A3C73" w:rsidRDefault="00A17E0C" w:rsidP="002369A6">
            <w:pPr>
              <w:autoSpaceDE w:val="0"/>
              <w:autoSpaceDN w:val="0"/>
              <w:adjustRightInd w:val="0"/>
              <w:jc w:val="center"/>
              <w:rPr>
                <w:rFonts w:ascii="Calibri" w:hAnsi="Calibri" w:cs="Calibri"/>
                <w:b/>
                <w:bCs/>
                <w:color w:val="000000"/>
                <w:sz w:val="18"/>
                <w:szCs w:val="18"/>
              </w:rPr>
            </w:pPr>
            <w:r w:rsidRPr="000A3C73">
              <w:rPr>
                <w:rFonts w:ascii="Calibri" w:hAnsi="Calibri" w:cs="Calibri"/>
                <w:b/>
                <w:bCs/>
                <w:color w:val="000000"/>
                <w:sz w:val="18"/>
                <w:szCs w:val="18"/>
              </w:rPr>
              <w:t>Percent of Expected co-financing</w:t>
            </w:r>
          </w:p>
        </w:tc>
      </w:tr>
      <w:tr w:rsidR="00A17E0C" w:rsidRPr="000A3C73" w:rsidTr="002369A6">
        <w:trPr>
          <w:trHeight w:val="111"/>
        </w:trPr>
        <w:tc>
          <w:tcPr>
            <w:tcW w:w="762" w:type="pct"/>
            <w:tcBorders>
              <w:top w:val="single" w:sz="6" w:space="0" w:color="auto"/>
              <w:left w:val="single" w:sz="6" w:space="0" w:color="auto"/>
              <w:bottom w:val="single" w:sz="6" w:space="0" w:color="auto"/>
              <w:right w:val="single" w:sz="6" w:space="0" w:color="auto"/>
            </w:tcBorders>
            <w:shd w:val="solid" w:color="C0C0C0" w:fill="auto"/>
          </w:tcPr>
          <w:p w:rsidR="00A17E0C" w:rsidRPr="000A3C73" w:rsidRDefault="00A17E0C" w:rsidP="002369A6">
            <w:pPr>
              <w:autoSpaceDE w:val="0"/>
              <w:autoSpaceDN w:val="0"/>
              <w:adjustRightInd w:val="0"/>
              <w:jc w:val="center"/>
              <w:rPr>
                <w:rFonts w:ascii="Calibri" w:hAnsi="Calibri" w:cs="Calibri"/>
                <w:color w:val="000000"/>
                <w:sz w:val="18"/>
                <w:szCs w:val="18"/>
              </w:rPr>
            </w:pPr>
          </w:p>
        </w:tc>
        <w:tc>
          <w:tcPr>
            <w:tcW w:w="418" w:type="pct"/>
            <w:tcBorders>
              <w:top w:val="single" w:sz="6" w:space="0" w:color="auto"/>
              <w:left w:val="single" w:sz="6" w:space="0" w:color="auto"/>
              <w:bottom w:val="single" w:sz="6" w:space="0" w:color="auto"/>
              <w:right w:val="single" w:sz="6" w:space="0" w:color="auto"/>
            </w:tcBorders>
            <w:shd w:val="solid" w:color="C0C0C0" w:fill="auto"/>
          </w:tcPr>
          <w:p w:rsidR="00A17E0C" w:rsidRPr="000A3C73" w:rsidRDefault="00A17E0C" w:rsidP="002369A6">
            <w:pPr>
              <w:autoSpaceDE w:val="0"/>
              <w:autoSpaceDN w:val="0"/>
              <w:adjustRightInd w:val="0"/>
              <w:jc w:val="center"/>
              <w:rPr>
                <w:rFonts w:ascii="Calibri" w:hAnsi="Calibri" w:cs="Calibri"/>
                <w:color w:val="000000"/>
                <w:sz w:val="18"/>
                <w:szCs w:val="18"/>
              </w:rPr>
            </w:pPr>
            <w:r w:rsidRPr="000A3C73">
              <w:rPr>
                <w:rFonts w:ascii="Calibri" w:hAnsi="Calibri" w:cs="Calibri"/>
                <w:color w:val="000000"/>
                <w:sz w:val="18"/>
                <w:szCs w:val="18"/>
              </w:rPr>
              <w:t>Proposed</w:t>
            </w:r>
          </w:p>
        </w:tc>
        <w:tc>
          <w:tcPr>
            <w:tcW w:w="381" w:type="pct"/>
            <w:tcBorders>
              <w:top w:val="single" w:sz="6" w:space="0" w:color="auto"/>
              <w:left w:val="single" w:sz="6" w:space="0" w:color="auto"/>
              <w:bottom w:val="single" w:sz="6" w:space="0" w:color="auto"/>
              <w:right w:val="single" w:sz="6" w:space="0" w:color="auto"/>
            </w:tcBorders>
            <w:shd w:val="solid" w:color="C0C0C0" w:fill="auto"/>
          </w:tcPr>
          <w:p w:rsidR="00A17E0C" w:rsidRPr="000A3C73" w:rsidRDefault="00A17E0C" w:rsidP="002369A6">
            <w:pPr>
              <w:autoSpaceDE w:val="0"/>
              <w:autoSpaceDN w:val="0"/>
              <w:adjustRightInd w:val="0"/>
              <w:jc w:val="center"/>
              <w:rPr>
                <w:rFonts w:ascii="Calibri" w:hAnsi="Calibri" w:cs="Calibri"/>
                <w:color w:val="000000"/>
                <w:sz w:val="18"/>
                <w:szCs w:val="18"/>
              </w:rPr>
            </w:pPr>
            <w:r w:rsidRPr="000A3C73">
              <w:rPr>
                <w:rFonts w:ascii="Calibri" w:hAnsi="Calibri" w:cs="Calibri"/>
                <w:color w:val="000000"/>
                <w:sz w:val="18"/>
                <w:szCs w:val="18"/>
              </w:rPr>
              <w:t>Actual</w:t>
            </w:r>
          </w:p>
        </w:tc>
        <w:tc>
          <w:tcPr>
            <w:tcW w:w="382" w:type="pct"/>
            <w:tcBorders>
              <w:top w:val="single" w:sz="6" w:space="0" w:color="auto"/>
              <w:left w:val="single" w:sz="6" w:space="0" w:color="auto"/>
              <w:bottom w:val="single" w:sz="6" w:space="0" w:color="auto"/>
              <w:right w:val="single" w:sz="6" w:space="0" w:color="auto"/>
            </w:tcBorders>
            <w:shd w:val="solid" w:color="C0C0C0" w:fill="auto"/>
          </w:tcPr>
          <w:p w:rsidR="00A17E0C" w:rsidRPr="000A3C73" w:rsidRDefault="00A17E0C" w:rsidP="002369A6">
            <w:pPr>
              <w:autoSpaceDE w:val="0"/>
              <w:autoSpaceDN w:val="0"/>
              <w:adjustRightInd w:val="0"/>
              <w:jc w:val="center"/>
              <w:rPr>
                <w:rFonts w:ascii="Calibri" w:hAnsi="Calibri" w:cs="Calibri"/>
                <w:color w:val="000000"/>
                <w:sz w:val="18"/>
                <w:szCs w:val="18"/>
              </w:rPr>
            </w:pPr>
            <w:r w:rsidRPr="000A3C73">
              <w:rPr>
                <w:rFonts w:ascii="Calibri" w:hAnsi="Calibri" w:cs="Calibri"/>
                <w:color w:val="000000"/>
                <w:sz w:val="18"/>
                <w:szCs w:val="18"/>
              </w:rPr>
              <w:t>Proposed</w:t>
            </w:r>
          </w:p>
        </w:tc>
        <w:tc>
          <w:tcPr>
            <w:tcW w:w="347" w:type="pct"/>
            <w:tcBorders>
              <w:top w:val="single" w:sz="6" w:space="0" w:color="auto"/>
              <w:left w:val="single" w:sz="6" w:space="0" w:color="auto"/>
              <w:bottom w:val="single" w:sz="6" w:space="0" w:color="auto"/>
              <w:right w:val="single" w:sz="6" w:space="0" w:color="auto"/>
            </w:tcBorders>
            <w:shd w:val="solid" w:color="C0C0C0" w:fill="auto"/>
          </w:tcPr>
          <w:p w:rsidR="00A17E0C" w:rsidRPr="000A3C73" w:rsidRDefault="00A17E0C" w:rsidP="002369A6">
            <w:pPr>
              <w:autoSpaceDE w:val="0"/>
              <w:autoSpaceDN w:val="0"/>
              <w:adjustRightInd w:val="0"/>
              <w:jc w:val="center"/>
              <w:rPr>
                <w:rFonts w:ascii="Calibri" w:hAnsi="Calibri" w:cs="Calibri"/>
                <w:color w:val="000000"/>
                <w:sz w:val="18"/>
                <w:szCs w:val="18"/>
              </w:rPr>
            </w:pPr>
            <w:r w:rsidRPr="000A3C73">
              <w:rPr>
                <w:rFonts w:ascii="Calibri" w:hAnsi="Calibri" w:cs="Calibri"/>
                <w:color w:val="000000"/>
                <w:sz w:val="18"/>
                <w:szCs w:val="18"/>
              </w:rPr>
              <w:t>Actual</w:t>
            </w:r>
          </w:p>
        </w:tc>
        <w:tc>
          <w:tcPr>
            <w:tcW w:w="382" w:type="pct"/>
            <w:tcBorders>
              <w:top w:val="single" w:sz="6" w:space="0" w:color="auto"/>
              <w:left w:val="single" w:sz="6" w:space="0" w:color="auto"/>
              <w:bottom w:val="single" w:sz="6" w:space="0" w:color="auto"/>
              <w:right w:val="single" w:sz="6" w:space="0" w:color="auto"/>
            </w:tcBorders>
            <w:shd w:val="solid" w:color="C0C0C0" w:fill="auto"/>
          </w:tcPr>
          <w:p w:rsidR="00A17E0C" w:rsidRPr="000A3C73" w:rsidRDefault="00A17E0C" w:rsidP="002369A6">
            <w:pPr>
              <w:autoSpaceDE w:val="0"/>
              <w:autoSpaceDN w:val="0"/>
              <w:adjustRightInd w:val="0"/>
              <w:jc w:val="center"/>
              <w:rPr>
                <w:rFonts w:ascii="Calibri" w:hAnsi="Calibri" w:cs="Calibri"/>
                <w:color w:val="000000"/>
                <w:sz w:val="18"/>
                <w:szCs w:val="18"/>
              </w:rPr>
            </w:pPr>
            <w:r w:rsidRPr="000A3C73">
              <w:rPr>
                <w:rFonts w:ascii="Calibri" w:hAnsi="Calibri" w:cs="Calibri"/>
                <w:color w:val="000000"/>
                <w:sz w:val="18"/>
                <w:szCs w:val="18"/>
              </w:rPr>
              <w:t>Proposed</w:t>
            </w:r>
          </w:p>
        </w:tc>
        <w:tc>
          <w:tcPr>
            <w:tcW w:w="347" w:type="pct"/>
            <w:tcBorders>
              <w:top w:val="single" w:sz="6" w:space="0" w:color="auto"/>
              <w:left w:val="single" w:sz="6" w:space="0" w:color="auto"/>
              <w:bottom w:val="single" w:sz="6" w:space="0" w:color="auto"/>
              <w:right w:val="single" w:sz="6" w:space="0" w:color="auto"/>
            </w:tcBorders>
            <w:shd w:val="solid" w:color="C0C0C0" w:fill="auto"/>
          </w:tcPr>
          <w:p w:rsidR="00A17E0C" w:rsidRPr="000A3C73" w:rsidRDefault="00A17E0C" w:rsidP="002369A6">
            <w:pPr>
              <w:autoSpaceDE w:val="0"/>
              <w:autoSpaceDN w:val="0"/>
              <w:adjustRightInd w:val="0"/>
              <w:jc w:val="center"/>
              <w:rPr>
                <w:rFonts w:ascii="Calibri" w:hAnsi="Calibri" w:cs="Calibri"/>
                <w:color w:val="000000"/>
                <w:sz w:val="18"/>
                <w:szCs w:val="18"/>
              </w:rPr>
            </w:pPr>
            <w:r w:rsidRPr="000A3C73">
              <w:rPr>
                <w:rFonts w:ascii="Calibri" w:hAnsi="Calibri" w:cs="Calibri"/>
                <w:color w:val="000000"/>
                <w:sz w:val="18"/>
                <w:szCs w:val="18"/>
              </w:rPr>
              <w:t>Actual</w:t>
            </w:r>
          </w:p>
        </w:tc>
        <w:tc>
          <w:tcPr>
            <w:tcW w:w="382" w:type="pct"/>
            <w:tcBorders>
              <w:top w:val="single" w:sz="6" w:space="0" w:color="auto"/>
              <w:left w:val="single" w:sz="6" w:space="0" w:color="auto"/>
              <w:bottom w:val="single" w:sz="6" w:space="0" w:color="auto"/>
              <w:right w:val="single" w:sz="6" w:space="0" w:color="auto"/>
            </w:tcBorders>
            <w:shd w:val="solid" w:color="C0C0C0" w:fill="auto"/>
          </w:tcPr>
          <w:p w:rsidR="00A17E0C" w:rsidRPr="000A3C73" w:rsidRDefault="00A17E0C" w:rsidP="002369A6">
            <w:pPr>
              <w:autoSpaceDE w:val="0"/>
              <w:autoSpaceDN w:val="0"/>
              <w:adjustRightInd w:val="0"/>
              <w:jc w:val="center"/>
              <w:rPr>
                <w:rFonts w:ascii="Calibri" w:hAnsi="Calibri" w:cs="Calibri"/>
                <w:color w:val="000000"/>
                <w:sz w:val="18"/>
                <w:szCs w:val="18"/>
              </w:rPr>
            </w:pPr>
            <w:r w:rsidRPr="000A3C73">
              <w:rPr>
                <w:rFonts w:ascii="Calibri" w:hAnsi="Calibri" w:cs="Calibri"/>
                <w:color w:val="000000"/>
                <w:sz w:val="18"/>
                <w:szCs w:val="18"/>
              </w:rPr>
              <w:t>Proposed</w:t>
            </w:r>
          </w:p>
        </w:tc>
        <w:tc>
          <w:tcPr>
            <w:tcW w:w="314" w:type="pct"/>
            <w:tcBorders>
              <w:top w:val="single" w:sz="6" w:space="0" w:color="auto"/>
              <w:left w:val="single" w:sz="6" w:space="0" w:color="auto"/>
              <w:bottom w:val="single" w:sz="6" w:space="0" w:color="auto"/>
              <w:right w:val="single" w:sz="6" w:space="0" w:color="auto"/>
            </w:tcBorders>
            <w:shd w:val="solid" w:color="C0C0C0" w:fill="auto"/>
          </w:tcPr>
          <w:p w:rsidR="00A17E0C" w:rsidRPr="000A3C73" w:rsidRDefault="00A17E0C" w:rsidP="002369A6">
            <w:pPr>
              <w:autoSpaceDE w:val="0"/>
              <w:autoSpaceDN w:val="0"/>
              <w:adjustRightInd w:val="0"/>
              <w:jc w:val="center"/>
              <w:rPr>
                <w:rFonts w:ascii="Calibri" w:hAnsi="Calibri" w:cs="Calibri"/>
                <w:color w:val="000000"/>
                <w:sz w:val="18"/>
                <w:szCs w:val="18"/>
              </w:rPr>
            </w:pPr>
            <w:r w:rsidRPr="000A3C73">
              <w:rPr>
                <w:rFonts w:ascii="Calibri" w:hAnsi="Calibri" w:cs="Calibri"/>
                <w:color w:val="000000"/>
                <w:sz w:val="18"/>
                <w:szCs w:val="18"/>
              </w:rPr>
              <w:t>Actual</w:t>
            </w:r>
          </w:p>
        </w:tc>
        <w:tc>
          <w:tcPr>
            <w:tcW w:w="417" w:type="pct"/>
            <w:tcBorders>
              <w:top w:val="single" w:sz="6" w:space="0" w:color="auto"/>
              <w:left w:val="single" w:sz="6" w:space="0" w:color="auto"/>
              <w:bottom w:val="single" w:sz="6" w:space="0" w:color="auto"/>
              <w:right w:val="single" w:sz="6" w:space="0" w:color="auto"/>
            </w:tcBorders>
            <w:shd w:val="solid" w:color="C0C0C0" w:fill="auto"/>
          </w:tcPr>
          <w:p w:rsidR="00A17E0C" w:rsidRPr="000A3C73" w:rsidRDefault="00A17E0C" w:rsidP="002369A6">
            <w:pPr>
              <w:autoSpaceDE w:val="0"/>
              <w:autoSpaceDN w:val="0"/>
              <w:adjustRightInd w:val="0"/>
              <w:jc w:val="center"/>
              <w:rPr>
                <w:rFonts w:ascii="Calibri" w:hAnsi="Calibri" w:cs="Calibri"/>
                <w:color w:val="000000"/>
                <w:sz w:val="18"/>
                <w:szCs w:val="18"/>
              </w:rPr>
            </w:pPr>
            <w:r w:rsidRPr="000A3C73">
              <w:rPr>
                <w:rFonts w:ascii="Calibri" w:hAnsi="Calibri" w:cs="Calibri"/>
                <w:color w:val="000000"/>
                <w:sz w:val="18"/>
                <w:szCs w:val="18"/>
              </w:rPr>
              <w:t>Proposed</w:t>
            </w:r>
          </w:p>
        </w:tc>
        <w:tc>
          <w:tcPr>
            <w:tcW w:w="418" w:type="pct"/>
            <w:tcBorders>
              <w:top w:val="single" w:sz="6" w:space="0" w:color="auto"/>
              <w:left w:val="single" w:sz="6" w:space="0" w:color="auto"/>
              <w:bottom w:val="single" w:sz="6" w:space="0" w:color="auto"/>
              <w:right w:val="single" w:sz="6" w:space="0" w:color="auto"/>
            </w:tcBorders>
            <w:shd w:val="solid" w:color="C0C0C0" w:fill="auto"/>
          </w:tcPr>
          <w:p w:rsidR="00A17E0C" w:rsidRPr="000A3C73" w:rsidRDefault="00A17E0C" w:rsidP="002369A6">
            <w:pPr>
              <w:autoSpaceDE w:val="0"/>
              <w:autoSpaceDN w:val="0"/>
              <w:adjustRightInd w:val="0"/>
              <w:jc w:val="center"/>
              <w:rPr>
                <w:rFonts w:ascii="Calibri" w:hAnsi="Calibri" w:cs="Calibri"/>
                <w:color w:val="000000"/>
                <w:sz w:val="18"/>
                <w:szCs w:val="18"/>
              </w:rPr>
            </w:pPr>
            <w:r w:rsidRPr="000A3C73">
              <w:rPr>
                <w:rFonts w:ascii="Calibri" w:hAnsi="Calibri" w:cs="Calibri"/>
                <w:color w:val="000000"/>
                <w:sz w:val="18"/>
                <w:szCs w:val="18"/>
              </w:rPr>
              <w:t>Actual</w:t>
            </w:r>
          </w:p>
        </w:tc>
        <w:tc>
          <w:tcPr>
            <w:tcW w:w="450" w:type="pct"/>
            <w:tcBorders>
              <w:top w:val="single" w:sz="6" w:space="0" w:color="auto"/>
              <w:left w:val="single" w:sz="6" w:space="0" w:color="auto"/>
              <w:bottom w:val="single" w:sz="6" w:space="0" w:color="auto"/>
              <w:right w:val="single" w:sz="6" w:space="0" w:color="auto"/>
            </w:tcBorders>
            <w:shd w:val="solid" w:color="C0C0C0" w:fill="auto"/>
          </w:tcPr>
          <w:p w:rsidR="00A17E0C" w:rsidRPr="000A3C73" w:rsidRDefault="00A17E0C" w:rsidP="002369A6">
            <w:pPr>
              <w:autoSpaceDE w:val="0"/>
              <w:autoSpaceDN w:val="0"/>
              <w:adjustRightInd w:val="0"/>
              <w:jc w:val="center"/>
              <w:rPr>
                <w:rFonts w:ascii="Calibri" w:hAnsi="Calibri" w:cs="Calibri"/>
                <w:color w:val="000000"/>
                <w:sz w:val="18"/>
                <w:szCs w:val="18"/>
              </w:rPr>
            </w:pPr>
            <w:r w:rsidRPr="000A3C73">
              <w:rPr>
                <w:rFonts w:ascii="Calibri" w:hAnsi="Calibri" w:cs="Calibri"/>
                <w:color w:val="000000"/>
                <w:sz w:val="18"/>
                <w:szCs w:val="18"/>
              </w:rPr>
              <w:t>Actual share of proposed</w:t>
            </w:r>
          </w:p>
        </w:tc>
      </w:tr>
      <w:tr w:rsidR="00A17E0C" w:rsidRPr="000A3C73" w:rsidTr="002369A6">
        <w:trPr>
          <w:trHeight w:val="111"/>
        </w:trPr>
        <w:tc>
          <w:tcPr>
            <w:tcW w:w="762"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rPr>
                <w:rFonts w:ascii="Calibri" w:hAnsi="Calibri" w:cs="Calibri"/>
                <w:color w:val="000000"/>
                <w:sz w:val="18"/>
                <w:szCs w:val="18"/>
              </w:rPr>
            </w:pPr>
            <w:r w:rsidRPr="000A3C73">
              <w:rPr>
                <w:rFonts w:ascii="Calibri" w:hAnsi="Calibri" w:cs="Calibri"/>
                <w:color w:val="000000"/>
                <w:sz w:val="18"/>
                <w:szCs w:val="18"/>
              </w:rPr>
              <w:t>Grant</w:t>
            </w:r>
          </w:p>
        </w:tc>
        <w:tc>
          <w:tcPr>
            <w:tcW w:w="418" w:type="pct"/>
            <w:tcBorders>
              <w:top w:val="single" w:sz="6" w:space="0" w:color="auto"/>
              <w:left w:val="single" w:sz="6" w:space="0" w:color="auto"/>
              <w:bottom w:val="single" w:sz="6" w:space="0" w:color="auto"/>
              <w:right w:val="single" w:sz="6" w:space="0" w:color="auto"/>
            </w:tcBorders>
          </w:tcPr>
          <w:p w:rsidR="00A17E0C" w:rsidRPr="000A3C73" w:rsidRDefault="00A01A21" w:rsidP="002369A6">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0.15</w:t>
            </w:r>
          </w:p>
        </w:tc>
        <w:tc>
          <w:tcPr>
            <w:tcW w:w="381" w:type="pct"/>
            <w:tcBorders>
              <w:top w:val="single" w:sz="6" w:space="0" w:color="auto"/>
              <w:left w:val="single" w:sz="6" w:space="0" w:color="auto"/>
              <w:bottom w:val="single" w:sz="6" w:space="0" w:color="auto"/>
              <w:right w:val="single" w:sz="6" w:space="0" w:color="auto"/>
            </w:tcBorders>
          </w:tcPr>
          <w:p w:rsidR="00A17E0C" w:rsidRPr="000A3C73" w:rsidRDefault="00A01A21" w:rsidP="002369A6">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0.15</w:t>
            </w:r>
          </w:p>
        </w:tc>
        <w:tc>
          <w:tcPr>
            <w:tcW w:w="382" w:type="pct"/>
            <w:tcBorders>
              <w:top w:val="single" w:sz="6" w:space="0" w:color="auto"/>
              <w:left w:val="single" w:sz="6" w:space="0" w:color="auto"/>
              <w:bottom w:val="single" w:sz="6" w:space="0" w:color="auto"/>
              <w:right w:val="single" w:sz="6" w:space="0" w:color="auto"/>
            </w:tcBorders>
          </w:tcPr>
          <w:p w:rsidR="00A17E0C" w:rsidRPr="000A3C73" w:rsidRDefault="00A01A21" w:rsidP="002369A6">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0.12</w:t>
            </w:r>
          </w:p>
        </w:tc>
        <w:tc>
          <w:tcPr>
            <w:tcW w:w="347" w:type="pct"/>
            <w:tcBorders>
              <w:top w:val="single" w:sz="6" w:space="0" w:color="auto"/>
              <w:left w:val="single" w:sz="6" w:space="0" w:color="auto"/>
              <w:bottom w:val="single" w:sz="6" w:space="0" w:color="auto"/>
              <w:right w:val="single" w:sz="6" w:space="0" w:color="auto"/>
            </w:tcBorders>
          </w:tcPr>
          <w:p w:rsidR="00A17E0C" w:rsidRPr="000A3C73" w:rsidRDefault="00A01A21" w:rsidP="002369A6">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0.</w:t>
            </w:r>
            <w:r w:rsidR="007857A3" w:rsidRPr="000A3C73">
              <w:rPr>
                <w:rFonts w:ascii="Calibri" w:hAnsi="Calibri" w:cs="Calibri"/>
                <w:color w:val="000000"/>
                <w:sz w:val="18"/>
                <w:szCs w:val="18"/>
              </w:rPr>
              <w:t>13</w:t>
            </w:r>
          </w:p>
        </w:tc>
        <w:tc>
          <w:tcPr>
            <w:tcW w:w="382"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314"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417" w:type="pct"/>
            <w:tcBorders>
              <w:top w:val="single" w:sz="6" w:space="0" w:color="auto"/>
              <w:left w:val="single" w:sz="6" w:space="0" w:color="auto"/>
              <w:bottom w:val="single" w:sz="6" w:space="0" w:color="auto"/>
              <w:right w:val="single" w:sz="6" w:space="0" w:color="auto"/>
            </w:tcBorders>
          </w:tcPr>
          <w:p w:rsidR="00A17E0C" w:rsidRPr="000A3C73" w:rsidRDefault="00B23054" w:rsidP="002369A6">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0.27</w:t>
            </w:r>
          </w:p>
        </w:tc>
        <w:tc>
          <w:tcPr>
            <w:tcW w:w="418" w:type="pct"/>
            <w:tcBorders>
              <w:top w:val="single" w:sz="6" w:space="0" w:color="auto"/>
              <w:left w:val="single" w:sz="6" w:space="0" w:color="auto"/>
              <w:bottom w:val="single" w:sz="6" w:space="0" w:color="auto"/>
              <w:right w:val="single" w:sz="6" w:space="0" w:color="auto"/>
            </w:tcBorders>
          </w:tcPr>
          <w:p w:rsidR="00A17E0C" w:rsidRPr="000A3C73" w:rsidRDefault="00163887" w:rsidP="002369A6">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0.28</w:t>
            </w:r>
          </w:p>
        </w:tc>
        <w:tc>
          <w:tcPr>
            <w:tcW w:w="450" w:type="pct"/>
            <w:tcBorders>
              <w:top w:val="single" w:sz="6" w:space="0" w:color="auto"/>
              <w:left w:val="single" w:sz="6" w:space="0" w:color="auto"/>
              <w:bottom w:val="single" w:sz="6" w:space="0" w:color="auto"/>
              <w:right w:val="single" w:sz="6" w:space="0" w:color="auto"/>
            </w:tcBorders>
          </w:tcPr>
          <w:p w:rsidR="00A17E0C" w:rsidRPr="000A3C73" w:rsidRDefault="00952DCB" w:rsidP="002369A6">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103.7%</w:t>
            </w:r>
          </w:p>
        </w:tc>
      </w:tr>
      <w:tr w:rsidR="00A17E0C" w:rsidRPr="000A3C73" w:rsidTr="002369A6">
        <w:trPr>
          <w:trHeight w:val="69"/>
        </w:trPr>
        <w:tc>
          <w:tcPr>
            <w:tcW w:w="762"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rPr>
                <w:rFonts w:ascii="Calibri" w:hAnsi="Calibri" w:cs="Calibri"/>
                <w:color w:val="000000"/>
                <w:sz w:val="18"/>
                <w:szCs w:val="18"/>
              </w:rPr>
            </w:pPr>
            <w:r w:rsidRPr="000A3C73">
              <w:rPr>
                <w:rFonts w:ascii="Calibri" w:hAnsi="Calibri" w:cs="Calibri"/>
                <w:color w:val="000000"/>
                <w:sz w:val="18"/>
                <w:szCs w:val="18"/>
              </w:rPr>
              <w:t>Credits</w:t>
            </w:r>
          </w:p>
        </w:tc>
        <w:tc>
          <w:tcPr>
            <w:tcW w:w="418"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381"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314"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417"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418"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450"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r>
      <w:tr w:rsidR="00A17E0C" w:rsidRPr="000A3C73" w:rsidTr="000A1974">
        <w:trPr>
          <w:trHeight w:val="129"/>
        </w:trPr>
        <w:tc>
          <w:tcPr>
            <w:tcW w:w="762"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rPr>
                <w:rFonts w:ascii="Calibri" w:hAnsi="Calibri" w:cs="Calibri"/>
                <w:color w:val="000000"/>
                <w:sz w:val="18"/>
                <w:szCs w:val="18"/>
              </w:rPr>
            </w:pPr>
            <w:r w:rsidRPr="000A3C73">
              <w:rPr>
                <w:rFonts w:ascii="Calibri" w:hAnsi="Calibri" w:cs="Calibri"/>
                <w:color w:val="000000"/>
                <w:sz w:val="18"/>
                <w:szCs w:val="18"/>
              </w:rPr>
              <w:t>Loans</w:t>
            </w:r>
          </w:p>
        </w:tc>
        <w:tc>
          <w:tcPr>
            <w:tcW w:w="418"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381"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314"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417"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418"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450"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r>
      <w:tr w:rsidR="00A17E0C" w:rsidRPr="000A3C73" w:rsidTr="000A1974">
        <w:trPr>
          <w:trHeight w:val="58"/>
        </w:trPr>
        <w:tc>
          <w:tcPr>
            <w:tcW w:w="762"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rPr>
                <w:rFonts w:ascii="Calibri" w:hAnsi="Calibri" w:cs="Calibri"/>
                <w:color w:val="000000"/>
                <w:sz w:val="18"/>
                <w:szCs w:val="18"/>
              </w:rPr>
            </w:pPr>
            <w:r w:rsidRPr="000A3C73">
              <w:rPr>
                <w:rFonts w:ascii="Calibri" w:hAnsi="Calibri" w:cs="Calibri"/>
                <w:color w:val="000000"/>
                <w:sz w:val="18"/>
                <w:szCs w:val="18"/>
              </w:rPr>
              <w:t>Equity</w:t>
            </w:r>
          </w:p>
        </w:tc>
        <w:tc>
          <w:tcPr>
            <w:tcW w:w="418"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381"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314"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417"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418"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450"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r>
      <w:tr w:rsidR="00A17E0C" w:rsidRPr="000A3C73" w:rsidTr="000A1974">
        <w:trPr>
          <w:trHeight w:val="58"/>
        </w:trPr>
        <w:tc>
          <w:tcPr>
            <w:tcW w:w="762"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rPr>
                <w:rFonts w:ascii="Calibri" w:hAnsi="Calibri" w:cs="Calibri"/>
                <w:color w:val="000000"/>
                <w:sz w:val="18"/>
                <w:szCs w:val="18"/>
              </w:rPr>
            </w:pPr>
            <w:r w:rsidRPr="000A3C73">
              <w:rPr>
                <w:rFonts w:ascii="Calibri" w:hAnsi="Calibri" w:cs="Calibri"/>
                <w:color w:val="000000"/>
                <w:sz w:val="18"/>
                <w:szCs w:val="18"/>
              </w:rPr>
              <w:t>In-kind</w:t>
            </w:r>
          </w:p>
        </w:tc>
        <w:tc>
          <w:tcPr>
            <w:tcW w:w="418" w:type="pct"/>
            <w:tcBorders>
              <w:top w:val="single" w:sz="6" w:space="0" w:color="auto"/>
              <w:left w:val="single" w:sz="6" w:space="0" w:color="auto"/>
              <w:bottom w:val="single" w:sz="6" w:space="0" w:color="auto"/>
              <w:right w:val="single" w:sz="6" w:space="0" w:color="auto"/>
            </w:tcBorders>
          </w:tcPr>
          <w:p w:rsidR="00A17E0C" w:rsidRPr="000A3C73" w:rsidRDefault="00A01A21" w:rsidP="002369A6">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0.71</w:t>
            </w:r>
          </w:p>
        </w:tc>
        <w:tc>
          <w:tcPr>
            <w:tcW w:w="381" w:type="pct"/>
            <w:tcBorders>
              <w:top w:val="single" w:sz="6" w:space="0" w:color="auto"/>
              <w:left w:val="single" w:sz="6" w:space="0" w:color="auto"/>
              <w:bottom w:val="single" w:sz="6" w:space="0" w:color="auto"/>
              <w:right w:val="single" w:sz="6" w:space="0" w:color="auto"/>
            </w:tcBorders>
          </w:tcPr>
          <w:p w:rsidR="00A17E0C" w:rsidRPr="000A3C73" w:rsidRDefault="00CE5B24" w:rsidP="002369A6">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0.00</w:t>
            </w:r>
          </w:p>
        </w:tc>
        <w:tc>
          <w:tcPr>
            <w:tcW w:w="382" w:type="pct"/>
            <w:tcBorders>
              <w:top w:val="single" w:sz="6" w:space="0" w:color="auto"/>
              <w:left w:val="single" w:sz="6" w:space="0" w:color="auto"/>
              <w:bottom w:val="single" w:sz="6" w:space="0" w:color="auto"/>
              <w:right w:val="single" w:sz="6" w:space="0" w:color="auto"/>
            </w:tcBorders>
          </w:tcPr>
          <w:p w:rsidR="00A17E0C" w:rsidRPr="000A3C73" w:rsidRDefault="00A01A21" w:rsidP="002369A6">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1.00</w:t>
            </w:r>
          </w:p>
        </w:tc>
        <w:tc>
          <w:tcPr>
            <w:tcW w:w="347" w:type="pct"/>
            <w:tcBorders>
              <w:top w:val="single" w:sz="6" w:space="0" w:color="auto"/>
              <w:left w:val="single" w:sz="6" w:space="0" w:color="auto"/>
              <w:bottom w:val="single" w:sz="6" w:space="0" w:color="auto"/>
              <w:right w:val="single" w:sz="6" w:space="0" w:color="auto"/>
            </w:tcBorders>
          </w:tcPr>
          <w:p w:rsidR="00A17E0C" w:rsidRPr="000A3C73" w:rsidRDefault="00B25903" w:rsidP="002369A6">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0.00</w:t>
            </w:r>
          </w:p>
        </w:tc>
        <w:tc>
          <w:tcPr>
            <w:tcW w:w="382" w:type="pct"/>
            <w:tcBorders>
              <w:top w:val="single" w:sz="6" w:space="0" w:color="auto"/>
              <w:left w:val="single" w:sz="6" w:space="0" w:color="auto"/>
              <w:bottom w:val="single" w:sz="6" w:space="0" w:color="auto"/>
              <w:right w:val="single" w:sz="6" w:space="0" w:color="auto"/>
            </w:tcBorders>
          </w:tcPr>
          <w:p w:rsidR="00A17E0C" w:rsidRPr="000A3C73" w:rsidRDefault="00322590" w:rsidP="002369A6">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0.656</w:t>
            </w:r>
          </w:p>
        </w:tc>
        <w:tc>
          <w:tcPr>
            <w:tcW w:w="347" w:type="pct"/>
            <w:tcBorders>
              <w:top w:val="single" w:sz="6" w:space="0" w:color="auto"/>
              <w:left w:val="single" w:sz="6" w:space="0" w:color="auto"/>
              <w:bottom w:val="single" w:sz="6" w:space="0" w:color="auto"/>
              <w:right w:val="single" w:sz="6" w:space="0" w:color="auto"/>
            </w:tcBorders>
          </w:tcPr>
          <w:p w:rsidR="00A17E0C" w:rsidRPr="000A3C73" w:rsidRDefault="00B25903" w:rsidP="002369A6">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U/A</w:t>
            </w:r>
          </w:p>
        </w:tc>
        <w:tc>
          <w:tcPr>
            <w:tcW w:w="382" w:type="pct"/>
            <w:tcBorders>
              <w:top w:val="single" w:sz="6" w:space="0" w:color="auto"/>
              <w:left w:val="single" w:sz="6" w:space="0" w:color="auto"/>
              <w:bottom w:val="single" w:sz="6" w:space="0" w:color="auto"/>
              <w:right w:val="single" w:sz="6" w:space="0" w:color="auto"/>
            </w:tcBorders>
            <w:shd w:val="solid" w:color="FFFFFF" w:fill="auto"/>
          </w:tcPr>
          <w:p w:rsidR="00A17E0C" w:rsidRPr="000A3C73" w:rsidRDefault="00322590" w:rsidP="002369A6">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6.00</w:t>
            </w:r>
          </w:p>
        </w:tc>
        <w:tc>
          <w:tcPr>
            <w:tcW w:w="314" w:type="pct"/>
            <w:tcBorders>
              <w:top w:val="single" w:sz="6" w:space="0" w:color="auto"/>
              <w:left w:val="single" w:sz="6" w:space="0" w:color="auto"/>
              <w:bottom w:val="single" w:sz="6" w:space="0" w:color="auto"/>
              <w:right w:val="single" w:sz="6" w:space="0" w:color="auto"/>
            </w:tcBorders>
            <w:shd w:val="solid" w:color="FFFFFF" w:fill="auto"/>
          </w:tcPr>
          <w:p w:rsidR="00A17E0C" w:rsidRPr="000A3C73" w:rsidRDefault="00861C24" w:rsidP="002369A6">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7.15</w:t>
            </w:r>
          </w:p>
        </w:tc>
        <w:tc>
          <w:tcPr>
            <w:tcW w:w="417" w:type="pct"/>
            <w:tcBorders>
              <w:top w:val="single" w:sz="6" w:space="0" w:color="auto"/>
              <w:left w:val="single" w:sz="6" w:space="0" w:color="auto"/>
              <w:bottom w:val="single" w:sz="6" w:space="0" w:color="auto"/>
              <w:right w:val="single" w:sz="6" w:space="0" w:color="auto"/>
            </w:tcBorders>
          </w:tcPr>
          <w:p w:rsidR="00A17E0C" w:rsidRPr="000A3C73" w:rsidRDefault="00B23054" w:rsidP="002369A6">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8.37</w:t>
            </w:r>
          </w:p>
        </w:tc>
        <w:tc>
          <w:tcPr>
            <w:tcW w:w="418" w:type="pct"/>
            <w:tcBorders>
              <w:top w:val="single" w:sz="6" w:space="0" w:color="auto"/>
              <w:left w:val="single" w:sz="6" w:space="0" w:color="auto"/>
              <w:bottom w:val="single" w:sz="6" w:space="0" w:color="auto"/>
              <w:right w:val="single" w:sz="6" w:space="0" w:color="auto"/>
            </w:tcBorders>
          </w:tcPr>
          <w:p w:rsidR="00A17E0C" w:rsidRPr="000A3C73" w:rsidRDefault="00163887" w:rsidP="002369A6">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7.15</w:t>
            </w:r>
          </w:p>
        </w:tc>
        <w:tc>
          <w:tcPr>
            <w:tcW w:w="450" w:type="pct"/>
            <w:tcBorders>
              <w:top w:val="single" w:sz="6" w:space="0" w:color="auto"/>
              <w:left w:val="single" w:sz="6" w:space="0" w:color="auto"/>
              <w:bottom w:val="single" w:sz="6" w:space="0" w:color="auto"/>
              <w:right w:val="single" w:sz="6" w:space="0" w:color="auto"/>
            </w:tcBorders>
          </w:tcPr>
          <w:p w:rsidR="00A17E0C" w:rsidRPr="000A3C73" w:rsidRDefault="00952DCB" w:rsidP="002369A6">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85.4%</w:t>
            </w:r>
          </w:p>
        </w:tc>
      </w:tr>
      <w:tr w:rsidR="00A17E0C" w:rsidRPr="000A3C73" w:rsidTr="000A1974">
        <w:trPr>
          <w:trHeight w:val="58"/>
        </w:trPr>
        <w:tc>
          <w:tcPr>
            <w:tcW w:w="762"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rPr>
                <w:rFonts w:ascii="Calibri" w:hAnsi="Calibri" w:cs="Calibri"/>
                <w:color w:val="000000"/>
                <w:sz w:val="18"/>
                <w:szCs w:val="18"/>
              </w:rPr>
            </w:pPr>
            <w:r w:rsidRPr="000A3C73">
              <w:rPr>
                <w:rFonts w:ascii="Calibri" w:hAnsi="Calibri" w:cs="Calibri"/>
                <w:color w:val="000000"/>
                <w:sz w:val="18"/>
                <w:szCs w:val="18"/>
              </w:rPr>
              <w:t>Non-grant instruments</w:t>
            </w:r>
          </w:p>
        </w:tc>
        <w:tc>
          <w:tcPr>
            <w:tcW w:w="418"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381"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314"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417"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418"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450"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r>
      <w:tr w:rsidR="00A17E0C" w:rsidRPr="000A3C73" w:rsidTr="000A1974">
        <w:trPr>
          <w:trHeight w:val="58"/>
        </w:trPr>
        <w:tc>
          <w:tcPr>
            <w:tcW w:w="762"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rPr>
                <w:rFonts w:ascii="Calibri" w:hAnsi="Calibri" w:cs="Calibri"/>
                <w:color w:val="000000"/>
                <w:sz w:val="18"/>
                <w:szCs w:val="18"/>
              </w:rPr>
            </w:pPr>
            <w:r w:rsidRPr="000A3C73">
              <w:rPr>
                <w:rFonts w:ascii="Calibri" w:hAnsi="Calibri" w:cs="Calibri"/>
                <w:color w:val="000000"/>
                <w:sz w:val="18"/>
                <w:szCs w:val="18"/>
              </w:rPr>
              <w:t>Other types</w:t>
            </w:r>
          </w:p>
        </w:tc>
        <w:tc>
          <w:tcPr>
            <w:tcW w:w="418"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381"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314"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417"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418"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c>
          <w:tcPr>
            <w:tcW w:w="450" w:type="pct"/>
            <w:tcBorders>
              <w:top w:val="single" w:sz="6" w:space="0" w:color="auto"/>
              <w:left w:val="single" w:sz="6" w:space="0" w:color="auto"/>
              <w:bottom w:val="single" w:sz="6" w:space="0" w:color="auto"/>
              <w:right w:val="single" w:sz="6" w:space="0" w:color="auto"/>
            </w:tcBorders>
          </w:tcPr>
          <w:p w:rsidR="00A17E0C" w:rsidRPr="000A3C73" w:rsidRDefault="00A17E0C" w:rsidP="002369A6">
            <w:pPr>
              <w:autoSpaceDE w:val="0"/>
              <w:autoSpaceDN w:val="0"/>
              <w:adjustRightInd w:val="0"/>
              <w:jc w:val="right"/>
              <w:rPr>
                <w:rFonts w:ascii="Calibri" w:hAnsi="Calibri" w:cs="Calibri"/>
                <w:color w:val="000000"/>
                <w:sz w:val="18"/>
                <w:szCs w:val="18"/>
              </w:rPr>
            </w:pPr>
          </w:p>
        </w:tc>
      </w:tr>
      <w:tr w:rsidR="00A17E0C" w:rsidRPr="000A3C73" w:rsidTr="000A1974">
        <w:trPr>
          <w:trHeight w:val="58"/>
        </w:trPr>
        <w:tc>
          <w:tcPr>
            <w:tcW w:w="762" w:type="pct"/>
            <w:tcBorders>
              <w:top w:val="single" w:sz="6" w:space="0" w:color="auto"/>
              <w:left w:val="single" w:sz="6" w:space="0" w:color="auto"/>
              <w:bottom w:val="single" w:sz="6" w:space="0" w:color="auto"/>
              <w:right w:val="single" w:sz="6" w:space="0" w:color="auto"/>
            </w:tcBorders>
            <w:shd w:val="solid" w:color="969696" w:fill="auto"/>
          </w:tcPr>
          <w:p w:rsidR="00A17E0C" w:rsidRPr="000A3C73" w:rsidRDefault="00A17E0C" w:rsidP="002369A6">
            <w:pPr>
              <w:autoSpaceDE w:val="0"/>
              <w:autoSpaceDN w:val="0"/>
              <w:adjustRightInd w:val="0"/>
              <w:jc w:val="right"/>
              <w:rPr>
                <w:rFonts w:ascii="Calibri" w:hAnsi="Calibri" w:cs="Calibri"/>
                <w:b/>
                <w:bCs/>
                <w:color w:val="000000"/>
                <w:sz w:val="18"/>
                <w:szCs w:val="18"/>
              </w:rPr>
            </w:pPr>
            <w:r w:rsidRPr="000A3C73">
              <w:rPr>
                <w:rFonts w:ascii="Calibri" w:hAnsi="Calibri" w:cs="Calibri"/>
                <w:b/>
                <w:bCs/>
                <w:color w:val="000000"/>
                <w:sz w:val="18"/>
                <w:szCs w:val="18"/>
              </w:rPr>
              <w:t>Total</w:t>
            </w:r>
          </w:p>
        </w:tc>
        <w:tc>
          <w:tcPr>
            <w:tcW w:w="418" w:type="pct"/>
            <w:tcBorders>
              <w:top w:val="single" w:sz="6" w:space="0" w:color="auto"/>
              <w:left w:val="single" w:sz="6" w:space="0" w:color="auto"/>
              <w:bottom w:val="single" w:sz="6" w:space="0" w:color="auto"/>
              <w:right w:val="single" w:sz="6" w:space="0" w:color="auto"/>
            </w:tcBorders>
            <w:shd w:val="solid" w:color="969696" w:fill="auto"/>
          </w:tcPr>
          <w:p w:rsidR="00A17E0C" w:rsidRPr="000A3C73" w:rsidRDefault="00A01A21" w:rsidP="002369A6">
            <w:pPr>
              <w:autoSpaceDE w:val="0"/>
              <w:autoSpaceDN w:val="0"/>
              <w:adjustRightInd w:val="0"/>
              <w:jc w:val="right"/>
              <w:rPr>
                <w:rFonts w:ascii="Calibri" w:hAnsi="Calibri" w:cs="Calibri"/>
                <w:bCs/>
                <w:color w:val="000000"/>
                <w:sz w:val="18"/>
                <w:szCs w:val="18"/>
              </w:rPr>
            </w:pPr>
            <w:r w:rsidRPr="000A3C73">
              <w:rPr>
                <w:rFonts w:ascii="Calibri" w:hAnsi="Calibri" w:cs="Calibri"/>
                <w:bCs/>
                <w:color w:val="000000"/>
                <w:sz w:val="18"/>
                <w:szCs w:val="18"/>
              </w:rPr>
              <w:t>0.86</w:t>
            </w:r>
          </w:p>
        </w:tc>
        <w:tc>
          <w:tcPr>
            <w:tcW w:w="381" w:type="pct"/>
            <w:tcBorders>
              <w:top w:val="single" w:sz="6" w:space="0" w:color="auto"/>
              <w:left w:val="single" w:sz="6" w:space="0" w:color="auto"/>
              <w:bottom w:val="single" w:sz="6" w:space="0" w:color="auto"/>
              <w:right w:val="single" w:sz="6" w:space="0" w:color="auto"/>
            </w:tcBorders>
            <w:shd w:val="solid" w:color="969696" w:fill="auto"/>
          </w:tcPr>
          <w:p w:rsidR="00A17E0C" w:rsidRPr="000A3C73" w:rsidRDefault="00B25903" w:rsidP="002369A6">
            <w:pPr>
              <w:autoSpaceDE w:val="0"/>
              <w:autoSpaceDN w:val="0"/>
              <w:adjustRightInd w:val="0"/>
              <w:jc w:val="right"/>
              <w:rPr>
                <w:rFonts w:ascii="Calibri" w:hAnsi="Calibri" w:cs="Calibri"/>
                <w:bCs/>
                <w:color w:val="000000"/>
                <w:sz w:val="18"/>
                <w:szCs w:val="18"/>
              </w:rPr>
            </w:pPr>
            <w:r w:rsidRPr="000A3C73">
              <w:rPr>
                <w:rFonts w:ascii="Calibri" w:hAnsi="Calibri" w:cs="Calibri"/>
                <w:bCs/>
                <w:color w:val="000000"/>
                <w:sz w:val="18"/>
                <w:szCs w:val="18"/>
              </w:rPr>
              <w:t>0.15</w:t>
            </w:r>
          </w:p>
        </w:tc>
        <w:tc>
          <w:tcPr>
            <w:tcW w:w="382" w:type="pct"/>
            <w:tcBorders>
              <w:top w:val="single" w:sz="6" w:space="0" w:color="auto"/>
              <w:left w:val="single" w:sz="6" w:space="0" w:color="auto"/>
              <w:bottom w:val="single" w:sz="6" w:space="0" w:color="auto"/>
              <w:right w:val="single" w:sz="6" w:space="0" w:color="auto"/>
            </w:tcBorders>
            <w:shd w:val="solid" w:color="969696" w:fill="auto"/>
          </w:tcPr>
          <w:p w:rsidR="00A17E0C" w:rsidRPr="000A3C73" w:rsidRDefault="00A01A21" w:rsidP="002369A6">
            <w:pPr>
              <w:autoSpaceDE w:val="0"/>
              <w:autoSpaceDN w:val="0"/>
              <w:adjustRightInd w:val="0"/>
              <w:jc w:val="right"/>
              <w:rPr>
                <w:rFonts w:ascii="Calibri" w:hAnsi="Calibri" w:cs="Calibri"/>
                <w:bCs/>
                <w:color w:val="000000"/>
                <w:sz w:val="18"/>
                <w:szCs w:val="18"/>
              </w:rPr>
            </w:pPr>
            <w:r w:rsidRPr="000A3C73">
              <w:rPr>
                <w:rFonts w:ascii="Calibri" w:hAnsi="Calibri" w:cs="Calibri"/>
                <w:bCs/>
                <w:color w:val="000000"/>
                <w:sz w:val="18"/>
                <w:szCs w:val="18"/>
              </w:rPr>
              <w:t>1.12</w:t>
            </w:r>
          </w:p>
        </w:tc>
        <w:tc>
          <w:tcPr>
            <w:tcW w:w="347" w:type="pct"/>
            <w:tcBorders>
              <w:top w:val="single" w:sz="6" w:space="0" w:color="auto"/>
              <w:left w:val="single" w:sz="6" w:space="0" w:color="auto"/>
              <w:bottom w:val="single" w:sz="6" w:space="0" w:color="auto"/>
              <w:right w:val="single" w:sz="6" w:space="0" w:color="auto"/>
            </w:tcBorders>
            <w:shd w:val="solid" w:color="969696" w:fill="auto"/>
          </w:tcPr>
          <w:p w:rsidR="00A17E0C" w:rsidRPr="000A3C73" w:rsidRDefault="00B25903" w:rsidP="002369A6">
            <w:pPr>
              <w:autoSpaceDE w:val="0"/>
              <w:autoSpaceDN w:val="0"/>
              <w:adjustRightInd w:val="0"/>
              <w:jc w:val="right"/>
              <w:rPr>
                <w:rFonts w:ascii="Calibri" w:hAnsi="Calibri" w:cs="Calibri"/>
                <w:bCs/>
                <w:color w:val="000000"/>
                <w:sz w:val="18"/>
                <w:szCs w:val="18"/>
              </w:rPr>
            </w:pPr>
            <w:r w:rsidRPr="000A3C73">
              <w:rPr>
                <w:rFonts w:ascii="Calibri" w:hAnsi="Calibri" w:cs="Calibri"/>
                <w:bCs/>
                <w:color w:val="000000"/>
                <w:sz w:val="18"/>
                <w:szCs w:val="18"/>
              </w:rPr>
              <w:t>0.13</w:t>
            </w:r>
          </w:p>
        </w:tc>
        <w:tc>
          <w:tcPr>
            <w:tcW w:w="382" w:type="pct"/>
            <w:tcBorders>
              <w:top w:val="single" w:sz="6" w:space="0" w:color="auto"/>
              <w:left w:val="single" w:sz="6" w:space="0" w:color="auto"/>
              <w:bottom w:val="single" w:sz="6" w:space="0" w:color="auto"/>
              <w:right w:val="single" w:sz="6" w:space="0" w:color="auto"/>
            </w:tcBorders>
            <w:shd w:val="solid" w:color="969696" w:fill="auto"/>
          </w:tcPr>
          <w:p w:rsidR="00A17E0C" w:rsidRPr="000A3C73" w:rsidRDefault="00322590" w:rsidP="002369A6">
            <w:pPr>
              <w:autoSpaceDE w:val="0"/>
              <w:autoSpaceDN w:val="0"/>
              <w:adjustRightInd w:val="0"/>
              <w:jc w:val="right"/>
              <w:rPr>
                <w:rFonts w:ascii="Calibri" w:hAnsi="Calibri" w:cs="Calibri"/>
                <w:bCs/>
                <w:color w:val="000000"/>
                <w:sz w:val="18"/>
                <w:szCs w:val="18"/>
              </w:rPr>
            </w:pPr>
            <w:r w:rsidRPr="000A3C73">
              <w:rPr>
                <w:rFonts w:ascii="Calibri" w:hAnsi="Calibri" w:cs="Calibri"/>
                <w:bCs/>
                <w:color w:val="000000"/>
                <w:sz w:val="18"/>
                <w:szCs w:val="18"/>
              </w:rPr>
              <w:t>0.656</w:t>
            </w:r>
          </w:p>
        </w:tc>
        <w:tc>
          <w:tcPr>
            <w:tcW w:w="347" w:type="pct"/>
            <w:tcBorders>
              <w:top w:val="single" w:sz="6" w:space="0" w:color="auto"/>
              <w:left w:val="single" w:sz="6" w:space="0" w:color="auto"/>
              <w:bottom w:val="single" w:sz="6" w:space="0" w:color="auto"/>
              <w:right w:val="single" w:sz="6" w:space="0" w:color="auto"/>
            </w:tcBorders>
            <w:shd w:val="solid" w:color="969696" w:fill="auto"/>
          </w:tcPr>
          <w:p w:rsidR="00A17E0C" w:rsidRPr="000A3C73" w:rsidRDefault="00B25903" w:rsidP="002369A6">
            <w:pPr>
              <w:autoSpaceDE w:val="0"/>
              <w:autoSpaceDN w:val="0"/>
              <w:adjustRightInd w:val="0"/>
              <w:jc w:val="right"/>
              <w:rPr>
                <w:rFonts w:ascii="Calibri" w:hAnsi="Calibri" w:cs="Calibri"/>
                <w:bCs/>
                <w:color w:val="000000"/>
                <w:sz w:val="18"/>
                <w:szCs w:val="18"/>
              </w:rPr>
            </w:pPr>
            <w:r w:rsidRPr="000A3C73">
              <w:rPr>
                <w:rFonts w:ascii="Calibri" w:hAnsi="Calibri" w:cs="Calibri"/>
                <w:bCs/>
                <w:color w:val="000000"/>
                <w:sz w:val="18"/>
                <w:szCs w:val="18"/>
              </w:rPr>
              <w:t>U/A</w:t>
            </w:r>
          </w:p>
        </w:tc>
        <w:tc>
          <w:tcPr>
            <w:tcW w:w="382" w:type="pct"/>
            <w:tcBorders>
              <w:top w:val="single" w:sz="6" w:space="0" w:color="auto"/>
              <w:left w:val="single" w:sz="6" w:space="0" w:color="auto"/>
              <w:bottom w:val="single" w:sz="6" w:space="0" w:color="auto"/>
              <w:right w:val="single" w:sz="6" w:space="0" w:color="auto"/>
            </w:tcBorders>
            <w:shd w:val="solid" w:color="969696" w:fill="auto"/>
          </w:tcPr>
          <w:p w:rsidR="00A17E0C" w:rsidRPr="000A3C73" w:rsidRDefault="00322590" w:rsidP="002369A6">
            <w:pPr>
              <w:autoSpaceDE w:val="0"/>
              <w:autoSpaceDN w:val="0"/>
              <w:adjustRightInd w:val="0"/>
              <w:jc w:val="right"/>
              <w:rPr>
                <w:rFonts w:ascii="Calibri" w:hAnsi="Calibri" w:cs="Calibri"/>
                <w:bCs/>
                <w:color w:val="000000"/>
                <w:sz w:val="18"/>
                <w:szCs w:val="18"/>
              </w:rPr>
            </w:pPr>
            <w:r w:rsidRPr="000A3C73">
              <w:rPr>
                <w:rFonts w:ascii="Calibri" w:hAnsi="Calibri" w:cs="Calibri"/>
                <w:bCs/>
                <w:color w:val="000000"/>
                <w:sz w:val="18"/>
                <w:szCs w:val="18"/>
              </w:rPr>
              <w:t>6.00</w:t>
            </w:r>
          </w:p>
        </w:tc>
        <w:tc>
          <w:tcPr>
            <w:tcW w:w="314" w:type="pct"/>
            <w:tcBorders>
              <w:top w:val="single" w:sz="6" w:space="0" w:color="auto"/>
              <w:left w:val="single" w:sz="6" w:space="0" w:color="auto"/>
              <w:bottom w:val="single" w:sz="6" w:space="0" w:color="auto"/>
              <w:right w:val="single" w:sz="6" w:space="0" w:color="auto"/>
            </w:tcBorders>
            <w:shd w:val="solid" w:color="969696" w:fill="auto"/>
          </w:tcPr>
          <w:p w:rsidR="00A17E0C" w:rsidRPr="000A3C73" w:rsidRDefault="00163887" w:rsidP="002369A6">
            <w:pPr>
              <w:autoSpaceDE w:val="0"/>
              <w:autoSpaceDN w:val="0"/>
              <w:adjustRightInd w:val="0"/>
              <w:jc w:val="right"/>
              <w:rPr>
                <w:rFonts w:ascii="Calibri" w:hAnsi="Calibri" w:cs="Calibri"/>
                <w:bCs/>
                <w:color w:val="000000"/>
                <w:sz w:val="18"/>
                <w:szCs w:val="18"/>
              </w:rPr>
            </w:pPr>
            <w:r w:rsidRPr="000A3C73">
              <w:rPr>
                <w:rFonts w:ascii="Calibri" w:hAnsi="Calibri" w:cs="Calibri"/>
                <w:bCs/>
                <w:color w:val="000000"/>
                <w:sz w:val="18"/>
                <w:szCs w:val="18"/>
              </w:rPr>
              <w:t>7.15</w:t>
            </w:r>
          </w:p>
        </w:tc>
        <w:tc>
          <w:tcPr>
            <w:tcW w:w="417" w:type="pct"/>
            <w:tcBorders>
              <w:top w:val="single" w:sz="6" w:space="0" w:color="auto"/>
              <w:left w:val="single" w:sz="6" w:space="0" w:color="auto"/>
              <w:bottom w:val="single" w:sz="6" w:space="0" w:color="auto"/>
              <w:right w:val="single" w:sz="6" w:space="0" w:color="auto"/>
            </w:tcBorders>
            <w:shd w:val="solid" w:color="969696" w:fill="auto"/>
          </w:tcPr>
          <w:p w:rsidR="00A17E0C" w:rsidRPr="000A3C73" w:rsidRDefault="00B23054" w:rsidP="002369A6">
            <w:pPr>
              <w:autoSpaceDE w:val="0"/>
              <w:autoSpaceDN w:val="0"/>
              <w:adjustRightInd w:val="0"/>
              <w:jc w:val="right"/>
              <w:rPr>
                <w:rFonts w:ascii="Calibri" w:hAnsi="Calibri" w:cs="Calibri"/>
                <w:bCs/>
                <w:color w:val="000000"/>
                <w:sz w:val="18"/>
                <w:szCs w:val="18"/>
              </w:rPr>
            </w:pPr>
            <w:r w:rsidRPr="000A3C73">
              <w:rPr>
                <w:rFonts w:ascii="Calibri" w:hAnsi="Calibri" w:cs="Calibri"/>
                <w:bCs/>
                <w:color w:val="000000"/>
                <w:sz w:val="18"/>
                <w:szCs w:val="18"/>
              </w:rPr>
              <w:t>8.64</w:t>
            </w:r>
          </w:p>
        </w:tc>
        <w:tc>
          <w:tcPr>
            <w:tcW w:w="418" w:type="pct"/>
            <w:tcBorders>
              <w:top w:val="single" w:sz="6" w:space="0" w:color="auto"/>
              <w:left w:val="single" w:sz="6" w:space="0" w:color="auto"/>
              <w:bottom w:val="single" w:sz="6" w:space="0" w:color="auto"/>
              <w:right w:val="single" w:sz="6" w:space="0" w:color="auto"/>
            </w:tcBorders>
            <w:shd w:val="solid" w:color="969696" w:fill="auto"/>
          </w:tcPr>
          <w:p w:rsidR="00A17E0C" w:rsidRPr="000A3C73" w:rsidRDefault="00163887" w:rsidP="002369A6">
            <w:pPr>
              <w:autoSpaceDE w:val="0"/>
              <w:autoSpaceDN w:val="0"/>
              <w:adjustRightInd w:val="0"/>
              <w:jc w:val="right"/>
              <w:rPr>
                <w:rFonts w:ascii="Calibri" w:hAnsi="Calibri" w:cs="Calibri"/>
                <w:bCs/>
                <w:color w:val="000000"/>
                <w:sz w:val="18"/>
                <w:szCs w:val="18"/>
              </w:rPr>
            </w:pPr>
            <w:r w:rsidRPr="000A3C73">
              <w:rPr>
                <w:rFonts w:ascii="Calibri" w:hAnsi="Calibri" w:cs="Calibri"/>
                <w:bCs/>
                <w:color w:val="000000"/>
                <w:sz w:val="18"/>
                <w:szCs w:val="18"/>
              </w:rPr>
              <w:t>7.43</w:t>
            </w:r>
          </w:p>
        </w:tc>
        <w:tc>
          <w:tcPr>
            <w:tcW w:w="450" w:type="pct"/>
            <w:tcBorders>
              <w:top w:val="single" w:sz="6" w:space="0" w:color="auto"/>
              <w:left w:val="single" w:sz="6" w:space="0" w:color="auto"/>
              <w:bottom w:val="single" w:sz="6" w:space="0" w:color="auto"/>
              <w:right w:val="single" w:sz="6" w:space="0" w:color="auto"/>
            </w:tcBorders>
            <w:shd w:val="solid" w:color="969696" w:fill="auto"/>
          </w:tcPr>
          <w:p w:rsidR="00A17E0C" w:rsidRPr="000A3C73" w:rsidRDefault="00952DCB" w:rsidP="002369A6">
            <w:pPr>
              <w:autoSpaceDE w:val="0"/>
              <w:autoSpaceDN w:val="0"/>
              <w:adjustRightInd w:val="0"/>
              <w:jc w:val="right"/>
              <w:rPr>
                <w:rFonts w:ascii="Calibri" w:hAnsi="Calibri" w:cs="Calibri"/>
                <w:color w:val="000000"/>
                <w:sz w:val="18"/>
                <w:szCs w:val="18"/>
              </w:rPr>
            </w:pPr>
            <w:r w:rsidRPr="000A3C73">
              <w:rPr>
                <w:rFonts w:ascii="Calibri" w:hAnsi="Calibri" w:cs="Calibri"/>
                <w:color w:val="000000"/>
                <w:sz w:val="18"/>
                <w:szCs w:val="18"/>
              </w:rPr>
              <w:t>86.0%</w:t>
            </w:r>
          </w:p>
        </w:tc>
      </w:tr>
    </w:tbl>
    <w:p w:rsidR="004E7C38" w:rsidRPr="000A3C73" w:rsidRDefault="00826F20" w:rsidP="00A17E0C">
      <w:pPr>
        <w:pStyle w:val="BodyText"/>
        <w:numPr>
          <w:ilvl w:val="0"/>
          <w:numId w:val="0"/>
        </w:numPr>
        <w:rPr>
          <w:i/>
          <w:sz w:val="20"/>
        </w:rPr>
      </w:pPr>
      <w:r w:rsidRPr="000A3C73">
        <w:rPr>
          <w:i/>
          <w:sz w:val="20"/>
        </w:rPr>
        <w:t>Sources: Planned A</w:t>
      </w:r>
      <w:r w:rsidR="002C0FD8" w:rsidRPr="000A3C73">
        <w:rPr>
          <w:i/>
          <w:sz w:val="20"/>
        </w:rPr>
        <w:t>mounts: Project Document Incremental Cost Matrix</w:t>
      </w:r>
      <w:r w:rsidRPr="000A3C73">
        <w:rPr>
          <w:i/>
          <w:sz w:val="20"/>
        </w:rPr>
        <w:t xml:space="preserve">. Actual Amounts for UN and Government grant amounts: Albania component CDRs. Actual amounts for all other amounts: </w:t>
      </w:r>
      <w:r w:rsidR="00CE5B24" w:rsidRPr="000A3C73">
        <w:rPr>
          <w:i/>
          <w:sz w:val="20"/>
        </w:rPr>
        <w:t>2012 PIR.</w:t>
      </w:r>
    </w:p>
    <w:p w:rsidR="00861C24" w:rsidRPr="000A3C73" w:rsidRDefault="00861C24" w:rsidP="00A17E0C">
      <w:pPr>
        <w:pStyle w:val="BodyText"/>
        <w:numPr>
          <w:ilvl w:val="0"/>
          <w:numId w:val="0"/>
        </w:numPr>
        <w:rPr>
          <w:i/>
          <w:sz w:val="20"/>
        </w:rPr>
      </w:pPr>
      <w:r w:rsidRPr="000A3C73">
        <w:rPr>
          <w:i/>
          <w:sz w:val="20"/>
        </w:rPr>
        <w:t>*Financing from other sources may be split between grant and in-kind sources, but was partner-implemented rather than directly implemented through UNDP. “Other sources” include SDC, the Munici</w:t>
      </w:r>
      <w:r w:rsidR="00E212FB" w:rsidRPr="000A3C73">
        <w:rPr>
          <w:i/>
          <w:sz w:val="20"/>
        </w:rPr>
        <w:t>pality of Resen, NATO, and KfW.</w:t>
      </w:r>
    </w:p>
    <w:p w:rsidR="00A17E0C" w:rsidRPr="000A3C73" w:rsidRDefault="00A17E0C" w:rsidP="00A17E0C">
      <w:pPr>
        <w:pStyle w:val="BodyText"/>
        <w:numPr>
          <w:ilvl w:val="0"/>
          <w:numId w:val="0"/>
        </w:numPr>
        <w:rPr>
          <w:highlight w:val="yellow"/>
        </w:rPr>
      </w:pPr>
    </w:p>
    <w:p w:rsidR="00457A2E" w:rsidRPr="000A3C73" w:rsidRDefault="00457A2E" w:rsidP="00457A2E">
      <w:pPr>
        <w:pStyle w:val="Caption"/>
      </w:pPr>
      <w:bookmarkStart w:id="78" w:name="_Ref210979915"/>
      <w:r w:rsidRPr="000A3C73">
        <w:t xml:space="preserve">Table </w:t>
      </w:r>
      <w:r w:rsidR="008269C6" w:rsidRPr="00552EEF">
        <w:fldChar w:fldCharType="begin"/>
      </w:r>
      <w:r w:rsidR="00CF23E9" w:rsidRPr="000A3C73">
        <w:instrText xml:space="preserve"> SEQ Table \* ARABIC </w:instrText>
      </w:r>
      <w:r w:rsidR="008269C6" w:rsidRPr="00552EEF">
        <w:fldChar w:fldCharType="separate"/>
      </w:r>
      <w:r w:rsidR="006E18A7" w:rsidRPr="000A3C73">
        <w:rPr>
          <w:noProof/>
        </w:rPr>
        <w:t>8</w:t>
      </w:r>
      <w:r w:rsidR="008269C6" w:rsidRPr="00552EEF">
        <w:rPr>
          <w:noProof/>
        </w:rPr>
        <w:fldChar w:fldCharType="end"/>
      </w:r>
      <w:bookmarkEnd w:id="78"/>
      <w:r w:rsidRPr="000A3C73">
        <w:t xml:space="preserve"> Planned Co-financing by Source, by Outcome </w:t>
      </w:r>
      <w:r w:rsidRPr="000A3C73">
        <w:rPr>
          <w:i/>
          <w:sz w:val="20"/>
        </w:rPr>
        <w:t>($ millions USD)</w:t>
      </w:r>
    </w:p>
    <w:tbl>
      <w:tblPr>
        <w:tblW w:w="1288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18"/>
        <w:gridCol w:w="3127"/>
        <w:gridCol w:w="540"/>
        <w:gridCol w:w="1170"/>
        <w:gridCol w:w="2970"/>
        <w:gridCol w:w="720"/>
        <w:gridCol w:w="1080"/>
        <w:gridCol w:w="1530"/>
        <w:gridCol w:w="630"/>
      </w:tblGrid>
      <w:tr w:rsidR="00D64ABA" w:rsidRPr="000A3C73" w:rsidTr="005C31DF">
        <w:trPr>
          <w:trHeight w:val="63"/>
        </w:trPr>
        <w:tc>
          <w:tcPr>
            <w:tcW w:w="1118" w:type="dxa"/>
            <w:vMerge w:val="restart"/>
            <w:shd w:val="clear" w:color="auto" w:fill="auto"/>
            <w:noWrap/>
          </w:tcPr>
          <w:p w:rsidR="00D64ABA" w:rsidRPr="000A3C73" w:rsidRDefault="00D64ABA" w:rsidP="005C31DF">
            <w:pPr>
              <w:rPr>
                <w:rFonts w:ascii="Calibri" w:hAnsi="Calibri"/>
                <w:b/>
                <w:color w:val="000000"/>
                <w:sz w:val="18"/>
              </w:rPr>
            </w:pPr>
            <w:r w:rsidRPr="000A3C73">
              <w:rPr>
                <w:rFonts w:ascii="Calibri" w:hAnsi="Calibri"/>
                <w:b/>
                <w:color w:val="000000"/>
                <w:sz w:val="18"/>
              </w:rPr>
              <w:t>Outcome 1</w:t>
            </w:r>
          </w:p>
        </w:tc>
        <w:tc>
          <w:tcPr>
            <w:tcW w:w="3127" w:type="dxa"/>
            <w:shd w:val="clear" w:color="auto" w:fill="auto"/>
            <w:noWrap/>
            <w:vAlign w:val="bottom"/>
          </w:tcPr>
          <w:p w:rsidR="00D64ABA" w:rsidRPr="000A3C73" w:rsidRDefault="00D64ABA" w:rsidP="00745A24">
            <w:pPr>
              <w:rPr>
                <w:rFonts w:ascii="Calibri" w:hAnsi="Calibri"/>
                <w:color w:val="000000"/>
                <w:sz w:val="18"/>
              </w:rPr>
            </w:pPr>
            <w:r w:rsidRPr="000A3C73">
              <w:rPr>
                <w:rFonts w:ascii="Calibri" w:hAnsi="Calibri"/>
                <w:color w:val="000000"/>
                <w:sz w:val="18"/>
              </w:rPr>
              <w:t>Regional Environmental Center (AL)</w:t>
            </w:r>
          </w:p>
        </w:tc>
        <w:tc>
          <w:tcPr>
            <w:tcW w:w="540" w:type="dxa"/>
            <w:shd w:val="clear" w:color="auto" w:fill="auto"/>
            <w:noWrap/>
            <w:vAlign w:val="bottom"/>
          </w:tcPr>
          <w:p w:rsidR="00D64ABA" w:rsidRPr="000A3C73" w:rsidRDefault="00D64ABA" w:rsidP="00745A24">
            <w:pPr>
              <w:jc w:val="right"/>
              <w:rPr>
                <w:rFonts w:ascii="Calibri" w:hAnsi="Calibri"/>
                <w:color w:val="000000"/>
                <w:sz w:val="18"/>
              </w:rPr>
            </w:pPr>
            <w:r w:rsidRPr="000A3C73">
              <w:rPr>
                <w:rFonts w:ascii="Calibri" w:hAnsi="Calibri"/>
                <w:color w:val="000000"/>
                <w:sz w:val="18"/>
              </w:rPr>
              <w:t>0.16</w:t>
            </w:r>
          </w:p>
        </w:tc>
        <w:tc>
          <w:tcPr>
            <w:tcW w:w="1170" w:type="dxa"/>
            <w:vMerge w:val="restart"/>
          </w:tcPr>
          <w:p w:rsidR="00D64ABA" w:rsidRPr="000A3C73" w:rsidRDefault="00D64ABA" w:rsidP="005C31DF">
            <w:pPr>
              <w:rPr>
                <w:b/>
                <w:sz w:val="18"/>
                <w:szCs w:val="20"/>
              </w:rPr>
            </w:pPr>
            <w:r w:rsidRPr="000A3C73">
              <w:rPr>
                <w:rFonts w:ascii="Calibri" w:hAnsi="Calibri"/>
                <w:b/>
                <w:color w:val="000000"/>
                <w:sz w:val="18"/>
              </w:rPr>
              <w:t>Outcome 3</w:t>
            </w:r>
          </w:p>
        </w:tc>
        <w:tc>
          <w:tcPr>
            <w:tcW w:w="2970" w:type="dxa"/>
            <w:vAlign w:val="bottom"/>
          </w:tcPr>
          <w:p w:rsidR="00D64ABA" w:rsidRPr="000A3C73" w:rsidRDefault="00D64ABA">
            <w:pPr>
              <w:rPr>
                <w:sz w:val="18"/>
                <w:szCs w:val="20"/>
              </w:rPr>
            </w:pPr>
            <w:r w:rsidRPr="000A3C73">
              <w:rPr>
                <w:rFonts w:ascii="Calibri" w:hAnsi="Calibri"/>
                <w:color w:val="000000"/>
                <w:sz w:val="18"/>
              </w:rPr>
              <w:t>KfW (AL)</w:t>
            </w:r>
          </w:p>
        </w:tc>
        <w:tc>
          <w:tcPr>
            <w:tcW w:w="720" w:type="dxa"/>
            <w:vAlign w:val="bottom"/>
          </w:tcPr>
          <w:p w:rsidR="00D64ABA" w:rsidRPr="000A3C73" w:rsidRDefault="00D64ABA">
            <w:pPr>
              <w:rPr>
                <w:sz w:val="18"/>
                <w:szCs w:val="20"/>
              </w:rPr>
            </w:pPr>
            <w:r w:rsidRPr="000A3C73">
              <w:rPr>
                <w:rFonts w:ascii="Calibri" w:hAnsi="Calibri"/>
                <w:color w:val="000000"/>
                <w:sz w:val="18"/>
              </w:rPr>
              <w:t>1.25</w:t>
            </w:r>
          </w:p>
        </w:tc>
        <w:tc>
          <w:tcPr>
            <w:tcW w:w="1080" w:type="dxa"/>
            <w:vMerge w:val="restart"/>
          </w:tcPr>
          <w:p w:rsidR="00D64ABA" w:rsidRPr="000A3C73" w:rsidRDefault="00D64ABA" w:rsidP="00D64ABA">
            <w:pPr>
              <w:rPr>
                <w:rFonts w:ascii="Calibri" w:hAnsi="Calibri"/>
                <w:b/>
                <w:color w:val="000000"/>
                <w:sz w:val="18"/>
              </w:rPr>
            </w:pPr>
            <w:r w:rsidRPr="000A3C73">
              <w:rPr>
                <w:rFonts w:ascii="Calibri" w:hAnsi="Calibri"/>
                <w:b/>
                <w:color w:val="000000"/>
                <w:sz w:val="18"/>
              </w:rPr>
              <w:t>Outcome 5</w:t>
            </w:r>
          </w:p>
        </w:tc>
        <w:tc>
          <w:tcPr>
            <w:tcW w:w="1530" w:type="dxa"/>
            <w:vAlign w:val="bottom"/>
          </w:tcPr>
          <w:p w:rsidR="00D64ABA" w:rsidRPr="000A3C73" w:rsidRDefault="00D64ABA">
            <w:pPr>
              <w:rPr>
                <w:rFonts w:ascii="Calibri" w:hAnsi="Calibri"/>
                <w:color w:val="000000"/>
                <w:sz w:val="18"/>
              </w:rPr>
            </w:pPr>
            <w:r w:rsidRPr="000A3C73">
              <w:rPr>
                <w:rFonts w:ascii="Calibri" w:hAnsi="Calibri"/>
                <w:color w:val="000000"/>
                <w:sz w:val="18"/>
              </w:rPr>
              <w:t>Not specified</w:t>
            </w:r>
          </w:p>
        </w:tc>
        <w:tc>
          <w:tcPr>
            <w:tcW w:w="630" w:type="dxa"/>
            <w:vAlign w:val="bottom"/>
          </w:tcPr>
          <w:p w:rsidR="00D64ABA" w:rsidRPr="000A3C73" w:rsidRDefault="00D64ABA">
            <w:pPr>
              <w:rPr>
                <w:rFonts w:ascii="Calibri" w:hAnsi="Calibri"/>
                <w:color w:val="000000"/>
                <w:sz w:val="18"/>
              </w:rPr>
            </w:pPr>
            <w:r w:rsidRPr="000A3C73">
              <w:rPr>
                <w:rFonts w:ascii="Calibri" w:hAnsi="Calibri"/>
                <w:color w:val="000000"/>
                <w:sz w:val="18"/>
              </w:rPr>
              <w:t>0.10</w:t>
            </w:r>
          </w:p>
        </w:tc>
      </w:tr>
      <w:tr w:rsidR="00D64ABA" w:rsidRPr="000A3C73" w:rsidTr="005C31DF">
        <w:trPr>
          <w:trHeight w:val="63"/>
        </w:trPr>
        <w:tc>
          <w:tcPr>
            <w:tcW w:w="1118" w:type="dxa"/>
            <w:vMerge/>
            <w:shd w:val="clear" w:color="auto" w:fill="auto"/>
            <w:noWrap/>
            <w:hideMark/>
          </w:tcPr>
          <w:p w:rsidR="00D64ABA" w:rsidRPr="000A3C73" w:rsidRDefault="00D64ABA" w:rsidP="005C31DF">
            <w:pPr>
              <w:rPr>
                <w:rFonts w:ascii="Calibri" w:hAnsi="Calibri"/>
                <w:color w:val="000000"/>
                <w:sz w:val="18"/>
              </w:rPr>
            </w:pPr>
          </w:p>
        </w:tc>
        <w:tc>
          <w:tcPr>
            <w:tcW w:w="3127" w:type="dxa"/>
            <w:shd w:val="clear" w:color="auto" w:fill="auto"/>
            <w:noWrap/>
            <w:vAlign w:val="bottom"/>
            <w:hideMark/>
          </w:tcPr>
          <w:p w:rsidR="00D64ABA" w:rsidRPr="000A3C73" w:rsidRDefault="00D64ABA" w:rsidP="00745A24">
            <w:pPr>
              <w:rPr>
                <w:rFonts w:ascii="Calibri" w:hAnsi="Calibri"/>
                <w:color w:val="000000"/>
                <w:sz w:val="18"/>
              </w:rPr>
            </w:pPr>
            <w:r w:rsidRPr="000A3C73">
              <w:rPr>
                <w:rFonts w:ascii="Calibri" w:hAnsi="Calibri"/>
                <w:color w:val="000000"/>
                <w:sz w:val="18"/>
              </w:rPr>
              <w:t>UNDP (AL)</w:t>
            </w:r>
          </w:p>
        </w:tc>
        <w:tc>
          <w:tcPr>
            <w:tcW w:w="540" w:type="dxa"/>
            <w:shd w:val="clear" w:color="auto" w:fill="auto"/>
            <w:noWrap/>
            <w:vAlign w:val="bottom"/>
            <w:hideMark/>
          </w:tcPr>
          <w:p w:rsidR="00D64ABA" w:rsidRPr="000A3C73" w:rsidRDefault="00D64ABA" w:rsidP="00745A24">
            <w:pPr>
              <w:jc w:val="right"/>
              <w:rPr>
                <w:rFonts w:ascii="Calibri" w:hAnsi="Calibri"/>
                <w:color w:val="000000"/>
                <w:sz w:val="18"/>
              </w:rPr>
            </w:pPr>
            <w:r w:rsidRPr="000A3C73">
              <w:rPr>
                <w:rFonts w:ascii="Calibri" w:hAnsi="Calibri"/>
                <w:color w:val="000000"/>
                <w:sz w:val="18"/>
              </w:rPr>
              <w:t>0.01</w:t>
            </w:r>
          </w:p>
        </w:tc>
        <w:tc>
          <w:tcPr>
            <w:tcW w:w="1170" w:type="dxa"/>
            <w:vMerge/>
          </w:tcPr>
          <w:p w:rsidR="00D64ABA" w:rsidRPr="000A3C73" w:rsidRDefault="00D64ABA" w:rsidP="005C31DF">
            <w:pPr>
              <w:rPr>
                <w:sz w:val="18"/>
                <w:szCs w:val="20"/>
              </w:rPr>
            </w:pPr>
          </w:p>
        </w:tc>
        <w:tc>
          <w:tcPr>
            <w:tcW w:w="2970" w:type="dxa"/>
            <w:vAlign w:val="bottom"/>
          </w:tcPr>
          <w:p w:rsidR="00D64ABA" w:rsidRPr="000A3C73" w:rsidRDefault="00D64ABA">
            <w:pPr>
              <w:rPr>
                <w:sz w:val="18"/>
                <w:szCs w:val="20"/>
              </w:rPr>
            </w:pPr>
            <w:r w:rsidRPr="000A3C73">
              <w:rPr>
                <w:rFonts w:ascii="Calibri" w:hAnsi="Calibri"/>
                <w:color w:val="000000"/>
                <w:sz w:val="18"/>
              </w:rPr>
              <w:t>KfW (MK)</w:t>
            </w:r>
          </w:p>
        </w:tc>
        <w:tc>
          <w:tcPr>
            <w:tcW w:w="720" w:type="dxa"/>
            <w:vAlign w:val="bottom"/>
          </w:tcPr>
          <w:p w:rsidR="00D64ABA" w:rsidRPr="000A3C73" w:rsidRDefault="00D64ABA">
            <w:pPr>
              <w:rPr>
                <w:sz w:val="18"/>
                <w:szCs w:val="20"/>
              </w:rPr>
            </w:pPr>
            <w:r w:rsidRPr="000A3C73">
              <w:rPr>
                <w:rFonts w:ascii="Calibri" w:hAnsi="Calibri"/>
                <w:color w:val="000000"/>
                <w:sz w:val="18"/>
              </w:rPr>
              <w:t>1.88</w:t>
            </w:r>
          </w:p>
        </w:tc>
        <w:tc>
          <w:tcPr>
            <w:tcW w:w="1080" w:type="dxa"/>
            <w:vMerge/>
            <w:vAlign w:val="bottom"/>
          </w:tcPr>
          <w:p w:rsidR="00D64ABA" w:rsidRPr="000A3C73" w:rsidRDefault="00D64ABA">
            <w:pPr>
              <w:rPr>
                <w:rFonts w:ascii="Calibri" w:hAnsi="Calibri"/>
                <w:color w:val="000000"/>
                <w:sz w:val="18"/>
              </w:rPr>
            </w:pPr>
          </w:p>
        </w:tc>
        <w:tc>
          <w:tcPr>
            <w:tcW w:w="1530" w:type="dxa"/>
            <w:vAlign w:val="bottom"/>
          </w:tcPr>
          <w:p w:rsidR="00D64ABA" w:rsidRPr="000A3C73" w:rsidRDefault="00D64ABA">
            <w:pPr>
              <w:rPr>
                <w:rFonts w:ascii="Calibri" w:hAnsi="Calibri"/>
                <w:color w:val="000000"/>
                <w:sz w:val="18"/>
              </w:rPr>
            </w:pPr>
            <w:r w:rsidRPr="000A3C73">
              <w:rPr>
                <w:rFonts w:ascii="Calibri" w:hAnsi="Calibri"/>
                <w:b/>
                <w:i/>
                <w:color w:val="000000"/>
                <w:sz w:val="18"/>
              </w:rPr>
              <w:t>Total Outcome 5</w:t>
            </w:r>
          </w:p>
        </w:tc>
        <w:tc>
          <w:tcPr>
            <w:tcW w:w="630" w:type="dxa"/>
            <w:vAlign w:val="bottom"/>
          </w:tcPr>
          <w:p w:rsidR="00D64ABA" w:rsidRPr="000A3C73" w:rsidRDefault="00D64ABA">
            <w:pPr>
              <w:rPr>
                <w:rFonts w:ascii="Calibri" w:hAnsi="Calibri"/>
                <w:color w:val="000000"/>
                <w:sz w:val="18"/>
              </w:rPr>
            </w:pPr>
            <w:r w:rsidRPr="000A3C73">
              <w:rPr>
                <w:rFonts w:ascii="Calibri" w:hAnsi="Calibri"/>
                <w:color w:val="000000"/>
                <w:sz w:val="18"/>
              </w:rPr>
              <w:t>0.10</w:t>
            </w:r>
          </w:p>
        </w:tc>
      </w:tr>
      <w:tr w:rsidR="00D64ABA" w:rsidRPr="000A3C73" w:rsidTr="005C31DF">
        <w:trPr>
          <w:trHeight w:val="63"/>
        </w:trPr>
        <w:tc>
          <w:tcPr>
            <w:tcW w:w="1118" w:type="dxa"/>
            <w:vMerge/>
            <w:shd w:val="clear" w:color="auto" w:fill="auto"/>
            <w:noWrap/>
            <w:hideMark/>
          </w:tcPr>
          <w:p w:rsidR="00D64ABA" w:rsidRPr="000A3C73" w:rsidRDefault="00D64ABA" w:rsidP="005C31DF">
            <w:pPr>
              <w:rPr>
                <w:rFonts w:ascii="Calibri" w:hAnsi="Calibri"/>
                <w:color w:val="000000"/>
                <w:sz w:val="18"/>
              </w:rPr>
            </w:pPr>
          </w:p>
        </w:tc>
        <w:tc>
          <w:tcPr>
            <w:tcW w:w="3127" w:type="dxa"/>
            <w:shd w:val="clear" w:color="auto" w:fill="auto"/>
            <w:noWrap/>
            <w:vAlign w:val="bottom"/>
            <w:hideMark/>
          </w:tcPr>
          <w:p w:rsidR="00D64ABA" w:rsidRPr="000A3C73" w:rsidRDefault="00D64ABA" w:rsidP="00745A24">
            <w:pPr>
              <w:rPr>
                <w:rFonts w:ascii="Calibri" w:hAnsi="Calibri"/>
                <w:color w:val="000000"/>
                <w:sz w:val="18"/>
              </w:rPr>
            </w:pPr>
            <w:r w:rsidRPr="000A3C73">
              <w:rPr>
                <w:rFonts w:ascii="Calibri" w:hAnsi="Calibri"/>
                <w:color w:val="000000"/>
                <w:sz w:val="18"/>
              </w:rPr>
              <w:t>MoEPP (MK)</w:t>
            </w:r>
          </w:p>
        </w:tc>
        <w:tc>
          <w:tcPr>
            <w:tcW w:w="540" w:type="dxa"/>
            <w:shd w:val="clear" w:color="auto" w:fill="auto"/>
            <w:noWrap/>
            <w:vAlign w:val="bottom"/>
            <w:hideMark/>
          </w:tcPr>
          <w:p w:rsidR="00D64ABA" w:rsidRPr="000A3C73" w:rsidRDefault="00D64ABA" w:rsidP="00745A24">
            <w:pPr>
              <w:jc w:val="right"/>
              <w:rPr>
                <w:rFonts w:ascii="Calibri" w:hAnsi="Calibri"/>
                <w:color w:val="000000"/>
                <w:sz w:val="18"/>
              </w:rPr>
            </w:pPr>
            <w:r w:rsidRPr="000A3C73">
              <w:rPr>
                <w:rFonts w:ascii="Calibri" w:hAnsi="Calibri"/>
                <w:color w:val="000000"/>
                <w:sz w:val="18"/>
              </w:rPr>
              <w:t>0.13</w:t>
            </w:r>
          </w:p>
        </w:tc>
        <w:tc>
          <w:tcPr>
            <w:tcW w:w="1170" w:type="dxa"/>
            <w:vMerge/>
          </w:tcPr>
          <w:p w:rsidR="00D64ABA" w:rsidRPr="000A3C73" w:rsidRDefault="00D64ABA" w:rsidP="005C31DF">
            <w:pPr>
              <w:rPr>
                <w:sz w:val="18"/>
                <w:szCs w:val="20"/>
              </w:rPr>
            </w:pPr>
          </w:p>
        </w:tc>
        <w:tc>
          <w:tcPr>
            <w:tcW w:w="2970" w:type="dxa"/>
            <w:vAlign w:val="bottom"/>
          </w:tcPr>
          <w:p w:rsidR="00D64ABA" w:rsidRPr="000A3C73" w:rsidRDefault="00D64ABA">
            <w:pPr>
              <w:rPr>
                <w:sz w:val="18"/>
                <w:szCs w:val="20"/>
              </w:rPr>
            </w:pPr>
            <w:r w:rsidRPr="000A3C73">
              <w:rPr>
                <w:rFonts w:ascii="Calibri" w:hAnsi="Calibri"/>
                <w:color w:val="000000"/>
                <w:sz w:val="18"/>
              </w:rPr>
              <w:t>SDC (MK)</w:t>
            </w:r>
          </w:p>
        </w:tc>
        <w:tc>
          <w:tcPr>
            <w:tcW w:w="720" w:type="dxa"/>
            <w:vAlign w:val="bottom"/>
          </w:tcPr>
          <w:p w:rsidR="00D64ABA" w:rsidRPr="000A3C73" w:rsidRDefault="00D64ABA">
            <w:pPr>
              <w:rPr>
                <w:sz w:val="18"/>
                <w:szCs w:val="20"/>
              </w:rPr>
            </w:pPr>
            <w:r w:rsidRPr="000A3C73">
              <w:rPr>
                <w:rFonts w:ascii="Calibri" w:hAnsi="Calibri"/>
                <w:color w:val="000000"/>
                <w:sz w:val="18"/>
              </w:rPr>
              <w:t>0.45</w:t>
            </w:r>
          </w:p>
        </w:tc>
        <w:tc>
          <w:tcPr>
            <w:tcW w:w="1080" w:type="dxa"/>
            <w:vAlign w:val="bottom"/>
          </w:tcPr>
          <w:p w:rsidR="00D64ABA" w:rsidRPr="000A3C73" w:rsidRDefault="00D64ABA">
            <w:pPr>
              <w:rPr>
                <w:rFonts w:ascii="Calibri" w:hAnsi="Calibri"/>
                <w:color w:val="000000"/>
                <w:sz w:val="18"/>
              </w:rPr>
            </w:pPr>
          </w:p>
        </w:tc>
        <w:tc>
          <w:tcPr>
            <w:tcW w:w="1530" w:type="dxa"/>
            <w:vAlign w:val="bottom"/>
          </w:tcPr>
          <w:p w:rsidR="00D64ABA" w:rsidRPr="000A3C73" w:rsidRDefault="00D64ABA">
            <w:pPr>
              <w:rPr>
                <w:rFonts w:ascii="Calibri" w:hAnsi="Calibri"/>
                <w:b/>
                <w:i/>
                <w:color w:val="000000"/>
                <w:sz w:val="18"/>
              </w:rPr>
            </w:pPr>
          </w:p>
        </w:tc>
        <w:tc>
          <w:tcPr>
            <w:tcW w:w="630" w:type="dxa"/>
            <w:vAlign w:val="bottom"/>
          </w:tcPr>
          <w:p w:rsidR="00D64ABA" w:rsidRPr="000A3C73" w:rsidRDefault="00D64ABA">
            <w:pPr>
              <w:rPr>
                <w:rFonts w:ascii="Calibri" w:hAnsi="Calibri"/>
                <w:color w:val="000000"/>
                <w:sz w:val="18"/>
              </w:rPr>
            </w:pPr>
            <w:r w:rsidRPr="000A3C73">
              <w:rPr>
                <w:rFonts w:ascii="Calibri" w:hAnsi="Calibri"/>
                <w:color w:val="000000"/>
                <w:sz w:val="18"/>
              </w:rPr>
              <w:t> </w:t>
            </w:r>
          </w:p>
        </w:tc>
      </w:tr>
      <w:tr w:rsidR="00D64ABA" w:rsidRPr="000A3C73" w:rsidTr="005C31DF">
        <w:trPr>
          <w:trHeight w:val="63"/>
        </w:trPr>
        <w:tc>
          <w:tcPr>
            <w:tcW w:w="1118" w:type="dxa"/>
            <w:vMerge/>
            <w:shd w:val="clear" w:color="auto" w:fill="auto"/>
            <w:noWrap/>
            <w:hideMark/>
          </w:tcPr>
          <w:p w:rsidR="00D64ABA" w:rsidRPr="000A3C73" w:rsidRDefault="00D64ABA" w:rsidP="005C31DF">
            <w:pPr>
              <w:rPr>
                <w:rFonts w:ascii="Calibri" w:hAnsi="Calibri"/>
                <w:color w:val="000000"/>
                <w:sz w:val="18"/>
              </w:rPr>
            </w:pPr>
          </w:p>
        </w:tc>
        <w:tc>
          <w:tcPr>
            <w:tcW w:w="3127" w:type="dxa"/>
            <w:shd w:val="clear" w:color="auto" w:fill="auto"/>
            <w:noWrap/>
            <w:vAlign w:val="bottom"/>
            <w:hideMark/>
          </w:tcPr>
          <w:p w:rsidR="00D64ABA" w:rsidRPr="000A3C73" w:rsidRDefault="00D64ABA" w:rsidP="00745A24">
            <w:pPr>
              <w:rPr>
                <w:rFonts w:ascii="Calibri" w:hAnsi="Calibri"/>
                <w:color w:val="000000"/>
                <w:sz w:val="18"/>
              </w:rPr>
            </w:pPr>
            <w:r w:rsidRPr="000A3C73">
              <w:rPr>
                <w:rFonts w:ascii="Calibri" w:hAnsi="Calibri"/>
                <w:color w:val="000000"/>
                <w:sz w:val="18"/>
              </w:rPr>
              <w:t>SPP (GR)</w:t>
            </w:r>
          </w:p>
        </w:tc>
        <w:tc>
          <w:tcPr>
            <w:tcW w:w="540" w:type="dxa"/>
            <w:shd w:val="clear" w:color="auto" w:fill="auto"/>
            <w:noWrap/>
            <w:vAlign w:val="bottom"/>
            <w:hideMark/>
          </w:tcPr>
          <w:p w:rsidR="00D64ABA" w:rsidRPr="000A3C73" w:rsidRDefault="00D64ABA" w:rsidP="00745A24">
            <w:pPr>
              <w:jc w:val="right"/>
              <w:rPr>
                <w:rFonts w:ascii="Calibri" w:hAnsi="Calibri"/>
                <w:color w:val="000000"/>
                <w:sz w:val="18"/>
              </w:rPr>
            </w:pPr>
            <w:r w:rsidRPr="000A3C73">
              <w:rPr>
                <w:rFonts w:ascii="Calibri" w:hAnsi="Calibri"/>
                <w:color w:val="000000"/>
                <w:sz w:val="18"/>
              </w:rPr>
              <w:t>0.20</w:t>
            </w:r>
          </w:p>
        </w:tc>
        <w:tc>
          <w:tcPr>
            <w:tcW w:w="1170" w:type="dxa"/>
            <w:vMerge/>
          </w:tcPr>
          <w:p w:rsidR="00D64ABA" w:rsidRPr="000A3C73" w:rsidRDefault="00D64ABA" w:rsidP="005C31DF">
            <w:pPr>
              <w:rPr>
                <w:sz w:val="18"/>
                <w:szCs w:val="20"/>
              </w:rPr>
            </w:pPr>
          </w:p>
        </w:tc>
        <w:tc>
          <w:tcPr>
            <w:tcW w:w="2970" w:type="dxa"/>
            <w:vAlign w:val="bottom"/>
          </w:tcPr>
          <w:p w:rsidR="00D64ABA" w:rsidRPr="000A3C73" w:rsidRDefault="00D64ABA">
            <w:pPr>
              <w:rPr>
                <w:sz w:val="18"/>
                <w:szCs w:val="20"/>
              </w:rPr>
            </w:pPr>
            <w:r w:rsidRPr="000A3C73">
              <w:rPr>
                <w:rFonts w:ascii="Calibri" w:hAnsi="Calibri"/>
                <w:color w:val="000000"/>
                <w:sz w:val="18"/>
              </w:rPr>
              <w:t>MoEPP (GR)</w:t>
            </w:r>
          </w:p>
        </w:tc>
        <w:tc>
          <w:tcPr>
            <w:tcW w:w="720" w:type="dxa"/>
            <w:vAlign w:val="bottom"/>
          </w:tcPr>
          <w:p w:rsidR="00D64ABA" w:rsidRPr="000A3C73" w:rsidRDefault="00D64ABA">
            <w:pPr>
              <w:rPr>
                <w:sz w:val="18"/>
                <w:szCs w:val="20"/>
              </w:rPr>
            </w:pPr>
            <w:r w:rsidRPr="000A3C73">
              <w:rPr>
                <w:rFonts w:ascii="Calibri" w:hAnsi="Calibri"/>
                <w:color w:val="000000"/>
                <w:sz w:val="18"/>
              </w:rPr>
              <w:t>0.44</w:t>
            </w:r>
          </w:p>
        </w:tc>
        <w:tc>
          <w:tcPr>
            <w:tcW w:w="1080" w:type="dxa"/>
            <w:vAlign w:val="bottom"/>
          </w:tcPr>
          <w:p w:rsidR="00D64ABA" w:rsidRPr="000A3C73" w:rsidRDefault="00D64ABA">
            <w:pPr>
              <w:rPr>
                <w:rFonts w:ascii="Calibri" w:hAnsi="Calibri"/>
                <w:color w:val="000000"/>
                <w:sz w:val="18"/>
              </w:rPr>
            </w:pPr>
          </w:p>
        </w:tc>
        <w:tc>
          <w:tcPr>
            <w:tcW w:w="1530" w:type="dxa"/>
            <w:vAlign w:val="bottom"/>
          </w:tcPr>
          <w:p w:rsidR="00D64ABA" w:rsidRPr="000A3C73" w:rsidRDefault="00D64ABA">
            <w:pPr>
              <w:rPr>
                <w:rFonts w:ascii="Calibri" w:hAnsi="Calibri"/>
                <w:b/>
                <w:i/>
                <w:color w:val="000000"/>
                <w:sz w:val="18"/>
              </w:rPr>
            </w:pPr>
            <w:r w:rsidRPr="000A3C73">
              <w:rPr>
                <w:rFonts w:ascii="Calibri" w:hAnsi="Calibri"/>
                <w:b/>
                <w:i/>
                <w:color w:val="000000"/>
                <w:sz w:val="18"/>
              </w:rPr>
              <w:t>Total All</w:t>
            </w:r>
          </w:p>
        </w:tc>
        <w:tc>
          <w:tcPr>
            <w:tcW w:w="630" w:type="dxa"/>
            <w:vAlign w:val="bottom"/>
          </w:tcPr>
          <w:p w:rsidR="00D64ABA" w:rsidRPr="000A3C73" w:rsidRDefault="00D64ABA">
            <w:pPr>
              <w:rPr>
                <w:rFonts w:ascii="Calibri" w:hAnsi="Calibri"/>
                <w:b/>
                <w:i/>
                <w:color w:val="000000"/>
                <w:sz w:val="18"/>
              </w:rPr>
            </w:pPr>
            <w:r w:rsidRPr="000A3C73">
              <w:rPr>
                <w:rFonts w:ascii="Calibri" w:hAnsi="Calibri"/>
                <w:b/>
                <w:i/>
                <w:color w:val="000000"/>
                <w:sz w:val="18"/>
              </w:rPr>
              <w:t>8.64</w:t>
            </w:r>
          </w:p>
        </w:tc>
      </w:tr>
      <w:tr w:rsidR="00D64ABA" w:rsidRPr="000A3C73" w:rsidTr="005C31DF">
        <w:trPr>
          <w:gridAfter w:val="3"/>
          <w:wAfter w:w="3240" w:type="dxa"/>
          <w:trHeight w:val="63"/>
        </w:trPr>
        <w:tc>
          <w:tcPr>
            <w:tcW w:w="1118" w:type="dxa"/>
            <w:vMerge/>
            <w:shd w:val="clear" w:color="auto" w:fill="auto"/>
            <w:noWrap/>
            <w:hideMark/>
          </w:tcPr>
          <w:p w:rsidR="00D64ABA" w:rsidRPr="000A3C73" w:rsidRDefault="00D64ABA" w:rsidP="005C31DF">
            <w:pPr>
              <w:rPr>
                <w:rFonts w:ascii="Calibri" w:hAnsi="Calibri"/>
                <w:color w:val="000000"/>
                <w:sz w:val="18"/>
              </w:rPr>
            </w:pPr>
          </w:p>
        </w:tc>
        <w:tc>
          <w:tcPr>
            <w:tcW w:w="3127" w:type="dxa"/>
            <w:shd w:val="clear" w:color="auto" w:fill="auto"/>
            <w:noWrap/>
            <w:vAlign w:val="bottom"/>
            <w:hideMark/>
          </w:tcPr>
          <w:p w:rsidR="00D64ABA" w:rsidRPr="000A3C73" w:rsidRDefault="00D64ABA" w:rsidP="00745A24">
            <w:pPr>
              <w:rPr>
                <w:rFonts w:ascii="Calibri" w:hAnsi="Calibri"/>
                <w:b/>
                <w:i/>
                <w:color w:val="000000"/>
                <w:sz w:val="18"/>
              </w:rPr>
            </w:pPr>
            <w:r w:rsidRPr="000A3C73">
              <w:rPr>
                <w:rFonts w:ascii="Calibri" w:hAnsi="Calibri"/>
                <w:b/>
                <w:i/>
                <w:color w:val="000000"/>
                <w:sz w:val="18"/>
              </w:rPr>
              <w:t>Total Outcome 1</w:t>
            </w:r>
          </w:p>
        </w:tc>
        <w:tc>
          <w:tcPr>
            <w:tcW w:w="540" w:type="dxa"/>
            <w:shd w:val="clear" w:color="auto" w:fill="auto"/>
            <w:noWrap/>
            <w:vAlign w:val="bottom"/>
            <w:hideMark/>
          </w:tcPr>
          <w:p w:rsidR="00D64ABA" w:rsidRPr="000A3C73" w:rsidRDefault="00D64ABA" w:rsidP="00745A24">
            <w:pPr>
              <w:jc w:val="right"/>
              <w:rPr>
                <w:rFonts w:ascii="Calibri" w:hAnsi="Calibri"/>
                <w:color w:val="000000"/>
                <w:sz w:val="18"/>
              </w:rPr>
            </w:pPr>
            <w:r w:rsidRPr="000A3C73">
              <w:rPr>
                <w:rFonts w:ascii="Calibri" w:hAnsi="Calibri"/>
                <w:color w:val="000000"/>
                <w:sz w:val="18"/>
              </w:rPr>
              <w:t>0.50</w:t>
            </w:r>
          </w:p>
        </w:tc>
        <w:tc>
          <w:tcPr>
            <w:tcW w:w="1170" w:type="dxa"/>
            <w:vMerge/>
          </w:tcPr>
          <w:p w:rsidR="00D64ABA" w:rsidRPr="000A3C73" w:rsidRDefault="00D64ABA" w:rsidP="005C31DF">
            <w:pPr>
              <w:rPr>
                <w:sz w:val="18"/>
                <w:szCs w:val="20"/>
              </w:rPr>
            </w:pPr>
          </w:p>
        </w:tc>
        <w:tc>
          <w:tcPr>
            <w:tcW w:w="2970" w:type="dxa"/>
            <w:vAlign w:val="bottom"/>
          </w:tcPr>
          <w:p w:rsidR="00D64ABA" w:rsidRPr="000A3C73" w:rsidRDefault="00D64ABA">
            <w:pPr>
              <w:rPr>
                <w:sz w:val="18"/>
                <w:szCs w:val="20"/>
              </w:rPr>
            </w:pPr>
            <w:r w:rsidRPr="000A3C73">
              <w:rPr>
                <w:rFonts w:ascii="Calibri" w:hAnsi="Calibri"/>
                <w:b/>
                <w:i/>
                <w:color w:val="000000"/>
                <w:sz w:val="18"/>
              </w:rPr>
              <w:t>Total Outcome 3</w:t>
            </w:r>
          </w:p>
        </w:tc>
        <w:tc>
          <w:tcPr>
            <w:tcW w:w="720" w:type="dxa"/>
            <w:vAlign w:val="bottom"/>
          </w:tcPr>
          <w:p w:rsidR="00D64ABA" w:rsidRPr="000A3C73" w:rsidRDefault="00D64ABA">
            <w:pPr>
              <w:rPr>
                <w:sz w:val="18"/>
                <w:szCs w:val="20"/>
              </w:rPr>
            </w:pPr>
            <w:r w:rsidRPr="000A3C73">
              <w:rPr>
                <w:rFonts w:ascii="Calibri" w:hAnsi="Calibri"/>
                <w:color w:val="000000"/>
                <w:sz w:val="18"/>
              </w:rPr>
              <w:t>4.01</w:t>
            </w:r>
          </w:p>
        </w:tc>
      </w:tr>
      <w:tr w:rsidR="00D64ABA" w:rsidRPr="000A3C73" w:rsidTr="005C31DF">
        <w:trPr>
          <w:gridAfter w:val="3"/>
          <w:wAfter w:w="3240" w:type="dxa"/>
          <w:trHeight w:val="63"/>
        </w:trPr>
        <w:tc>
          <w:tcPr>
            <w:tcW w:w="1118" w:type="dxa"/>
            <w:vMerge w:val="restart"/>
            <w:shd w:val="clear" w:color="auto" w:fill="auto"/>
            <w:noWrap/>
            <w:hideMark/>
          </w:tcPr>
          <w:p w:rsidR="00D64ABA" w:rsidRPr="000A3C73" w:rsidRDefault="00D64ABA" w:rsidP="005C31DF">
            <w:pPr>
              <w:rPr>
                <w:rFonts w:ascii="Calibri" w:hAnsi="Calibri"/>
                <w:color w:val="000000"/>
                <w:sz w:val="18"/>
              </w:rPr>
            </w:pPr>
            <w:r w:rsidRPr="000A3C73">
              <w:rPr>
                <w:rFonts w:ascii="Calibri" w:hAnsi="Calibri"/>
                <w:b/>
                <w:color w:val="000000"/>
                <w:sz w:val="18"/>
              </w:rPr>
              <w:t>Outcome 2</w:t>
            </w:r>
          </w:p>
        </w:tc>
        <w:tc>
          <w:tcPr>
            <w:tcW w:w="3127" w:type="dxa"/>
            <w:shd w:val="clear" w:color="auto" w:fill="auto"/>
            <w:noWrap/>
            <w:vAlign w:val="bottom"/>
            <w:hideMark/>
          </w:tcPr>
          <w:p w:rsidR="00D64ABA" w:rsidRPr="000A3C73" w:rsidRDefault="00D64ABA" w:rsidP="00745A24">
            <w:pPr>
              <w:rPr>
                <w:rFonts w:ascii="Calibri" w:hAnsi="Calibri"/>
                <w:color w:val="000000"/>
                <w:sz w:val="18"/>
              </w:rPr>
            </w:pPr>
            <w:r w:rsidRPr="000A3C73">
              <w:rPr>
                <w:rFonts w:ascii="Calibri" w:hAnsi="Calibri"/>
                <w:color w:val="000000"/>
                <w:sz w:val="18"/>
              </w:rPr>
              <w:t>KfW (AL)</w:t>
            </w:r>
          </w:p>
        </w:tc>
        <w:tc>
          <w:tcPr>
            <w:tcW w:w="540" w:type="dxa"/>
            <w:shd w:val="clear" w:color="auto" w:fill="auto"/>
            <w:noWrap/>
            <w:vAlign w:val="bottom"/>
            <w:hideMark/>
          </w:tcPr>
          <w:p w:rsidR="00D64ABA" w:rsidRPr="000A3C73" w:rsidRDefault="00D64ABA" w:rsidP="001810C5">
            <w:pPr>
              <w:jc w:val="right"/>
              <w:rPr>
                <w:rFonts w:ascii="Calibri" w:hAnsi="Calibri"/>
                <w:color w:val="000000"/>
                <w:sz w:val="18"/>
              </w:rPr>
            </w:pPr>
            <w:r w:rsidRPr="000A3C73">
              <w:rPr>
                <w:rFonts w:ascii="Calibri" w:hAnsi="Calibri"/>
                <w:color w:val="000000"/>
                <w:sz w:val="18"/>
              </w:rPr>
              <w:t>1.88</w:t>
            </w:r>
          </w:p>
        </w:tc>
        <w:tc>
          <w:tcPr>
            <w:tcW w:w="1170" w:type="dxa"/>
            <w:vMerge w:val="restart"/>
          </w:tcPr>
          <w:p w:rsidR="00D64ABA" w:rsidRPr="000A3C73" w:rsidRDefault="00D64ABA" w:rsidP="005C31DF">
            <w:pPr>
              <w:rPr>
                <w:b/>
                <w:sz w:val="18"/>
                <w:szCs w:val="20"/>
              </w:rPr>
            </w:pPr>
            <w:r w:rsidRPr="000A3C73">
              <w:rPr>
                <w:rFonts w:ascii="Calibri" w:hAnsi="Calibri"/>
                <w:b/>
                <w:color w:val="000000"/>
                <w:sz w:val="18"/>
              </w:rPr>
              <w:t>Outcome 4</w:t>
            </w:r>
          </w:p>
        </w:tc>
        <w:tc>
          <w:tcPr>
            <w:tcW w:w="2970" w:type="dxa"/>
            <w:vAlign w:val="bottom"/>
          </w:tcPr>
          <w:p w:rsidR="00D64ABA" w:rsidRPr="000A3C73" w:rsidRDefault="00D64ABA">
            <w:pPr>
              <w:rPr>
                <w:sz w:val="18"/>
                <w:szCs w:val="20"/>
              </w:rPr>
            </w:pPr>
            <w:r w:rsidRPr="000A3C73">
              <w:rPr>
                <w:rFonts w:ascii="Calibri" w:hAnsi="Calibri"/>
                <w:color w:val="000000"/>
                <w:sz w:val="18"/>
              </w:rPr>
              <w:t>UNDP (AL)</w:t>
            </w:r>
          </w:p>
        </w:tc>
        <w:tc>
          <w:tcPr>
            <w:tcW w:w="720" w:type="dxa"/>
            <w:vAlign w:val="bottom"/>
          </w:tcPr>
          <w:p w:rsidR="00D64ABA" w:rsidRPr="000A3C73" w:rsidRDefault="00D64ABA">
            <w:pPr>
              <w:rPr>
                <w:sz w:val="18"/>
                <w:szCs w:val="20"/>
              </w:rPr>
            </w:pPr>
            <w:r w:rsidRPr="000A3C73">
              <w:rPr>
                <w:rFonts w:ascii="Calibri" w:hAnsi="Calibri"/>
                <w:color w:val="000000"/>
                <w:sz w:val="18"/>
              </w:rPr>
              <w:t>0.02</w:t>
            </w:r>
          </w:p>
        </w:tc>
      </w:tr>
      <w:tr w:rsidR="00D64ABA" w:rsidRPr="000A3C73" w:rsidTr="001810C5">
        <w:trPr>
          <w:gridAfter w:val="3"/>
          <w:wAfter w:w="3240" w:type="dxa"/>
          <w:trHeight w:val="63"/>
        </w:trPr>
        <w:tc>
          <w:tcPr>
            <w:tcW w:w="1118" w:type="dxa"/>
            <w:vMerge/>
            <w:shd w:val="clear" w:color="auto" w:fill="auto"/>
            <w:noWrap/>
            <w:vAlign w:val="bottom"/>
            <w:hideMark/>
          </w:tcPr>
          <w:p w:rsidR="00D64ABA" w:rsidRPr="000A3C73" w:rsidRDefault="00D64ABA" w:rsidP="00745A24">
            <w:pPr>
              <w:rPr>
                <w:rFonts w:ascii="Calibri" w:hAnsi="Calibri"/>
                <w:color w:val="000000"/>
                <w:sz w:val="18"/>
              </w:rPr>
            </w:pPr>
          </w:p>
        </w:tc>
        <w:tc>
          <w:tcPr>
            <w:tcW w:w="3127" w:type="dxa"/>
            <w:shd w:val="clear" w:color="auto" w:fill="auto"/>
            <w:noWrap/>
            <w:vAlign w:val="bottom"/>
            <w:hideMark/>
          </w:tcPr>
          <w:p w:rsidR="00D64ABA" w:rsidRPr="000A3C73" w:rsidRDefault="00D64ABA" w:rsidP="00174CC4">
            <w:pPr>
              <w:rPr>
                <w:rFonts w:ascii="Calibri" w:hAnsi="Calibri"/>
                <w:color w:val="000000"/>
                <w:sz w:val="18"/>
              </w:rPr>
            </w:pPr>
            <w:r w:rsidRPr="000A3C73">
              <w:rPr>
                <w:rFonts w:ascii="Calibri" w:hAnsi="Calibri"/>
                <w:color w:val="000000"/>
                <w:sz w:val="18"/>
              </w:rPr>
              <w:t>Office of Fisheries Management (AL)</w:t>
            </w:r>
          </w:p>
        </w:tc>
        <w:tc>
          <w:tcPr>
            <w:tcW w:w="540" w:type="dxa"/>
            <w:shd w:val="clear" w:color="auto" w:fill="auto"/>
            <w:noWrap/>
            <w:vAlign w:val="bottom"/>
            <w:hideMark/>
          </w:tcPr>
          <w:p w:rsidR="00D64ABA" w:rsidRPr="000A3C73" w:rsidRDefault="00D64ABA" w:rsidP="00745A24">
            <w:pPr>
              <w:jc w:val="right"/>
              <w:rPr>
                <w:rFonts w:ascii="Calibri" w:hAnsi="Calibri"/>
                <w:color w:val="000000"/>
                <w:sz w:val="18"/>
              </w:rPr>
            </w:pPr>
            <w:r w:rsidRPr="000A3C73">
              <w:rPr>
                <w:rFonts w:ascii="Calibri" w:hAnsi="Calibri"/>
                <w:color w:val="000000"/>
                <w:sz w:val="18"/>
              </w:rPr>
              <w:t>0.14</w:t>
            </w:r>
          </w:p>
        </w:tc>
        <w:tc>
          <w:tcPr>
            <w:tcW w:w="1170" w:type="dxa"/>
            <w:vMerge/>
            <w:vAlign w:val="bottom"/>
          </w:tcPr>
          <w:p w:rsidR="00D64ABA" w:rsidRPr="000A3C73" w:rsidRDefault="00D64ABA" w:rsidP="00D64ABA">
            <w:pPr>
              <w:rPr>
                <w:sz w:val="18"/>
                <w:szCs w:val="20"/>
              </w:rPr>
            </w:pPr>
          </w:p>
        </w:tc>
        <w:tc>
          <w:tcPr>
            <w:tcW w:w="2970" w:type="dxa"/>
            <w:vAlign w:val="bottom"/>
          </w:tcPr>
          <w:p w:rsidR="00D64ABA" w:rsidRPr="000A3C73" w:rsidRDefault="00D64ABA">
            <w:pPr>
              <w:rPr>
                <w:sz w:val="18"/>
                <w:szCs w:val="20"/>
              </w:rPr>
            </w:pPr>
            <w:r w:rsidRPr="000A3C73">
              <w:rPr>
                <w:rFonts w:ascii="Calibri" w:hAnsi="Calibri"/>
                <w:color w:val="000000"/>
                <w:sz w:val="18"/>
              </w:rPr>
              <w:t>SPP (GR)</w:t>
            </w:r>
          </w:p>
        </w:tc>
        <w:tc>
          <w:tcPr>
            <w:tcW w:w="720" w:type="dxa"/>
            <w:vAlign w:val="bottom"/>
          </w:tcPr>
          <w:p w:rsidR="00D64ABA" w:rsidRPr="000A3C73" w:rsidRDefault="00D64ABA">
            <w:pPr>
              <w:rPr>
                <w:sz w:val="18"/>
                <w:szCs w:val="20"/>
              </w:rPr>
            </w:pPr>
            <w:r w:rsidRPr="000A3C73">
              <w:rPr>
                <w:rFonts w:ascii="Calibri" w:hAnsi="Calibri"/>
                <w:color w:val="000000"/>
                <w:sz w:val="18"/>
              </w:rPr>
              <w:t>0.38</w:t>
            </w:r>
          </w:p>
        </w:tc>
      </w:tr>
      <w:tr w:rsidR="00D64ABA" w:rsidRPr="000A3C73" w:rsidTr="001810C5">
        <w:trPr>
          <w:gridAfter w:val="3"/>
          <w:wAfter w:w="3240" w:type="dxa"/>
          <w:trHeight w:val="98"/>
        </w:trPr>
        <w:tc>
          <w:tcPr>
            <w:tcW w:w="1118" w:type="dxa"/>
            <w:vMerge/>
            <w:shd w:val="clear" w:color="auto" w:fill="auto"/>
            <w:noWrap/>
            <w:vAlign w:val="bottom"/>
            <w:hideMark/>
          </w:tcPr>
          <w:p w:rsidR="00D64ABA" w:rsidRPr="000A3C73" w:rsidRDefault="00D64ABA" w:rsidP="00745A24">
            <w:pPr>
              <w:rPr>
                <w:rFonts w:ascii="Calibri" w:hAnsi="Calibri"/>
                <w:color w:val="000000"/>
                <w:sz w:val="18"/>
              </w:rPr>
            </w:pPr>
          </w:p>
        </w:tc>
        <w:tc>
          <w:tcPr>
            <w:tcW w:w="3127" w:type="dxa"/>
            <w:shd w:val="clear" w:color="auto" w:fill="auto"/>
            <w:noWrap/>
            <w:vAlign w:val="bottom"/>
            <w:hideMark/>
          </w:tcPr>
          <w:p w:rsidR="00D64ABA" w:rsidRPr="000A3C73" w:rsidRDefault="00D64ABA" w:rsidP="00745A24">
            <w:pPr>
              <w:rPr>
                <w:rFonts w:ascii="Calibri" w:hAnsi="Calibri"/>
                <w:color w:val="000000"/>
                <w:sz w:val="18"/>
              </w:rPr>
            </w:pPr>
            <w:r w:rsidRPr="000A3C73">
              <w:rPr>
                <w:rFonts w:ascii="Calibri" w:hAnsi="Calibri"/>
                <w:color w:val="000000"/>
                <w:sz w:val="18"/>
              </w:rPr>
              <w:t>SGP (AL)</w:t>
            </w:r>
          </w:p>
        </w:tc>
        <w:tc>
          <w:tcPr>
            <w:tcW w:w="540" w:type="dxa"/>
            <w:shd w:val="clear" w:color="auto" w:fill="auto"/>
            <w:noWrap/>
            <w:vAlign w:val="bottom"/>
            <w:hideMark/>
          </w:tcPr>
          <w:p w:rsidR="00D64ABA" w:rsidRPr="000A3C73" w:rsidRDefault="00D64ABA" w:rsidP="00745A24">
            <w:pPr>
              <w:jc w:val="right"/>
              <w:rPr>
                <w:rFonts w:ascii="Calibri" w:hAnsi="Calibri"/>
                <w:color w:val="000000"/>
                <w:sz w:val="18"/>
              </w:rPr>
            </w:pPr>
            <w:r w:rsidRPr="000A3C73">
              <w:rPr>
                <w:rFonts w:ascii="Calibri" w:hAnsi="Calibri"/>
                <w:color w:val="000000"/>
                <w:sz w:val="18"/>
              </w:rPr>
              <w:t>0.04</w:t>
            </w:r>
          </w:p>
        </w:tc>
        <w:tc>
          <w:tcPr>
            <w:tcW w:w="1170" w:type="dxa"/>
            <w:vMerge/>
            <w:vAlign w:val="bottom"/>
          </w:tcPr>
          <w:p w:rsidR="00D64ABA" w:rsidRPr="000A3C73" w:rsidRDefault="00D64ABA" w:rsidP="00D64ABA">
            <w:pPr>
              <w:rPr>
                <w:sz w:val="18"/>
                <w:szCs w:val="20"/>
              </w:rPr>
            </w:pPr>
          </w:p>
        </w:tc>
        <w:tc>
          <w:tcPr>
            <w:tcW w:w="2970" w:type="dxa"/>
            <w:vAlign w:val="bottom"/>
          </w:tcPr>
          <w:p w:rsidR="00D64ABA" w:rsidRPr="000A3C73" w:rsidRDefault="00D64ABA">
            <w:pPr>
              <w:rPr>
                <w:sz w:val="18"/>
                <w:szCs w:val="20"/>
              </w:rPr>
            </w:pPr>
            <w:r w:rsidRPr="000A3C73">
              <w:rPr>
                <w:rFonts w:ascii="Calibri" w:hAnsi="Calibri"/>
                <w:color w:val="000000"/>
                <w:sz w:val="18"/>
              </w:rPr>
              <w:t>SPP/WWF (GR)</w:t>
            </w:r>
          </w:p>
        </w:tc>
        <w:tc>
          <w:tcPr>
            <w:tcW w:w="720" w:type="dxa"/>
            <w:vAlign w:val="bottom"/>
          </w:tcPr>
          <w:p w:rsidR="00D64ABA" w:rsidRPr="000A3C73" w:rsidRDefault="00D64ABA">
            <w:pPr>
              <w:rPr>
                <w:sz w:val="18"/>
                <w:szCs w:val="20"/>
              </w:rPr>
            </w:pPr>
            <w:r w:rsidRPr="000A3C73">
              <w:rPr>
                <w:rFonts w:ascii="Calibri" w:hAnsi="Calibri"/>
                <w:color w:val="000000"/>
                <w:sz w:val="18"/>
              </w:rPr>
              <w:t>0.08</w:t>
            </w:r>
          </w:p>
        </w:tc>
      </w:tr>
      <w:tr w:rsidR="00D64ABA" w:rsidRPr="000A3C73" w:rsidTr="001810C5">
        <w:trPr>
          <w:gridAfter w:val="3"/>
          <w:wAfter w:w="3240" w:type="dxa"/>
          <w:trHeight w:val="63"/>
        </w:trPr>
        <w:tc>
          <w:tcPr>
            <w:tcW w:w="1118" w:type="dxa"/>
            <w:vMerge/>
            <w:shd w:val="clear" w:color="auto" w:fill="auto"/>
            <w:noWrap/>
            <w:vAlign w:val="bottom"/>
            <w:hideMark/>
          </w:tcPr>
          <w:p w:rsidR="00D64ABA" w:rsidRPr="000A3C73" w:rsidRDefault="00D64ABA" w:rsidP="00745A24">
            <w:pPr>
              <w:rPr>
                <w:rFonts w:ascii="Calibri" w:hAnsi="Calibri"/>
                <w:color w:val="000000"/>
                <w:sz w:val="18"/>
              </w:rPr>
            </w:pPr>
          </w:p>
        </w:tc>
        <w:tc>
          <w:tcPr>
            <w:tcW w:w="3127" w:type="dxa"/>
            <w:shd w:val="clear" w:color="auto" w:fill="auto"/>
            <w:noWrap/>
            <w:vAlign w:val="bottom"/>
            <w:hideMark/>
          </w:tcPr>
          <w:p w:rsidR="00D64ABA" w:rsidRPr="000A3C73" w:rsidRDefault="00D64ABA" w:rsidP="00745A24">
            <w:pPr>
              <w:rPr>
                <w:rFonts w:ascii="Calibri" w:hAnsi="Calibri"/>
                <w:color w:val="000000"/>
                <w:sz w:val="18"/>
              </w:rPr>
            </w:pPr>
            <w:r w:rsidRPr="000A3C73">
              <w:rPr>
                <w:rFonts w:ascii="Calibri" w:hAnsi="Calibri"/>
                <w:color w:val="000000"/>
                <w:sz w:val="18"/>
              </w:rPr>
              <w:t>UNDP (AL)</w:t>
            </w:r>
          </w:p>
        </w:tc>
        <w:tc>
          <w:tcPr>
            <w:tcW w:w="540" w:type="dxa"/>
            <w:shd w:val="clear" w:color="auto" w:fill="auto"/>
            <w:noWrap/>
            <w:vAlign w:val="bottom"/>
            <w:hideMark/>
          </w:tcPr>
          <w:p w:rsidR="00D64ABA" w:rsidRPr="000A3C73" w:rsidRDefault="00D64ABA" w:rsidP="00745A24">
            <w:pPr>
              <w:jc w:val="right"/>
              <w:rPr>
                <w:rFonts w:ascii="Calibri" w:hAnsi="Calibri"/>
                <w:color w:val="000000"/>
                <w:sz w:val="18"/>
              </w:rPr>
            </w:pPr>
            <w:r w:rsidRPr="000A3C73">
              <w:rPr>
                <w:rFonts w:ascii="Calibri" w:hAnsi="Calibri"/>
                <w:color w:val="000000"/>
                <w:sz w:val="18"/>
              </w:rPr>
              <w:t>0.23</w:t>
            </w:r>
          </w:p>
        </w:tc>
        <w:tc>
          <w:tcPr>
            <w:tcW w:w="1170" w:type="dxa"/>
            <w:vMerge/>
            <w:vAlign w:val="bottom"/>
          </w:tcPr>
          <w:p w:rsidR="00D64ABA" w:rsidRPr="000A3C73" w:rsidRDefault="00D64ABA" w:rsidP="00D64ABA">
            <w:pPr>
              <w:rPr>
                <w:sz w:val="18"/>
                <w:szCs w:val="20"/>
              </w:rPr>
            </w:pPr>
          </w:p>
        </w:tc>
        <w:tc>
          <w:tcPr>
            <w:tcW w:w="2970" w:type="dxa"/>
            <w:vAlign w:val="bottom"/>
          </w:tcPr>
          <w:p w:rsidR="00D64ABA" w:rsidRPr="000A3C73" w:rsidRDefault="00D64ABA">
            <w:pPr>
              <w:rPr>
                <w:sz w:val="18"/>
                <w:szCs w:val="20"/>
              </w:rPr>
            </w:pPr>
            <w:r w:rsidRPr="000A3C73">
              <w:rPr>
                <w:rFonts w:ascii="Calibri" w:hAnsi="Calibri"/>
                <w:color w:val="000000"/>
                <w:sz w:val="18"/>
              </w:rPr>
              <w:t>MFA/SPP (GR)</w:t>
            </w:r>
          </w:p>
        </w:tc>
        <w:tc>
          <w:tcPr>
            <w:tcW w:w="720" w:type="dxa"/>
            <w:vAlign w:val="bottom"/>
          </w:tcPr>
          <w:p w:rsidR="00D64ABA" w:rsidRPr="000A3C73" w:rsidRDefault="00D64ABA">
            <w:pPr>
              <w:rPr>
                <w:sz w:val="18"/>
                <w:szCs w:val="20"/>
              </w:rPr>
            </w:pPr>
            <w:r w:rsidRPr="000A3C73">
              <w:rPr>
                <w:rFonts w:ascii="Calibri" w:hAnsi="Calibri"/>
                <w:color w:val="000000"/>
                <w:sz w:val="18"/>
              </w:rPr>
              <w:t>0.20</w:t>
            </w:r>
          </w:p>
        </w:tc>
      </w:tr>
      <w:tr w:rsidR="00D64ABA" w:rsidRPr="000A3C73" w:rsidTr="001810C5">
        <w:trPr>
          <w:gridAfter w:val="3"/>
          <w:wAfter w:w="3240" w:type="dxa"/>
          <w:trHeight w:val="63"/>
        </w:trPr>
        <w:tc>
          <w:tcPr>
            <w:tcW w:w="1118" w:type="dxa"/>
            <w:vMerge/>
            <w:shd w:val="clear" w:color="auto" w:fill="auto"/>
            <w:noWrap/>
            <w:vAlign w:val="bottom"/>
            <w:hideMark/>
          </w:tcPr>
          <w:p w:rsidR="00D64ABA" w:rsidRPr="000A3C73" w:rsidRDefault="00D64ABA" w:rsidP="00745A24">
            <w:pPr>
              <w:rPr>
                <w:rFonts w:ascii="Calibri" w:hAnsi="Calibri"/>
                <w:color w:val="000000"/>
                <w:sz w:val="18"/>
              </w:rPr>
            </w:pPr>
          </w:p>
        </w:tc>
        <w:tc>
          <w:tcPr>
            <w:tcW w:w="3127" w:type="dxa"/>
            <w:shd w:val="clear" w:color="auto" w:fill="auto"/>
            <w:noWrap/>
            <w:vAlign w:val="bottom"/>
            <w:hideMark/>
          </w:tcPr>
          <w:p w:rsidR="00D64ABA" w:rsidRPr="000A3C73" w:rsidRDefault="00D64ABA" w:rsidP="00745A24">
            <w:pPr>
              <w:rPr>
                <w:rFonts w:ascii="Calibri" w:hAnsi="Calibri"/>
                <w:color w:val="000000"/>
                <w:sz w:val="18"/>
              </w:rPr>
            </w:pPr>
            <w:r w:rsidRPr="000A3C73">
              <w:rPr>
                <w:rFonts w:ascii="Calibri" w:hAnsi="Calibri"/>
                <w:color w:val="000000"/>
                <w:sz w:val="18"/>
              </w:rPr>
              <w:t>UNDP (MK)</w:t>
            </w:r>
          </w:p>
        </w:tc>
        <w:tc>
          <w:tcPr>
            <w:tcW w:w="540" w:type="dxa"/>
            <w:shd w:val="clear" w:color="auto" w:fill="auto"/>
            <w:noWrap/>
            <w:vAlign w:val="bottom"/>
            <w:hideMark/>
          </w:tcPr>
          <w:p w:rsidR="00D64ABA" w:rsidRPr="000A3C73" w:rsidRDefault="00D64ABA" w:rsidP="00745A24">
            <w:pPr>
              <w:jc w:val="right"/>
              <w:rPr>
                <w:rFonts w:ascii="Calibri" w:hAnsi="Calibri"/>
                <w:color w:val="000000"/>
                <w:sz w:val="18"/>
              </w:rPr>
            </w:pPr>
            <w:r w:rsidRPr="000A3C73">
              <w:rPr>
                <w:rFonts w:ascii="Calibri" w:hAnsi="Calibri"/>
                <w:color w:val="000000"/>
                <w:sz w:val="18"/>
              </w:rPr>
              <w:t>0.60</w:t>
            </w:r>
          </w:p>
        </w:tc>
        <w:tc>
          <w:tcPr>
            <w:tcW w:w="1170" w:type="dxa"/>
            <w:vMerge/>
            <w:vAlign w:val="bottom"/>
          </w:tcPr>
          <w:p w:rsidR="00D64ABA" w:rsidRPr="000A3C73" w:rsidRDefault="00D64ABA" w:rsidP="00D64ABA">
            <w:pPr>
              <w:rPr>
                <w:sz w:val="18"/>
                <w:szCs w:val="20"/>
              </w:rPr>
            </w:pPr>
          </w:p>
        </w:tc>
        <w:tc>
          <w:tcPr>
            <w:tcW w:w="2970" w:type="dxa"/>
            <w:vAlign w:val="bottom"/>
          </w:tcPr>
          <w:p w:rsidR="00D64ABA" w:rsidRPr="000A3C73" w:rsidRDefault="00D64ABA">
            <w:pPr>
              <w:rPr>
                <w:sz w:val="18"/>
                <w:szCs w:val="20"/>
              </w:rPr>
            </w:pPr>
            <w:r w:rsidRPr="000A3C73">
              <w:rPr>
                <w:rFonts w:ascii="Calibri" w:hAnsi="Calibri"/>
                <w:color w:val="000000"/>
                <w:sz w:val="18"/>
              </w:rPr>
              <w:t>NATO</w:t>
            </w:r>
          </w:p>
        </w:tc>
        <w:tc>
          <w:tcPr>
            <w:tcW w:w="720" w:type="dxa"/>
            <w:vAlign w:val="bottom"/>
          </w:tcPr>
          <w:p w:rsidR="00D64ABA" w:rsidRPr="000A3C73" w:rsidRDefault="00D64ABA">
            <w:pPr>
              <w:rPr>
                <w:sz w:val="18"/>
                <w:szCs w:val="20"/>
              </w:rPr>
            </w:pPr>
            <w:r w:rsidRPr="000A3C73">
              <w:rPr>
                <w:rFonts w:ascii="Calibri" w:hAnsi="Calibri"/>
                <w:color w:val="000000"/>
                <w:sz w:val="18"/>
              </w:rPr>
              <w:t>0.25</w:t>
            </w:r>
          </w:p>
        </w:tc>
      </w:tr>
      <w:tr w:rsidR="00D64ABA" w:rsidRPr="000A3C73" w:rsidTr="001810C5">
        <w:trPr>
          <w:gridAfter w:val="3"/>
          <w:wAfter w:w="3240" w:type="dxa"/>
          <w:trHeight w:val="63"/>
        </w:trPr>
        <w:tc>
          <w:tcPr>
            <w:tcW w:w="1118" w:type="dxa"/>
            <w:vMerge/>
            <w:shd w:val="clear" w:color="auto" w:fill="auto"/>
            <w:noWrap/>
            <w:vAlign w:val="bottom"/>
            <w:hideMark/>
          </w:tcPr>
          <w:p w:rsidR="00D64ABA" w:rsidRPr="000A3C73" w:rsidRDefault="00D64ABA" w:rsidP="00745A24">
            <w:pPr>
              <w:rPr>
                <w:rFonts w:ascii="Calibri" w:hAnsi="Calibri"/>
                <w:color w:val="000000"/>
                <w:sz w:val="18"/>
              </w:rPr>
            </w:pPr>
          </w:p>
        </w:tc>
        <w:tc>
          <w:tcPr>
            <w:tcW w:w="3127" w:type="dxa"/>
            <w:shd w:val="clear" w:color="auto" w:fill="auto"/>
            <w:noWrap/>
            <w:vAlign w:val="bottom"/>
            <w:hideMark/>
          </w:tcPr>
          <w:p w:rsidR="00D64ABA" w:rsidRPr="000A3C73" w:rsidRDefault="00D64ABA" w:rsidP="00745A24">
            <w:pPr>
              <w:rPr>
                <w:rFonts w:ascii="Calibri" w:hAnsi="Calibri"/>
                <w:color w:val="000000"/>
                <w:sz w:val="18"/>
              </w:rPr>
            </w:pPr>
            <w:r w:rsidRPr="000A3C73">
              <w:rPr>
                <w:rFonts w:ascii="Calibri" w:hAnsi="Calibri"/>
                <w:color w:val="000000"/>
                <w:sz w:val="18"/>
              </w:rPr>
              <w:t>MoR (MK)</w:t>
            </w:r>
          </w:p>
        </w:tc>
        <w:tc>
          <w:tcPr>
            <w:tcW w:w="540" w:type="dxa"/>
            <w:shd w:val="clear" w:color="auto" w:fill="auto"/>
            <w:noWrap/>
            <w:vAlign w:val="bottom"/>
            <w:hideMark/>
          </w:tcPr>
          <w:p w:rsidR="00D64ABA" w:rsidRPr="000A3C73" w:rsidRDefault="00D64ABA" w:rsidP="00745A24">
            <w:pPr>
              <w:jc w:val="right"/>
              <w:rPr>
                <w:rFonts w:ascii="Calibri" w:hAnsi="Calibri"/>
                <w:color w:val="000000"/>
                <w:sz w:val="18"/>
              </w:rPr>
            </w:pPr>
            <w:r w:rsidRPr="000A3C73">
              <w:rPr>
                <w:rFonts w:ascii="Calibri" w:hAnsi="Calibri"/>
                <w:color w:val="000000"/>
                <w:sz w:val="18"/>
              </w:rPr>
              <w:t>0.07</w:t>
            </w:r>
          </w:p>
        </w:tc>
        <w:tc>
          <w:tcPr>
            <w:tcW w:w="1170" w:type="dxa"/>
            <w:vMerge/>
            <w:vAlign w:val="bottom"/>
          </w:tcPr>
          <w:p w:rsidR="00D64ABA" w:rsidRPr="000A3C73" w:rsidRDefault="00D64ABA">
            <w:pPr>
              <w:rPr>
                <w:sz w:val="18"/>
                <w:szCs w:val="20"/>
              </w:rPr>
            </w:pPr>
          </w:p>
        </w:tc>
        <w:tc>
          <w:tcPr>
            <w:tcW w:w="2970" w:type="dxa"/>
            <w:vAlign w:val="bottom"/>
          </w:tcPr>
          <w:p w:rsidR="00D64ABA" w:rsidRPr="000A3C73" w:rsidRDefault="00D64ABA">
            <w:pPr>
              <w:rPr>
                <w:sz w:val="18"/>
                <w:szCs w:val="20"/>
              </w:rPr>
            </w:pPr>
            <w:r w:rsidRPr="000A3C73">
              <w:rPr>
                <w:rFonts w:ascii="Calibri" w:hAnsi="Calibri"/>
                <w:b/>
                <w:i/>
                <w:color w:val="000000"/>
                <w:sz w:val="18"/>
              </w:rPr>
              <w:t>Total Outcome 4</w:t>
            </w:r>
          </w:p>
        </w:tc>
        <w:tc>
          <w:tcPr>
            <w:tcW w:w="720" w:type="dxa"/>
            <w:vAlign w:val="bottom"/>
          </w:tcPr>
          <w:p w:rsidR="00D64ABA" w:rsidRPr="000A3C73" w:rsidRDefault="00D64ABA">
            <w:pPr>
              <w:rPr>
                <w:sz w:val="18"/>
                <w:szCs w:val="20"/>
              </w:rPr>
            </w:pPr>
            <w:r w:rsidRPr="000A3C73">
              <w:rPr>
                <w:rFonts w:ascii="Calibri" w:hAnsi="Calibri"/>
                <w:color w:val="000000"/>
                <w:sz w:val="18"/>
              </w:rPr>
              <w:t>0.93</w:t>
            </w:r>
          </w:p>
        </w:tc>
      </w:tr>
      <w:tr w:rsidR="00D64ABA" w:rsidRPr="000A3C73" w:rsidTr="001810C5">
        <w:trPr>
          <w:gridAfter w:val="6"/>
          <w:wAfter w:w="8100" w:type="dxa"/>
          <w:trHeight w:val="63"/>
        </w:trPr>
        <w:tc>
          <w:tcPr>
            <w:tcW w:w="1118" w:type="dxa"/>
            <w:vMerge/>
            <w:shd w:val="clear" w:color="auto" w:fill="auto"/>
            <w:noWrap/>
            <w:vAlign w:val="bottom"/>
            <w:hideMark/>
          </w:tcPr>
          <w:p w:rsidR="00D64ABA" w:rsidRPr="000A3C73" w:rsidRDefault="00D64ABA" w:rsidP="00745A24">
            <w:pPr>
              <w:rPr>
                <w:rFonts w:ascii="Calibri" w:hAnsi="Calibri"/>
                <w:color w:val="000000"/>
                <w:sz w:val="18"/>
              </w:rPr>
            </w:pPr>
          </w:p>
        </w:tc>
        <w:tc>
          <w:tcPr>
            <w:tcW w:w="3127" w:type="dxa"/>
            <w:shd w:val="clear" w:color="auto" w:fill="auto"/>
            <w:noWrap/>
            <w:vAlign w:val="bottom"/>
            <w:hideMark/>
          </w:tcPr>
          <w:p w:rsidR="00D64ABA" w:rsidRPr="000A3C73" w:rsidRDefault="00D64ABA" w:rsidP="00745A24">
            <w:pPr>
              <w:rPr>
                <w:rFonts w:ascii="Calibri" w:hAnsi="Calibri"/>
                <w:color w:val="000000"/>
                <w:sz w:val="18"/>
              </w:rPr>
            </w:pPr>
            <w:r w:rsidRPr="000A3C73">
              <w:rPr>
                <w:rFonts w:ascii="Calibri" w:hAnsi="Calibri"/>
                <w:color w:val="000000"/>
                <w:sz w:val="18"/>
              </w:rPr>
              <w:t>Prefecture of Florina (GR)</w:t>
            </w:r>
          </w:p>
        </w:tc>
        <w:tc>
          <w:tcPr>
            <w:tcW w:w="540" w:type="dxa"/>
            <w:shd w:val="clear" w:color="auto" w:fill="auto"/>
            <w:noWrap/>
            <w:vAlign w:val="bottom"/>
            <w:hideMark/>
          </w:tcPr>
          <w:p w:rsidR="00D64ABA" w:rsidRPr="000A3C73" w:rsidRDefault="00D64ABA" w:rsidP="00745A24">
            <w:pPr>
              <w:jc w:val="right"/>
              <w:rPr>
                <w:rFonts w:ascii="Calibri" w:hAnsi="Calibri"/>
                <w:color w:val="000000"/>
                <w:sz w:val="18"/>
              </w:rPr>
            </w:pPr>
            <w:r w:rsidRPr="000A3C73">
              <w:rPr>
                <w:rFonts w:ascii="Calibri" w:hAnsi="Calibri"/>
                <w:color w:val="000000"/>
                <w:sz w:val="18"/>
              </w:rPr>
              <w:t>0.15</w:t>
            </w:r>
          </w:p>
        </w:tc>
      </w:tr>
      <w:tr w:rsidR="00D64ABA" w:rsidRPr="000A3C73" w:rsidTr="001810C5">
        <w:trPr>
          <w:gridAfter w:val="6"/>
          <w:wAfter w:w="8100" w:type="dxa"/>
          <w:trHeight w:val="63"/>
        </w:trPr>
        <w:tc>
          <w:tcPr>
            <w:tcW w:w="1118" w:type="dxa"/>
            <w:vMerge/>
            <w:shd w:val="clear" w:color="auto" w:fill="auto"/>
            <w:noWrap/>
            <w:vAlign w:val="bottom"/>
            <w:hideMark/>
          </w:tcPr>
          <w:p w:rsidR="00D64ABA" w:rsidRPr="000A3C73" w:rsidRDefault="00D64ABA" w:rsidP="00745A24">
            <w:pPr>
              <w:rPr>
                <w:rFonts w:ascii="Calibri" w:hAnsi="Calibri"/>
                <w:color w:val="000000"/>
                <w:sz w:val="18"/>
              </w:rPr>
            </w:pPr>
          </w:p>
        </w:tc>
        <w:tc>
          <w:tcPr>
            <w:tcW w:w="3127" w:type="dxa"/>
            <w:shd w:val="clear" w:color="auto" w:fill="auto"/>
            <w:noWrap/>
            <w:vAlign w:val="bottom"/>
            <w:hideMark/>
          </w:tcPr>
          <w:p w:rsidR="00D64ABA" w:rsidRPr="000A3C73" w:rsidRDefault="00D64ABA" w:rsidP="00745A24">
            <w:pPr>
              <w:rPr>
                <w:rFonts w:ascii="Calibri" w:hAnsi="Calibri"/>
                <w:b/>
                <w:i/>
                <w:color w:val="000000"/>
                <w:sz w:val="18"/>
              </w:rPr>
            </w:pPr>
            <w:r w:rsidRPr="000A3C73">
              <w:rPr>
                <w:rFonts w:ascii="Calibri" w:hAnsi="Calibri"/>
                <w:b/>
                <w:i/>
                <w:color w:val="000000"/>
                <w:sz w:val="18"/>
              </w:rPr>
              <w:t>Total Outcome 2</w:t>
            </w:r>
          </w:p>
        </w:tc>
        <w:tc>
          <w:tcPr>
            <w:tcW w:w="540" w:type="dxa"/>
            <w:shd w:val="clear" w:color="auto" w:fill="auto"/>
            <w:noWrap/>
            <w:vAlign w:val="bottom"/>
            <w:hideMark/>
          </w:tcPr>
          <w:p w:rsidR="00D64ABA" w:rsidRPr="000A3C73" w:rsidRDefault="00D64ABA" w:rsidP="00745A24">
            <w:pPr>
              <w:jc w:val="right"/>
              <w:rPr>
                <w:rFonts w:ascii="Calibri" w:hAnsi="Calibri"/>
                <w:color w:val="000000"/>
                <w:sz w:val="18"/>
              </w:rPr>
            </w:pPr>
            <w:r w:rsidRPr="000A3C73">
              <w:rPr>
                <w:rFonts w:ascii="Calibri" w:hAnsi="Calibri"/>
                <w:color w:val="000000"/>
                <w:sz w:val="18"/>
              </w:rPr>
              <w:t>3.10</w:t>
            </w:r>
          </w:p>
        </w:tc>
      </w:tr>
    </w:tbl>
    <w:p w:rsidR="00A17E0C" w:rsidRPr="000A3C73" w:rsidRDefault="00B02CE3" w:rsidP="00A17E0C">
      <w:pPr>
        <w:pStyle w:val="BodyText"/>
        <w:numPr>
          <w:ilvl w:val="0"/>
          <w:numId w:val="0"/>
        </w:numPr>
        <w:rPr>
          <w:i/>
          <w:sz w:val="20"/>
        </w:rPr>
      </w:pPr>
      <w:r w:rsidRPr="000A3C73">
        <w:rPr>
          <w:i/>
          <w:sz w:val="20"/>
        </w:rPr>
        <w:t xml:space="preserve">Source: </w:t>
      </w:r>
      <w:r w:rsidR="002C0FD8" w:rsidRPr="000A3C73">
        <w:rPr>
          <w:i/>
          <w:sz w:val="20"/>
        </w:rPr>
        <w:t>Project Document Incremental Cost Matrix</w:t>
      </w:r>
      <w:r w:rsidR="00CE5B24" w:rsidRPr="000A3C73">
        <w:rPr>
          <w:i/>
          <w:sz w:val="20"/>
        </w:rPr>
        <w:t>.</w:t>
      </w:r>
    </w:p>
    <w:p w:rsidR="00A17E0C" w:rsidRPr="000A3C73" w:rsidRDefault="00A17E0C" w:rsidP="00B02CE3">
      <w:pPr>
        <w:pStyle w:val="Heading3"/>
        <w:numPr>
          <w:ilvl w:val="0"/>
          <w:numId w:val="0"/>
        </w:numPr>
        <w:rPr>
          <w:highlight w:val="yellow"/>
        </w:rPr>
      </w:pPr>
    </w:p>
    <w:p w:rsidR="00B02CE3" w:rsidRPr="000A3C73" w:rsidRDefault="00B02CE3" w:rsidP="00B02CE3">
      <w:pPr>
        <w:pStyle w:val="BodyText"/>
        <w:rPr>
          <w:highlight w:val="yellow"/>
        </w:rPr>
        <w:sectPr w:rsidR="00B02CE3" w:rsidRPr="000A3C73" w:rsidSect="00A17E0C">
          <w:pgSz w:w="15840" w:h="12240" w:orient="landscape"/>
          <w:pgMar w:top="1440" w:right="1440" w:bottom="1440" w:left="1440" w:header="720" w:footer="720" w:gutter="0"/>
          <w:cols w:space="720"/>
        </w:sectPr>
      </w:pPr>
    </w:p>
    <w:p w:rsidR="00B41E00" w:rsidRPr="000A3C73" w:rsidRDefault="00B41E00" w:rsidP="008B2ED9">
      <w:pPr>
        <w:pStyle w:val="Heading3"/>
        <w:ind w:left="1440"/>
      </w:pPr>
      <w:bookmarkStart w:id="79" w:name="_Toc238551067"/>
      <w:r w:rsidRPr="000A3C73">
        <w:t>Flexibility and Adaptive Management</w:t>
      </w:r>
      <w:bookmarkEnd w:id="63"/>
      <w:bookmarkEnd w:id="64"/>
      <w:bookmarkEnd w:id="65"/>
      <w:bookmarkEnd w:id="66"/>
      <w:bookmarkEnd w:id="79"/>
    </w:p>
    <w:p w:rsidR="00D74B67" w:rsidRPr="000A3C73" w:rsidRDefault="00D74B67" w:rsidP="00D74B67">
      <w:pPr>
        <w:pStyle w:val="BodyText"/>
      </w:pPr>
      <w:r w:rsidRPr="000A3C73">
        <w:t xml:space="preserve">Flexibility is one of the GEF’s ten operational principles, and all projects must be implemented in a flexible manner to maximize efficiency and effectiveness, and to ensure results-based, rather than output-based approach. Thus, during project implementation adaptive management must be </w:t>
      </w:r>
      <w:r w:rsidR="00B7627F" w:rsidRPr="000A3C73">
        <w:t>applied</w:t>
      </w:r>
      <w:r w:rsidRPr="000A3C73">
        <w:t xml:space="preserve"> to adjust to changing circumstances. </w:t>
      </w:r>
    </w:p>
    <w:p w:rsidR="0030743A" w:rsidRPr="000A3C73" w:rsidRDefault="0030743A" w:rsidP="00D74B67">
      <w:pPr>
        <w:pStyle w:val="BodyText"/>
      </w:pPr>
      <w:r w:rsidRPr="000A3C73">
        <w:t xml:space="preserve">Overall, in the two national components adaptive management was effectively implemented to adjust to changes in circumstances or assumptions, as necessary. In the transboundary component, the inconsistent presence of senior management staff (e.g. the ITA) made responding to challenges and changing circumstances more difficult, and some of the issues faced such as </w:t>
      </w:r>
      <w:r w:rsidR="006C083A" w:rsidRPr="000A3C73">
        <w:t xml:space="preserve">poor internal communication, the non-functioning water management working group, </w:t>
      </w:r>
      <w:r w:rsidR="00855DF1" w:rsidRPr="000A3C73">
        <w:t xml:space="preserve">and the sustainability of the transboundary results. </w:t>
      </w:r>
    </w:p>
    <w:p w:rsidR="00625B4C" w:rsidRPr="000A3C73" w:rsidRDefault="00625B4C" w:rsidP="00D74B67">
      <w:pPr>
        <w:pStyle w:val="BodyText"/>
      </w:pPr>
      <w:r w:rsidRPr="000A3C73">
        <w:t>At the inception workshop for the transboundary component there was identified a need for revision of the logframe indicators and targets, and additions to be made to include the results in Greek Prespa, funded through Greek sources. The logframe was revised, and the UNDP Regional Technical Advisor approved the revised version November 12, 2007.</w:t>
      </w:r>
      <w:r w:rsidR="002709B7" w:rsidRPr="000A3C73">
        <w:t xml:space="preserve"> This is the version of the logframe used throughout implementation in the PIRs and for guiding the project’s results-based implementation approach. </w:t>
      </w:r>
    </w:p>
    <w:p w:rsidR="00476887" w:rsidRPr="000A3C73" w:rsidRDefault="00476887" w:rsidP="00D74B67">
      <w:pPr>
        <w:pStyle w:val="BodyText"/>
      </w:pPr>
      <w:r w:rsidRPr="000A3C73">
        <w:t>Multiple factors contributed to the need to adjust project workplanning from the beginning of implementation. The delay in start-up of the transboundary component affected not only this component, but the level of coordination between all three components. In the Albania component, the delay in the KfW activities meant that the Albania PMU had to adjust project activities that had been dependent on simultaneous implementation of the KfW project. In Macedonia the PMU was slow to deliver in the initial period of the project, and once a new project manager was in place it was necessary to catch-up on the fi</w:t>
      </w:r>
      <w:r w:rsidR="00491C6D" w:rsidRPr="000A3C73">
        <w:t xml:space="preserve">rst 12-24 months of activities, and budget revisions were processed and approved each year during implementation. </w:t>
      </w:r>
    </w:p>
    <w:p w:rsidR="0050433D" w:rsidRPr="000A3C73" w:rsidRDefault="0050433D" w:rsidP="00D74B67">
      <w:pPr>
        <w:pStyle w:val="BodyText"/>
      </w:pPr>
      <w:r w:rsidRPr="000A3C73">
        <w:t>Following the mid-term evaluation (which inc</w:t>
      </w:r>
      <w:r w:rsidR="00CD1722" w:rsidRPr="000A3C73">
        <w:t>luded numerous recommendations)</w:t>
      </w:r>
      <w:r w:rsidRPr="000A3C73">
        <w:t xml:space="preserve"> some adjustments were made, including the hiring of a communications specialist, the inclusion of Strategic Environmental Assessment in the development of the Macedonia Prespa watershed management plan, and a rigorous system of computer back-up was instituted. </w:t>
      </w:r>
    </w:p>
    <w:p w:rsidR="00B41E00" w:rsidRPr="000A3C73" w:rsidRDefault="00B41E00" w:rsidP="008B2ED9">
      <w:pPr>
        <w:pStyle w:val="Heading3"/>
        <w:ind w:left="1440"/>
      </w:pPr>
      <w:bookmarkStart w:id="80" w:name="_Ref211054705"/>
      <w:bookmarkStart w:id="81" w:name="_Ref146700812"/>
      <w:bookmarkStart w:id="82" w:name="_Toc152154276"/>
      <w:bookmarkStart w:id="83" w:name="_Toc238551068"/>
      <w:r w:rsidRPr="000A3C73">
        <w:t xml:space="preserve">UNDP </w:t>
      </w:r>
      <w:r w:rsidR="00E25F8D" w:rsidRPr="000A3C73">
        <w:t xml:space="preserve">Oversight of the Prespa IEM </w:t>
      </w:r>
      <w:r w:rsidRPr="000A3C73">
        <w:t>Project</w:t>
      </w:r>
      <w:bookmarkEnd w:id="80"/>
      <w:bookmarkEnd w:id="81"/>
      <w:bookmarkEnd w:id="82"/>
      <w:bookmarkEnd w:id="83"/>
    </w:p>
    <w:p w:rsidR="00B47285" w:rsidRPr="000A3C73" w:rsidRDefault="00CE52F9" w:rsidP="00B47285">
      <w:pPr>
        <w:pStyle w:val="BodyText"/>
      </w:pPr>
      <w:r w:rsidRPr="000A3C73">
        <w:t>UNDP is the responsible GEF Agency for the project, and carrie</w:t>
      </w:r>
      <w:r w:rsidR="001A7415" w:rsidRPr="000A3C73">
        <w:t>d</w:t>
      </w:r>
      <w:r w:rsidRPr="000A3C73">
        <w:t xml:space="preserve"> general backstopping and oversight responsibilities, as well as handling the financial accounts. </w:t>
      </w:r>
      <w:r w:rsidR="00893F64" w:rsidRPr="000A3C73">
        <w:t xml:space="preserve">As described in the project document, </w:t>
      </w:r>
      <w:r w:rsidR="00893F64" w:rsidRPr="000A3C73">
        <w:rPr>
          <w:i/>
        </w:rPr>
        <w:t>“the MK and AL UNDP Country Offices will be responsible for: a) overseeing project budgets and expenditures, including reviewing and approving annual workplans, with the input and advice of the POC; b) recruiting and contracting project personnel and consultant services; c) procuring equipment; d) project evaluation and reporting, result-based project monitoring, and organizing independent audits to ensure the proper use of UNDP/GEF funds; and e) overseeing project staff within the PMUs in cooperation with the two [Designated Institutions], the [Project Enabling Committees] and the [Project Oversight Committee</w:t>
      </w:r>
      <w:r w:rsidR="001A7415" w:rsidRPr="000A3C73">
        <w:rPr>
          <w:i/>
        </w:rPr>
        <w:t>]</w:t>
      </w:r>
      <w:r w:rsidR="00893F64" w:rsidRPr="000A3C73">
        <w:rPr>
          <w:i/>
        </w:rPr>
        <w:t>.”</w:t>
      </w:r>
      <w:r w:rsidR="00130B68" w:rsidRPr="000A3C73">
        <w:t xml:space="preserve">The UNDP-GEF regional office in Bratislava also provides direct oversight and support to the country offices. As the GEF Agency, UNDP is also partially responsible for the project development and design phase. </w:t>
      </w:r>
      <w:r w:rsidR="00B47285" w:rsidRPr="000A3C73">
        <w:t xml:space="preserve">In addition, the transboundary component was carried out through the Direct Execution modality, which meant that the UNDP Macedonia country office was directly responsible for execution and management of activities under this component. </w:t>
      </w:r>
    </w:p>
    <w:p w:rsidR="00E25F8D" w:rsidRPr="000126EE" w:rsidRDefault="00E25F8D" w:rsidP="00130B68">
      <w:pPr>
        <w:pStyle w:val="BodyText"/>
      </w:pPr>
      <w:r w:rsidRPr="000A3C73">
        <w:t>On the whole, UNDP’s oversight and support for the Prespa IEM project has been adequate</w:t>
      </w:r>
      <w:r w:rsidR="002133E0" w:rsidRPr="000A3C73">
        <w:t xml:space="preserve">, with strong support provided to the project management units to facilitate their </w:t>
      </w:r>
      <w:r w:rsidR="00651B01" w:rsidRPr="000A3C73">
        <w:t>implementation of the project</w:t>
      </w:r>
      <w:r w:rsidRPr="000A3C73">
        <w:t xml:space="preserve">. </w:t>
      </w:r>
      <w:r w:rsidR="001245D7" w:rsidRPr="000A3C73">
        <w:t xml:space="preserve">There was frequent informal communication between the UNDP country offices in Macedonia and Albania and the respective PMUs. </w:t>
      </w:r>
      <w:r w:rsidRPr="000A3C73">
        <w:t>The project faced multiple challenging factors</w:t>
      </w:r>
      <w:r w:rsidR="00651B01" w:rsidRPr="000A3C73">
        <w:t xml:space="preserve"> (see Sections </w:t>
      </w:r>
      <w:r w:rsidR="008269C6" w:rsidRPr="005E69C8">
        <w:fldChar w:fldCharType="begin"/>
      </w:r>
      <w:r w:rsidR="00651B01" w:rsidRPr="000A3C73">
        <w:instrText xml:space="preserve"> REF _Ref210988268 \w \h </w:instrText>
      </w:r>
      <w:r w:rsidR="008269C6" w:rsidRPr="005E69C8">
        <w:fldChar w:fldCharType="separate"/>
      </w:r>
      <w:r w:rsidR="006E18A7" w:rsidRPr="005E69C8">
        <w:t>IV.A</w:t>
      </w:r>
      <w:r w:rsidR="008269C6" w:rsidRPr="005E69C8">
        <w:fldChar w:fldCharType="end"/>
      </w:r>
      <w:r w:rsidR="00651B01" w:rsidRPr="00FC657B">
        <w:t xml:space="preserve"> and </w:t>
      </w:r>
      <w:r w:rsidR="008269C6" w:rsidRPr="005E69C8">
        <w:fldChar w:fldCharType="begin"/>
      </w:r>
      <w:r w:rsidR="00651B01" w:rsidRPr="000A3C73">
        <w:instrText xml:space="preserve"> REF _Ref209772383 \w \h </w:instrText>
      </w:r>
      <w:r w:rsidR="008269C6" w:rsidRPr="005E69C8">
        <w:fldChar w:fldCharType="separate"/>
      </w:r>
      <w:r w:rsidR="006E18A7" w:rsidRPr="005E69C8">
        <w:t>V.A</w:t>
      </w:r>
      <w:r w:rsidR="008269C6" w:rsidRPr="005E69C8">
        <w:fldChar w:fldCharType="end"/>
      </w:r>
      <w:r w:rsidR="00651B01" w:rsidRPr="00FC657B">
        <w:t>)</w:t>
      </w:r>
      <w:r w:rsidRPr="00D77DF1">
        <w:t>, and these were partially overcome or addres</w:t>
      </w:r>
      <w:r w:rsidRPr="00CD42DE">
        <w:t>sed to the extent</w:t>
      </w:r>
      <w:r w:rsidRPr="00AA7D1F">
        <w:t xml:space="preserve"> possible.</w:t>
      </w:r>
      <w:r w:rsidR="00D56A17" w:rsidRPr="005E69C8">
        <w:t xml:space="preserve"> </w:t>
      </w:r>
      <w:r w:rsidR="00E8408B" w:rsidRPr="00850A96">
        <w:t xml:space="preserve">In addition, UNDP has helped facilitate the SDC-funded follow-up project in Macedonia, which is a significant contribution to financial sustainability of the project activities in Macedonia. </w:t>
      </w:r>
      <w:r w:rsidR="0019257A" w:rsidRPr="008B7E9A">
        <w:t xml:space="preserve">UNDP has also ensured comprehensive project reporting. </w:t>
      </w:r>
    </w:p>
    <w:p w:rsidR="001A589A" w:rsidRPr="000A3C73" w:rsidRDefault="001A589A" w:rsidP="00130B68">
      <w:pPr>
        <w:pStyle w:val="BodyText"/>
      </w:pPr>
      <w:r w:rsidRPr="00B71D27">
        <w:t>O</w:t>
      </w:r>
      <w:r w:rsidRPr="00595792">
        <w:t>ne area for improvement and strengthening in future</w:t>
      </w:r>
      <w:r w:rsidRPr="00602E30">
        <w:t xml:space="preserve"> projects is the speed with which project staff members are recruited or replaced when necessary. There were significant initial delays in composing the project teams for all three components, and when it was necessary to find new staff for the transbounda</w:t>
      </w:r>
      <w:r w:rsidRPr="002A69B7">
        <w:t>ry and Macedonian components, there were gaps of 15 and 7 months, respectively</w:t>
      </w:r>
      <w:r w:rsidR="003733A5" w:rsidRPr="002C744B">
        <w:t xml:space="preserve"> (see Section </w:t>
      </w:r>
      <w:r w:rsidR="008269C6" w:rsidRPr="005E69C8">
        <w:fldChar w:fldCharType="begin"/>
      </w:r>
      <w:r w:rsidR="003733A5" w:rsidRPr="000A3C73">
        <w:instrText xml:space="preserve"> REF _Ref210990299 \w \h </w:instrText>
      </w:r>
      <w:r w:rsidR="008269C6" w:rsidRPr="005E69C8">
        <w:fldChar w:fldCharType="separate"/>
      </w:r>
      <w:r w:rsidR="006E18A7" w:rsidRPr="005E69C8">
        <w:t>IV.E</w:t>
      </w:r>
      <w:r w:rsidR="008269C6" w:rsidRPr="005E69C8">
        <w:fldChar w:fldCharType="end"/>
      </w:r>
      <w:r w:rsidR="003733A5" w:rsidRPr="00FC657B">
        <w:t xml:space="preserve"> above)</w:t>
      </w:r>
      <w:r w:rsidRPr="00D77DF1">
        <w:t xml:space="preserve">, with tender processes repeated multiple times. </w:t>
      </w:r>
      <w:r w:rsidR="00C8546E" w:rsidRPr="00CD42DE">
        <w:t>It is clear that in s</w:t>
      </w:r>
      <w:r w:rsidR="00C8546E" w:rsidRPr="00AA7D1F">
        <w:t xml:space="preserve">ome instances the pool of human resources for particular technical or managerial expertise is limited, but there is no reason this should be more the case in the Prespa countries than any other country where UNDP-GEF projects are implemented. </w:t>
      </w:r>
      <w:r w:rsidR="0092143D" w:rsidRPr="005E69C8">
        <w:t>While UNDP has i</w:t>
      </w:r>
      <w:r w:rsidR="0092143D" w:rsidRPr="00850A96">
        <w:t xml:space="preserve">mportant procedures </w:t>
      </w:r>
      <w:r w:rsidR="005E748E" w:rsidRPr="008B7E9A">
        <w:t xml:space="preserve">for hiring project staff </w:t>
      </w:r>
      <w:r w:rsidR="0092143D" w:rsidRPr="000126EE">
        <w:t xml:space="preserve">to ensure </w:t>
      </w:r>
      <w:r w:rsidR="005E748E" w:rsidRPr="00B71D27">
        <w:t>transparency, for successful (and timely) hiring it can be helpful to at least have a preliminary idea of where suitable candidates may be found who could be encouraged to apply. Having quality project</w:t>
      </w:r>
      <w:r w:rsidR="005E748E" w:rsidRPr="00595792">
        <w:t xml:space="preserve"> staff in place within </w:t>
      </w:r>
      <w:r w:rsidR="00BF3E74" w:rsidRPr="00602E30">
        <w:t>three</w:t>
      </w:r>
      <w:r w:rsidR="005E748E" w:rsidRPr="002A69B7">
        <w:t xml:space="preserve"> months of project </w:t>
      </w:r>
      <w:r w:rsidR="00BF3E74" w:rsidRPr="002C744B">
        <w:t>start-up</w:t>
      </w:r>
      <w:r w:rsidR="005E748E" w:rsidRPr="00C56966">
        <w:t xml:space="preserve"> is cri</w:t>
      </w:r>
      <w:r w:rsidR="005E748E" w:rsidRPr="002D3949">
        <w:t xml:space="preserve">tical for project success, and having long gaps in implementation where staff are not in place is detrimental. </w:t>
      </w:r>
    </w:p>
    <w:p w:rsidR="0019257A" w:rsidRPr="00FC657B" w:rsidRDefault="0019257A" w:rsidP="00130B68">
      <w:pPr>
        <w:pStyle w:val="BodyText"/>
      </w:pPr>
      <w:r w:rsidRPr="000A3C73">
        <w:t xml:space="preserve">The mid-term evaluation identified opportunities for improvement of both internal and external communication, and a communications expert was brought on in the latter part of the project, which greatly improved external communications for the project. While communication between UNDP and the PMUs was strong, internal project communication among project stakeholders in all three littoral states remained a weakness of the project throughout implementation. This is further discussed </w:t>
      </w:r>
      <w:r w:rsidR="00F16B4F" w:rsidRPr="000A3C73">
        <w:t>throughout</w:t>
      </w:r>
      <w:r w:rsidRPr="000A3C73">
        <w:t xml:space="preserve"> S</w:t>
      </w:r>
      <w:r w:rsidR="00F16B4F" w:rsidRPr="000A3C73">
        <w:t xml:space="preserve">ection </w:t>
      </w:r>
      <w:r w:rsidR="008269C6" w:rsidRPr="005E69C8">
        <w:fldChar w:fldCharType="begin"/>
      </w:r>
      <w:r w:rsidR="00F16B4F" w:rsidRPr="000A3C73">
        <w:instrText xml:space="preserve"> REF _Ref210990967 \w \h </w:instrText>
      </w:r>
      <w:r w:rsidR="008269C6" w:rsidRPr="005E69C8">
        <w:fldChar w:fldCharType="separate"/>
      </w:r>
      <w:r w:rsidR="006E18A7" w:rsidRPr="005E69C8">
        <w:t>V</w:t>
      </w:r>
      <w:r w:rsidR="008269C6" w:rsidRPr="005E69C8">
        <w:fldChar w:fldCharType="end"/>
      </w:r>
      <w:r w:rsidRPr="00FC657B">
        <w:t xml:space="preserve">. </w:t>
      </w:r>
    </w:p>
    <w:p w:rsidR="003043F8" w:rsidRPr="00CD42DE" w:rsidRDefault="002B3E96" w:rsidP="00130B68">
      <w:pPr>
        <w:pStyle w:val="BodyText"/>
      </w:pPr>
      <w:r w:rsidRPr="00D77DF1">
        <w:t>A</w:t>
      </w:r>
      <w:r w:rsidR="003043F8" w:rsidRPr="00CD42DE">
        <w:t>s has been discussed previously, the development proc</w:t>
      </w:r>
      <w:r w:rsidR="003043F8" w:rsidRPr="00AA7D1F">
        <w:t>ess for the Prespa IEM project was not fully adequate in terms of aligning stakeholder expectations with the realities of GEF funding, and in terms of the actual project design. One of the significant lessons from this project has been that the three-compo</w:t>
      </w:r>
      <w:r w:rsidR="003043F8" w:rsidRPr="005E69C8">
        <w:t>nen</w:t>
      </w:r>
      <w:r w:rsidR="003043F8" w:rsidRPr="00850A96">
        <w:t xml:space="preserve">t approach created some challenges for implementation of a single project. </w:t>
      </w:r>
      <w:r w:rsidR="00B91600" w:rsidRPr="008B7E9A">
        <w:t>The project concept is drawn from multiple sources, and the project design is a product of many inputs, but as the GEF Agency, UNDP has primary responsibility for ensuring an adequa</w:t>
      </w:r>
      <w:r w:rsidR="00B91600" w:rsidRPr="000126EE">
        <w:t>te project design is generated. The details of the project design process are far enough in the past that it is not possible to specifically identify approaches or processes that could have been improved in the Prespa IEM project, but hopefully the lessons</w:t>
      </w:r>
      <w:r w:rsidR="00B91600" w:rsidRPr="00B71D27">
        <w:t xml:space="preserve"> generated from this experience will contribute to improving future projects. </w:t>
      </w:r>
      <w:r w:rsidR="00E8408B" w:rsidRPr="00595792">
        <w:t xml:space="preserve">Lessons are highlighted in Section </w:t>
      </w:r>
      <w:r w:rsidR="008269C6" w:rsidRPr="005E69C8">
        <w:fldChar w:fldCharType="begin"/>
      </w:r>
      <w:r w:rsidR="00E8408B" w:rsidRPr="000A3C73">
        <w:instrText xml:space="preserve"> REF _Ref210987059 \w \h </w:instrText>
      </w:r>
      <w:r w:rsidR="008269C6" w:rsidRPr="005E69C8">
        <w:fldChar w:fldCharType="separate"/>
      </w:r>
      <w:r w:rsidR="006E18A7" w:rsidRPr="005E69C8">
        <w:t>VII.A</w:t>
      </w:r>
      <w:r w:rsidR="008269C6" w:rsidRPr="005E69C8">
        <w:fldChar w:fldCharType="end"/>
      </w:r>
      <w:r w:rsidR="00E8408B" w:rsidRPr="00FC657B">
        <w:t xml:space="preserve"> of this terminal evaluation</w:t>
      </w:r>
      <w:r w:rsidRPr="00D77DF1">
        <w:t>.</w:t>
      </w:r>
    </w:p>
    <w:p w:rsidR="002B3E96" w:rsidRPr="000A3C73" w:rsidRDefault="002B3E96" w:rsidP="00130B68">
      <w:pPr>
        <w:pStyle w:val="BodyText"/>
      </w:pPr>
      <w:r w:rsidRPr="00CD42DE">
        <w:t>All UNDP-GEF projects are faced with working within the confines of the UN a</w:t>
      </w:r>
      <w:r w:rsidRPr="00AA7D1F">
        <w:t>nd UNDP system, which necessitates some level of bureaucracy to ensure tr</w:t>
      </w:r>
      <w:r w:rsidR="000F6D52" w:rsidRPr="005E69C8">
        <w:t>ansparency and accountab</w:t>
      </w:r>
      <w:r w:rsidR="00075465" w:rsidRPr="00850A96">
        <w:t>ility;</w:t>
      </w:r>
      <w:r w:rsidR="00D56A17" w:rsidRPr="008B7E9A">
        <w:t xml:space="preserve"> </w:t>
      </w:r>
      <w:r w:rsidR="00075465" w:rsidRPr="000126EE">
        <w:t>procurement is often cited by many projects as a challenging issue within the UN system, at least until all parties involved are fully familiar with the pr</w:t>
      </w:r>
      <w:r w:rsidR="00075465" w:rsidRPr="00B71D27">
        <w:t>ocess. There is a constant trade-off between accountability and efficiency – requirements and procedures have been developed and put in place to ensure that funds managed by UNDP are not misused, intentionally or unintentionally, but meeting such requireme</w:t>
      </w:r>
      <w:r w:rsidR="00075465" w:rsidRPr="00595792">
        <w:t>nts takes up the time and resources of project staf</w:t>
      </w:r>
      <w:r w:rsidR="00075465" w:rsidRPr="00602E30">
        <w:t xml:space="preserve">f, thereby reducing efficiency. </w:t>
      </w:r>
      <w:r w:rsidR="000F6D52" w:rsidRPr="002A69B7">
        <w:t>Citing multiple examples, t</w:t>
      </w:r>
      <w:r w:rsidRPr="002C744B">
        <w:t xml:space="preserve">he mid-term evaluation identified </w:t>
      </w:r>
      <w:r w:rsidR="000F6D52" w:rsidRPr="00C56966">
        <w:t xml:space="preserve">opportunities </w:t>
      </w:r>
      <w:r w:rsidR="00E94E9E" w:rsidRPr="002D3949">
        <w:t xml:space="preserve">in the Prespa IEM </w:t>
      </w:r>
      <w:r w:rsidR="000F6D52" w:rsidRPr="000A3C73">
        <w:t xml:space="preserve">for improvement with respect to the application of UNDP policies and procedures, particularly related to financial management, and the degree of rigidity and detail required. </w:t>
      </w:r>
      <w:r w:rsidR="00530E2B" w:rsidRPr="000A3C73">
        <w:t xml:space="preserve">In addition, the fact that the transboundary component was managed in one UNDP country office and needed to support activities in at least one other country presented some issues. The most commonly cited problem was in the efficiency of handling per diem reimbursements and meeting transportation for stakeholders outside Macedonia, particularly in the case where the project required Albanian local resource users to open bank accounts to receive transfers for reimbursement, when the cost of opening an account would have exceeded the amount to be reimbursed. Although handling of per diem reimbursements may seem like a trivial issue, in projects where building stakeholder trust, participation, and buy-in is paramount (i.e. regional projects in countries without a long history of strong collaboration), projects must take caution to avoid any disincentives for participation and erosion of trust. </w:t>
      </w:r>
      <w:r w:rsidR="00F90C99" w:rsidRPr="000A3C73">
        <w:t>Feedback from stakeholders collected during the terminal evaluation indicated that there had been a significant improvement in the efficiency of management procedures</w:t>
      </w:r>
      <w:r w:rsidR="00E94E9E" w:rsidRPr="000A3C73">
        <w:t xml:space="preserve"> in the second half of the project</w:t>
      </w:r>
      <w:r w:rsidR="00530E2B" w:rsidRPr="000A3C73">
        <w:t xml:space="preserve">, except that </w:t>
      </w:r>
      <w:r w:rsidR="00F90C99" w:rsidRPr="000A3C73">
        <w:t>stakeholders continued to note issues in transactions occurring between countries, e.g. for per diems, etc. from the transboundary compon</w:t>
      </w:r>
      <w:r w:rsidR="00530E2B" w:rsidRPr="000A3C73">
        <w:t>ent to stakeholders in Albania.</w:t>
      </w:r>
    </w:p>
    <w:p w:rsidR="007F6D4D" w:rsidRPr="000A3C73" w:rsidRDefault="006C758C" w:rsidP="00B41E00">
      <w:pPr>
        <w:pStyle w:val="Heading1"/>
        <w:ind w:left="360" w:hanging="360"/>
      </w:pPr>
      <w:bookmarkStart w:id="84" w:name="_Toc152154277"/>
      <w:bookmarkStart w:id="85" w:name="_Ref210990967"/>
      <w:bookmarkStart w:id="86" w:name="_Toc238551069"/>
      <w:r w:rsidRPr="000A3C73">
        <w:t>Prespa IEM</w:t>
      </w:r>
      <w:r w:rsidR="00D56A17" w:rsidRPr="000A3C73">
        <w:t xml:space="preserve"> </w:t>
      </w:r>
      <w:r w:rsidR="00B41E00" w:rsidRPr="000A3C73">
        <w:t>Project Performance and Results</w:t>
      </w:r>
      <w:r w:rsidR="00785171" w:rsidRPr="000A3C73">
        <w:t xml:space="preserve"> (Effectiveness)</w:t>
      </w:r>
      <w:bookmarkEnd w:id="84"/>
      <w:bookmarkEnd w:id="85"/>
      <w:bookmarkEnd w:id="86"/>
    </w:p>
    <w:p w:rsidR="00325FF7" w:rsidRPr="000A3C73" w:rsidRDefault="00325FF7" w:rsidP="00325FF7">
      <w:pPr>
        <w:pStyle w:val="BodyText"/>
      </w:pPr>
      <w:r w:rsidRPr="000A3C73">
        <w:t xml:space="preserve">The challenge of the present exercise in evaluating the Prespa IEM project is to consider what </w:t>
      </w:r>
      <w:r w:rsidRPr="000A3C73">
        <w:rPr>
          <w:bCs/>
          <w:i/>
          <w:u w:val="single"/>
        </w:rPr>
        <w:t>might</w:t>
      </w:r>
      <w:r w:rsidRPr="000A3C73">
        <w:t xml:space="preserve"> have been, when in the real world there is no such thing as a control </w:t>
      </w:r>
      <w:r w:rsidR="003F39F6" w:rsidRPr="000A3C73">
        <w:t xml:space="preserve">sample at the scale of a regional watershed. </w:t>
      </w:r>
      <w:r w:rsidR="00B03935" w:rsidRPr="000A3C73">
        <w:t xml:space="preserve">Results </w:t>
      </w:r>
      <w:r w:rsidR="003F39F6" w:rsidRPr="000A3C73">
        <w:t>must be assessed based on the</w:t>
      </w:r>
      <w:r w:rsidR="00B03935" w:rsidRPr="000A3C73">
        <w:t xml:space="preserve"> project’s results framework</w:t>
      </w:r>
      <w:r w:rsidR="003F39F6" w:rsidRPr="000A3C73">
        <w:t xml:space="preserve"> indicator targets, even if this design </w:t>
      </w:r>
      <w:r w:rsidR="00B03935" w:rsidRPr="000A3C73">
        <w:t>has shortcomings</w:t>
      </w:r>
      <w:r w:rsidR="003F39F6" w:rsidRPr="000A3C73">
        <w:t xml:space="preserve">. It is however also important to </w:t>
      </w:r>
      <w:r w:rsidR="00B03935" w:rsidRPr="000A3C73">
        <w:t>objectively view</w:t>
      </w:r>
      <w:r w:rsidR="003F39F6" w:rsidRPr="000A3C73">
        <w:t xml:space="preserve"> the current situation and analyze how </w:t>
      </w:r>
      <w:r w:rsidR="00B03935" w:rsidRPr="000A3C73">
        <w:t xml:space="preserve">circumstances </w:t>
      </w:r>
      <w:r w:rsidR="003F39F6" w:rsidRPr="000A3C73">
        <w:t xml:space="preserve">could be different. </w:t>
      </w:r>
    </w:p>
    <w:p w:rsidR="00DD2AD0" w:rsidRPr="000A3C73" w:rsidRDefault="00DD2AD0" w:rsidP="0023341C">
      <w:pPr>
        <w:pStyle w:val="Heading2"/>
        <w:ind w:left="1080" w:hanging="360"/>
      </w:pPr>
      <w:bookmarkStart w:id="87" w:name="_Ref209772383"/>
      <w:bookmarkStart w:id="88" w:name="_Toc238551070"/>
      <w:bookmarkStart w:id="89" w:name="_Ref146700744"/>
      <w:bookmarkStart w:id="90" w:name="_Toc152154279"/>
      <w:r w:rsidRPr="000A3C73">
        <w:t>Key Factors Affecting Project Implementation</w:t>
      </w:r>
      <w:bookmarkEnd w:id="87"/>
      <w:bookmarkEnd w:id="88"/>
    </w:p>
    <w:p w:rsidR="0042002D" w:rsidRPr="000A3C73" w:rsidRDefault="0042002D" w:rsidP="00DD2AD0">
      <w:pPr>
        <w:pStyle w:val="BodyText"/>
      </w:pPr>
      <w:r w:rsidRPr="000A3C73">
        <w:t xml:space="preserve">Multiple factors influenced project implementation, both positively and negatively. Many of these issues are discussed at various points throughout this evaluation report, but the key issues are summarized here as reference for the discussion of results that follows. </w:t>
      </w:r>
    </w:p>
    <w:p w:rsidR="0042002D" w:rsidRPr="000A3C73" w:rsidRDefault="0064069F" w:rsidP="00DD2AD0">
      <w:pPr>
        <w:pStyle w:val="BodyText"/>
      </w:pPr>
      <w:r w:rsidRPr="000A3C73">
        <w:rPr>
          <w:i/>
          <w:u w:val="single"/>
        </w:rPr>
        <w:t>Varying and inconsistent levels of political commitment and political will</w:t>
      </w:r>
      <w:r w:rsidR="00B5075B" w:rsidRPr="000A3C73">
        <w:rPr>
          <w:i/>
          <w:u w:val="single"/>
        </w:rPr>
        <w:t xml:space="preserve"> among the three littoral states</w:t>
      </w:r>
      <w:r w:rsidRPr="000A3C73">
        <w:rPr>
          <w:i/>
          <w:u w:val="single"/>
        </w:rPr>
        <w:t xml:space="preserve">: </w:t>
      </w:r>
      <w:r w:rsidR="0042002D" w:rsidRPr="000A3C73">
        <w:t>Stakeholders fr</w:t>
      </w:r>
      <w:r w:rsidR="00B5075B" w:rsidRPr="000A3C73">
        <w:t>equently cited this as one key issue</w:t>
      </w:r>
      <w:r w:rsidR="008548E3" w:rsidRPr="000A3C73">
        <w:t xml:space="preserve">, and from an objective and deductive point of view, it is </w:t>
      </w:r>
      <w:r w:rsidR="00B5075B" w:rsidRPr="000A3C73">
        <w:t>clearly</w:t>
      </w:r>
      <w:r w:rsidR="00FE0471" w:rsidRPr="000A3C73">
        <w:t xml:space="preserve"> </w:t>
      </w:r>
      <w:r w:rsidR="00B5075B" w:rsidRPr="000A3C73">
        <w:t>an actual issue</w:t>
      </w:r>
      <w:r w:rsidR="008548E3" w:rsidRPr="000A3C73">
        <w:t xml:space="preserve">. </w:t>
      </w:r>
      <w:r w:rsidR="00B5075B" w:rsidRPr="000A3C73">
        <w:t>The inconsistent levels of support</w:t>
      </w:r>
      <w:r w:rsidR="008548E3" w:rsidRPr="000A3C73">
        <w:t xml:space="preserve"> is understandable, an</w:t>
      </w:r>
      <w:r w:rsidR="00B5075B" w:rsidRPr="000A3C73">
        <w:t>d may be for multiple reasons; some</w:t>
      </w:r>
      <w:r w:rsidR="00FE0471" w:rsidRPr="000A3C73">
        <w:t xml:space="preserve"> </w:t>
      </w:r>
      <w:r w:rsidR="00B5075B" w:rsidRPr="000A3C73">
        <w:t>possible</w:t>
      </w:r>
      <w:r w:rsidR="008548E3" w:rsidRPr="000A3C73">
        <w:t xml:space="preserve"> factors contributing to varying levels of political priority between the three littoral states are cited in </w:t>
      </w:r>
      <w:r w:rsidR="008269C6" w:rsidRPr="00D77DF1">
        <w:fldChar w:fldCharType="begin"/>
      </w:r>
      <w:r w:rsidR="00084F31" w:rsidRPr="000A3C73">
        <w:instrText xml:space="preserve"> REF _Ref211057081 \h </w:instrText>
      </w:r>
      <w:r w:rsidR="008269C6" w:rsidRPr="00D77DF1">
        <w:fldChar w:fldCharType="separate"/>
      </w:r>
      <w:r w:rsidR="006E18A7" w:rsidRPr="00D77DF1">
        <w:t xml:space="preserve">Table </w:t>
      </w:r>
      <w:r w:rsidR="006E18A7" w:rsidRPr="00CD42DE">
        <w:rPr>
          <w:noProof/>
        </w:rPr>
        <w:t>9</w:t>
      </w:r>
      <w:r w:rsidR="008269C6" w:rsidRPr="00D77DF1">
        <w:fldChar w:fldCharType="end"/>
      </w:r>
      <w:r w:rsidR="00B10269" w:rsidRPr="00FC657B">
        <w:t xml:space="preserve"> </w:t>
      </w:r>
      <w:r w:rsidR="008548E3" w:rsidRPr="00D77DF1">
        <w:t>below</w:t>
      </w:r>
      <w:r w:rsidR="00B5075B" w:rsidRPr="00CD42DE">
        <w:t>, such as the relative political and economic significance of the region for the respective countries</w:t>
      </w:r>
      <w:r w:rsidR="008548E3" w:rsidRPr="00AA7D1F">
        <w:t>. As c</w:t>
      </w:r>
      <w:r w:rsidR="008548E3" w:rsidRPr="005E69C8">
        <w:t xml:space="preserve">an </w:t>
      </w:r>
      <w:r w:rsidR="008548E3" w:rsidRPr="00850A96">
        <w:t>be seen in the table, the Prespa basin is likely to have the greatest significance for the Macedonian central government, less so for the Albanian central government, and even less so for the Greek central government.</w:t>
      </w:r>
      <w:r w:rsidR="00B10269" w:rsidRPr="00850A96">
        <w:t xml:space="preserve"> </w:t>
      </w:r>
      <w:r w:rsidR="00B54166" w:rsidRPr="008B7E9A">
        <w:t>In addition, Greece is not a GEF-recip</w:t>
      </w:r>
      <w:r w:rsidR="00B54166" w:rsidRPr="000126EE">
        <w:t xml:space="preserve">ient country, and has no UNDP office, and must also abide by EU policies. </w:t>
      </w:r>
      <w:r w:rsidR="00ED2338" w:rsidRPr="00B71D27">
        <w:t>In this light it is not surprising that the three countries have exhibited varying levels of political commitment to transboundary ecosystem management in the Prespa basin.</w:t>
      </w:r>
      <w:r w:rsidR="00B10269" w:rsidRPr="00595792">
        <w:t xml:space="preserve"> </w:t>
      </w:r>
      <w:r w:rsidR="008548E3" w:rsidRPr="00602E30">
        <w:t xml:space="preserve">It should be mentioned, however, that the Prespa region </w:t>
      </w:r>
      <w:r w:rsidR="008548E3" w:rsidRPr="002A69B7">
        <w:rPr>
          <w:u w:val="single"/>
        </w:rPr>
        <w:t>is</w:t>
      </w:r>
      <w:r w:rsidR="008548E3" w:rsidRPr="002C744B">
        <w:t xml:space="preserve"> important fo</w:t>
      </w:r>
      <w:r w:rsidR="008548E3" w:rsidRPr="00C56966">
        <w:t>r all three countries with respect to international cooperation</w:t>
      </w:r>
      <w:r w:rsidR="00B67BF3" w:rsidRPr="002D3949">
        <w:t xml:space="preserve"> – hence the political agreements of 2000 and 2010</w:t>
      </w:r>
      <w:r w:rsidR="008548E3" w:rsidRPr="000A3C73">
        <w:t xml:space="preserve">. </w:t>
      </w:r>
      <w:r w:rsidR="002D3110" w:rsidRPr="000A3C73">
        <w:t>It is also not possible to</w:t>
      </w:r>
      <w:r w:rsidR="00E43DEF" w:rsidRPr="000A3C73">
        <w:t xml:space="preserve"> quickly</w:t>
      </w:r>
      <w:r w:rsidR="002D3110" w:rsidRPr="000A3C73">
        <w:t xml:space="preserve"> quantitatively assess the environmental significance of the region to each of the countries in terms of factors such as biodiversity, water supply, and other ecosystem services. </w:t>
      </w:r>
    </w:p>
    <w:p w:rsidR="00DC1701" w:rsidRPr="000A3C73" w:rsidRDefault="00DC1701" w:rsidP="00DC1701">
      <w:pPr>
        <w:pStyle w:val="Caption"/>
      </w:pPr>
      <w:bookmarkStart w:id="91" w:name="_Ref211057081"/>
      <w:r w:rsidRPr="000A3C73">
        <w:t xml:space="preserve">Table </w:t>
      </w:r>
      <w:r w:rsidR="008269C6" w:rsidRPr="00552EEF">
        <w:fldChar w:fldCharType="begin"/>
      </w:r>
      <w:r w:rsidR="00CF23E9" w:rsidRPr="000A3C73">
        <w:instrText xml:space="preserve"> SEQ Table \* ARABIC </w:instrText>
      </w:r>
      <w:r w:rsidR="008269C6" w:rsidRPr="00552EEF">
        <w:fldChar w:fldCharType="separate"/>
      </w:r>
      <w:r w:rsidR="006E18A7" w:rsidRPr="000A3C73">
        <w:rPr>
          <w:noProof/>
        </w:rPr>
        <w:t>9</w:t>
      </w:r>
      <w:r w:rsidR="008269C6" w:rsidRPr="00552EEF">
        <w:rPr>
          <w:noProof/>
        </w:rPr>
        <w:fldChar w:fldCharType="end"/>
      </w:r>
      <w:bookmarkEnd w:id="91"/>
      <w:r w:rsidRPr="000A3C73">
        <w:t xml:space="preserve"> Potential Factors Influencing Political Priority for the Prespa Region</w:t>
      </w:r>
      <w:r w:rsidR="00694B10" w:rsidRPr="000A3C73">
        <w:rPr>
          <w:rStyle w:val="FootnoteReference"/>
        </w:rPr>
        <w:footnoteReference w:id="13"/>
      </w:r>
    </w:p>
    <w:tbl>
      <w:tblPr>
        <w:tblStyle w:val="TableGrid"/>
        <w:tblW w:w="0" w:type="auto"/>
        <w:tblLook w:val="04A0"/>
      </w:tblPr>
      <w:tblGrid>
        <w:gridCol w:w="3438"/>
        <w:gridCol w:w="1710"/>
        <w:gridCol w:w="2250"/>
        <w:gridCol w:w="2178"/>
      </w:tblGrid>
      <w:tr w:rsidR="00854181" w:rsidRPr="000A3C73" w:rsidTr="007D5BD4">
        <w:tc>
          <w:tcPr>
            <w:tcW w:w="3438" w:type="dxa"/>
          </w:tcPr>
          <w:p w:rsidR="0042002D" w:rsidRPr="000A3C73" w:rsidRDefault="0042002D" w:rsidP="0042002D">
            <w:pPr>
              <w:pStyle w:val="BodyText"/>
              <w:numPr>
                <w:ilvl w:val="0"/>
                <w:numId w:val="0"/>
              </w:numPr>
              <w:rPr>
                <w:b/>
                <w:sz w:val="20"/>
              </w:rPr>
            </w:pPr>
          </w:p>
        </w:tc>
        <w:tc>
          <w:tcPr>
            <w:tcW w:w="1710" w:type="dxa"/>
          </w:tcPr>
          <w:p w:rsidR="0042002D" w:rsidRPr="000A3C73" w:rsidRDefault="0042002D" w:rsidP="00E43DEF">
            <w:pPr>
              <w:pStyle w:val="BodyText"/>
              <w:numPr>
                <w:ilvl w:val="0"/>
                <w:numId w:val="0"/>
              </w:numPr>
              <w:jc w:val="center"/>
              <w:rPr>
                <w:b/>
                <w:sz w:val="20"/>
              </w:rPr>
            </w:pPr>
            <w:r w:rsidRPr="000A3C73">
              <w:rPr>
                <w:b/>
                <w:sz w:val="20"/>
              </w:rPr>
              <w:t>Macedonia</w:t>
            </w:r>
          </w:p>
        </w:tc>
        <w:tc>
          <w:tcPr>
            <w:tcW w:w="2250" w:type="dxa"/>
          </w:tcPr>
          <w:p w:rsidR="0042002D" w:rsidRPr="000A3C73" w:rsidRDefault="0042002D" w:rsidP="00E43DEF">
            <w:pPr>
              <w:pStyle w:val="BodyText"/>
              <w:numPr>
                <w:ilvl w:val="0"/>
                <w:numId w:val="0"/>
              </w:numPr>
              <w:jc w:val="center"/>
              <w:rPr>
                <w:b/>
                <w:sz w:val="20"/>
              </w:rPr>
            </w:pPr>
            <w:r w:rsidRPr="000A3C73">
              <w:rPr>
                <w:b/>
                <w:sz w:val="20"/>
              </w:rPr>
              <w:t>Albania</w:t>
            </w:r>
          </w:p>
        </w:tc>
        <w:tc>
          <w:tcPr>
            <w:tcW w:w="2178" w:type="dxa"/>
          </w:tcPr>
          <w:p w:rsidR="0042002D" w:rsidRPr="000A3C73" w:rsidRDefault="0042002D" w:rsidP="00E43DEF">
            <w:pPr>
              <w:pStyle w:val="BodyText"/>
              <w:numPr>
                <w:ilvl w:val="0"/>
                <w:numId w:val="0"/>
              </w:numPr>
              <w:jc w:val="center"/>
              <w:rPr>
                <w:b/>
                <w:sz w:val="20"/>
              </w:rPr>
            </w:pPr>
            <w:r w:rsidRPr="000A3C73">
              <w:rPr>
                <w:b/>
                <w:sz w:val="20"/>
              </w:rPr>
              <w:t>Greece</w:t>
            </w:r>
          </w:p>
        </w:tc>
      </w:tr>
      <w:tr w:rsidR="00854181" w:rsidRPr="000A3C73" w:rsidTr="007D5BD4">
        <w:tc>
          <w:tcPr>
            <w:tcW w:w="3438" w:type="dxa"/>
          </w:tcPr>
          <w:p w:rsidR="0042002D" w:rsidRPr="000A3C73" w:rsidRDefault="0042002D" w:rsidP="00854181">
            <w:pPr>
              <w:pStyle w:val="BodyText"/>
              <w:numPr>
                <w:ilvl w:val="0"/>
                <w:numId w:val="0"/>
              </w:numPr>
              <w:jc w:val="right"/>
              <w:rPr>
                <w:b/>
                <w:sz w:val="20"/>
              </w:rPr>
            </w:pPr>
            <w:r w:rsidRPr="000A3C73">
              <w:rPr>
                <w:b/>
                <w:sz w:val="20"/>
              </w:rPr>
              <w:t>Population</w:t>
            </w:r>
            <w:r w:rsidR="007D5BD4" w:rsidRPr="000A3C73">
              <w:rPr>
                <w:b/>
                <w:sz w:val="20"/>
              </w:rPr>
              <w:t xml:space="preserve"> (% of National Population)</w:t>
            </w:r>
          </w:p>
        </w:tc>
        <w:tc>
          <w:tcPr>
            <w:tcW w:w="1710" w:type="dxa"/>
          </w:tcPr>
          <w:p w:rsidR="0042002D" w:rsidRPr="000A3C73" w:rsidRDefault="00F32521" w:rsidP="00E43DEF">
            <w:pPr>
              <w:pStyle w:val="BodyText"/>
              <w:numPr>
                <w:ilvl w:val="0"/>
                <w:numId w:val="0"/>
              </w:numPr>
              <w:jc w:val="right"/>
              <w:rPr>
                <w:sz w:val="20"/>
              </w:rPr>
            </w:pPr>
            <w:r w:rsidRPr="000A3C73">
              <w:rPr>
                <w:sz w:val="20"/>
              </w:rPr>
              <w:t>17,500</w:t>
            </w:r>
            <w:r w:rsidR="007D5BD4" w:rsidRPr="000A3C73">
              <w:rPr>
                <w:sz w:val="20"/>
              </w:rPr>
              <w:t xml:space="preserve"> (0.88%)</w:t>
            </w:r>
          </w:p>
        </w:tc>
        <w:tc>
          <w:tcPr>
            <w:tcW w:w="2250" w:type="dxa"/>
          </w:tcPr>
          <w:p w:rsidR="0042002D" w:rsidRPr="000A3C73" w:rsidRDefault="00F32521" w:rsidP="00E43DEF">
            <w:pPr>
              <w:pStyle w:val="BodyText"/>
              <w:numPr>
                <w:ilvl w:val="0"/>
                <w:numId w:val="0"/>
              </w:numPr>
              <w:jc w:val="right"/>
              <w:rPr>
                <w:sz w:val="20"/>
              </w:rPr>
            </w:pPr>
            <w:r w:rsidRPr="000A3C73">
              <w:rPr>
                <w:sz w:val="20"/>
              </w:rPr>
              <w:t>5,300</w:t>
            </w:r>
            <w:r w:rsidR="007D5BD4" w:rsidRPr="000A3C73">
              <w:rPr>
                <w:sz w:val="20"/>
              </w:rPr>
              <w:t xml:space="preserve"> (0.21%)</w:t>
            </w:r>
          </w:p>
        </w:tc>
        <w:tc>
          <w:tcPr>
            <w:tcW w:w="2178" w:type="dxa"/>
          </w:tcPr>
          <w:p w:rsidR="0042002D" w:rsidRPr="000A3C73" w:rsidRDefault="00F32521" w:rsidP="00E43DEF">
            <w:pPr>
              <w:pStyle w:val="BodyText"/>
              <w:numPr>
                <w:ilvl w:val="0"/>
                <w:numId w:val="0"/>
              </w:numPr>
              <w:jc w:val="right"/>
              <w:rPr>
                <w:sz w:val="20"/>
              </w:rPr>
            </w:pPr>
            <w:r w:rsidRPr="000A3C73">
              <w:rPr>
                <w:sz w:val="20"/>
              </w:rPr>
              <w:t>1,500</w:t>
            </w:r>
            <w:r w:rsidR="007D5BD4" w:rsidRPr="000A3C73">
              <w:rPr>
                <w:sz w:val="20"/>
              </w:rPr>
              <w:t xml:space="preserve"> (0.01%</w:t>
            </w:r>
          </w:p>
        </w:tc>
      </w:tr>
      <w:tr w:rsidR="00854181" w:rsidRPr="000A3C73" w:rsidTr="007D5BD4">
        <w:tc>
          <w:tcPr>
            <w:tcW w:w="3438" w:type="dxa"/>
          </w:tcPr>
          <w:p w:rsidR="00C303B4" w:rsidRPr="000A3C73" w:rsidRDefault="00C303B4" w:rsidP="00854181">
            <w:pPr>
              <w:pStyle w:val="BodyText"/>
              <w:numPr>
                <w:ilvl w:val="0"/>
                <w:numId w:val="0"/>
              </w:numPr>
              <w:jc w:val="right"/>
              <w:rPr>
                <w:b/>
                <w:sz w:val="20"/>
              </w:rPr>
            </w:pPr>
            <w:r w:rsidRPr="000A3C73">
              <w:rPr>
                <w:b/>
                <w:sz w:val="20"/>
              </w:rPr>
              <w:t>Per Capita Income Relative to National Average</w:t>
            </w:r>
            <w:r w:rsidR="00C25485" w:rsidRPr="000A3C73">
              <w:rPr>
                <w:rStyle w:val="FootnoteReference"/>
                <w:b/>
                <w:sz w:val="20"/>
              </w:rPr>
              <w:footnoteReference w:id="14"/>
            </w:r>
          </w:p>
        </w:tc>
        <w:tc>
          <w:tcPr>
            <w:tcW w:w="1710" w:type="dxa"/>
          </w:tcPr>
          <w:p w:rsidR="00C303B4" w:rsidRPr="000A3C73" w:rsidRDefault="00C25485" w:rsidP="007C77D5">
            <w:pPr>
              <w:pStyle w:val="BodyText"/>
              <w:numPr>
                <w:ilvl w:val="0"/>
                <w:numId w:val="0"/>
              </w:numPr>
              <w:jc w:val="right"/>
              <w:rPr>
                <w:sz w:val="20"/>
              </w:rPr>
            </w:pPr>
            <w:r w:rsidRPr="000A3C73">
              <w:rPr>
                <w:sz w:val="20"/>
              </w:rPr>
              <w:t>70%</w:t>
            </w:r>
          </w:p>
        </w:tc>
        <w:tc>
          <w:tcPr>
            <w:tcW w:w="2250" w:type="dxa"/>
          </w:tcPr>
          <w:p w:rsidR="00C303B4" w:rsidRPr="000A3C73" w:rsidRDefault="00C25485" w:rsidP="007C77D5">
            <w:pPr>
              <w:pStyle w:val="BodyText"/>
              <w:numPr>
                <w:ilvl w:val="0"/>
                <w:numId w:val="0"/>
              </w:numPr>
              <w:jc w:val="right"/>
              <w:rPr>
                <w:sz w:val="20"/>
              </w:rPr>
            </w:pPr>
            <w:r w:rsidRPr="000A3C73">
              <w:rPr>
                <w:sz w:val="20"/>
              </w:rPr>
              <w:t>14%</w:t>
            </w:r>
          </w:p>
        </w:tc>
        <w:tc>
          <w:tcPr>
            <w:tcW w:w="2178" w:type="dxa"/>
          </w:tcPr>
          <w:p w:rsidR="00C303B4" w:rsidRPr="000A3C73" w:rsidRDefault="00C25485" w:rsidP="007C77D5">
            <w:pPr>
              <w:pStyle w:val="BodyText"/>
              <w:numPr>
                <w:ilvl w:val="0"/>
                <w:numId w:val="0"/>
              </w:numPr>
              <w:jc w:val="right"/>
              <w:rPr>
                <w:sz w:val="20"/>
              </w:rPr>
            </w:pPr>
            <w:r w:rsidRPr="000A3C73">
              <w:rPr>
                <w:sz w:val="20"/>
              </w:rPr>
              <w:t>34%</w:t>
            </w:r>
          </w:p>
        </w:tc>
      </w:tr>
      <w:tr w:rsidR="00FB75A2" w:rsidRPr="000A3C73" w:rsidTr="007D5BD4">
        <w:tc>
          <w:tcPr>
            <w:tcW w:w="3438" w:type="dxa"/>
          </w:tcPr>
          <w:p w:rsidR="00FB75A2" w:rsidRPr="000A3C73" w:rsidRDefault="00FB75A2" w:rsidP="00EB25E2">
            <w:pPr>
              <w:pStyle w:val="BodyText"/>
              <w:numPr>
                <w:ilvl w:val="0"/>
                <w:numId w:val="0"/>
              </w:numPr>
              <w:jc w:val="right"/>
              <w:rPr>
                <w:b/>
                <w:sz w:val="20"/>
              </w:rPr>
            </w:pPr>
            <w:r w:rsidRPr="000A3C73">
              <w:rPr>
                <w:b/>
                <w:sz w:val="20"/>
              </w:rPr>
              <w:t xml:space="preserve">Relative Contribution of Prespa Region to </w:t>
            </w:r>
            <w:r w:rsidR="00467CF3" w:rsidRPr="000A3C73">
              <w:rPr>
                <w:b/>
                <w:sz w:val="20"/>
              </w:rPr>
              <w:t xml:space="preserve">national </w:t>
            </w:r>
            <w:r w:rsidRPr="000A3C73">
              <w:rPr>
                <w:b/>
                <w:sz w:val="20"/>
              </w:rPr>
              <w:t>GDP</w:t>
            </w:r>
            <w:r w:rsidR="00A76147" w:rsidRPr="000A3C73">
              <w:rPr>
                <w:rStyle w:val="FootnoteReference"/>
                <w:b/>
                <w:sz w:val="20"/>
              </w:rPr>
              <w:footnoteReference w:id="15"/>
            </w:r>
          </w:p>
        </w:tc>
        <w:tc>
          <w:tcPr>
            <w:tcW w:w="1710" w:type="dxa"/>
          </w:tcPr>
          <w:p w:rsidR="00FB75A2" w:rsidRPr="000A3C73" w:rsidRDefault="00FB75A2" w:rsidP="00EB25E2">
            <w:pPr>
              <w:pStyle w:val="BodyText"/>
              <w:numPr>
                <w:ilvl w:val="0"/>
                <w:numId w:val="0"/>
              </w:numPr>
              <w:jc w:val="right"/>
              <w:rPr>
                <w:sz w:val="20"/>
              </w:rPr>
            </w:pPr>
            <w:r w:rsidRPr="000A3C73">
              <w:rPr>
                <w:sz w:val="20"/>
              </w:rPr>
              <w:t>Most</w:t>
            </w:r>
          </w:p>
        </w:tc>
        <w:tc>
          <w:tcPr>
            <w:tcW w:w="2250" w:type="dxa"/>
          </w:tcPr>
          <w:p w:rsidR="00FB75A2" w:rsidRPr="000A3C73" w:rsidRDefault="00FB75A2" w:rsidP="00EB25E2">
            <w:pPr>
              <w:pStyle w:val="BodyText"/>
              <w:numPr>
                <w:ilvl w:val="0"/>
                <w:numId w:val="0"/>
              </w:numPr>
              <w:jc w:val="right"/>
              <w:rPr>
                <w:sz w:val="20"/>
              </w:rPr>
            </w:pPr>
            <w:r w:rsidRPr="000A3C73">
              <w:rPr>
                <w:sz w:val="20"/>
              </w:rPr>
              <w:t>~1/10</w:t>
            </w:r>
            <w:r w:rsidRPr="000A3C73">
              <w:rPr>
                <w:sz w:val="20"/>
                <w:vertAlign w:val="superscript"/>
              </w:rPr>
              <w:t>th</w:t>
            </w:r>
            <w:r w:rsidRPr="000A3C73">
              <w:rPr>
                <w:sz w:val="20"/>
              </w:rPr>
              <w:t xml:space="preserve"> that of Macedonia</w:t>
            </w:r>
          </w:p>
        </w:tc>
        <w:tc>
          <w:tcPr>
            <w:tcW w:w="2178" w:type="dxa"/>
          </w:tcPr>
          <w:p w:rsidR="00FB75A2" w:rsidRPr="000A3C73" w:rsidRDefault="00FB75A2" w:rsidP="00EB25E2">
            <w:pPr>
              <w:pStyle w:val="BodyText"/>
              <w:numPr>
                <w:ilvl w:val="0"/>
                <w:numId w:val="0"/>
              </w:numPr>
              <w:jc w:val="right"/>
              <w:rPr>
                <w:sz w:val="20"/>
              </w:rPr>
            </w:pPr>
            <w:r w:rsidRPr="000A3C73">
              <w:rPr>
                <w:sz w:val="20"/>
              </w:rPr>
              <w:t>~1/45</w:t>
            </w:r>
            <w:r w:rsidRPr="000A3C73">
              <w:rPr>
                <w:sz w:val="20"/>
                <w:vertAlign w:val="superscript"/>
              </w:rPr>
              <w:t>th</w:t>
            </w:r>
            <w:r w:rsidRPr="000A3C73">
              <w:rPr>
                <w:sz w:val="20"/>
              </w:rPr>
              <w:t xml:space="preserve"> that of Macedonia</w:t>
            </w:r>
          </w:p>
        </w:tc>
      </w:tr>
      <w:tr w:rsidR="008778D2" w:rsidRPr="000A3C73" w:rsidTr="007D5BD4">
        <w:tc>
          <w:tcPr>
            <w:tcW w:w="3438" w:type="dxa"/>
          </w:tcPr>
          <w:p w:rsidR="008778D2" w:rsidRPr="000A3C73" w:rsidRDefault="008778D2" w:rsidP="00483BC8">
            <w:pPr>
              <w:pStyle w:val="BodyText"/>
              <w:numPr>
                <w:ilvl w:val="0"/>
                <w:numId w:val="0"/>
              </w:numPr>
              <w:jc w:val="right"/>
              <w:rPr>
                <w:b/>
                <w:sz w:val="20"/>
              </w:rPr>
            </w:pPr>
            <w:r w:rsidRPr="000A3C73">
              <w:rPr>
                <w:b/>
                <w:sz w:val="20"/>
              </w:rPr>
              <w:t>Share of Prespa Basin</w:t>
            </w:r>
            <w:r w:rsidR="00483BC8" w:rsidRPr="000A3C73">
              <w:rPr>
                <w:b/>
                <w:sz w:val="20"/>
              </w:rPr>
              <w:t xml:space="preserve"> Area</w:t>
            </w:r>
          </w:p>
        </w:tc>
        <w:tc>
          <w:tcPr>
            <w:tcW w:w="1710" w:type="dxa"/>
          </w:tcPr>
          <w:p w:rsidR="008778D2" w:rsidRPr="000A3C73" w:rsidRDefault="008778D2" w:rsidP="008778D2">
            <w:pPr>
              <w:pStyle w:val="BodyText"/>
              <w:numPr>
                <w:ilvl w:val="0"/>
                <w:numId w:val="0"/>
              </w:numPr>
              <w:jc w:val="right"/>
              <w:rPr>
                <w:sz w:val="20"/>
              </w:rPr>
            </w:pPr>
            <w:r w:rsidRPr="000A3C73">
              <w:rPr>
                <w:sz w:val="20"/>
              </w:rPr>
              <w:t>62%</w:t>
            </w:r>
            <w:r w:rsidR="007C77D5" w:rsidRPr="000A3C73">
              <w:rPr>
                <w:sz w:val="20"/>
              </w:rPr>
              <w:t xml:space="preserve"> (1,000 sq km)</w:t>
            </w:r>
          </w:p>
        </w:tc>
        <w:tc>
          <w:tcPr>
            <w:tcW w:w="2250" w:type="dxa"/>
          </w:tcPr>
          <w:p w:rsidR="008778D2" w:rsidRPr="000A3C73" w:rsidRDefault="008778D2" w:rsidP="008778D2">
            <w:pPr>
              <w:pStyle w:val="BodyText"/>
              <w:numPr>
                <w:ilvl w:val="0"/>
                <w:numId w:val="0"/>
              </w:numPr>
              <w:jc w:val="right"/>
              <w:rPr>
                <w:sz w:val="20"/>
              </w:rPr>
            </w:pPr>
            <w:r w:rsidRPr="000A3C73">
              <w:rPr>
                <w:sz w:val="20"/>
              </w:rPr>
              <w:t>17%</w:t>
            </w:r>
            <w:r w:rsidR="007C77D5" w:rsidRPr="000A3C73">
              <w:rPr>
                <w:sz w:val="20"/>
              </w:rPr>
              <w:t xml:space="preserve"> (263 sq km)</w:t>
            </w:r>
          </w:p>
        </w:tc>
        <w:tc>
          <w:tcPr>
            <w:tcW w:w="2178" w:type="dxa"/>
          </w:tcPr>
          <w:p w:rsidR="008778D2" w:rsidRPr="000A3C73" w:rsidRDefault="008778D2" w:rsidP="008778D2">
            <w:pPr>
              <w:pStyle w:val="BodyText"/>
              <w:numPr>
                <w:ilvl w:val="0"/>
                <w:numId w:val="0"/>
              </w:numPr>
              <w:jc w:val="right"/>
              <w:rPr>
                <w:sz w:val="20"/>
              </w:rPr>
            </w:pPr>
            <w:r w:rsidRPr="000A3C73">
              <w:rPr>
                <w:sz w:val="20"/>
              </w:rPr>
              <w:t>21%</w:t>
            </w:r>
            <w:r w:rsidR="007C77D5" w:rsidRPr="000A3C73">
              <w:rPr>
                <w:sz w:val="20"/>
              </w:rPr>
              <w:t xml:space="preserve"> (330 sq km)</w:t>
            </w:r>
          </w:p>
        </w:tc>
      </w:tr>
      <w:tr w:rsidR="00854181" w:rsidRPr="000A3C73" w:rsidTr="007D5BD4">
        <w:tc>
          <w:tcPr>
            <w:tcW w:w="3438" w:type="dxa"/>
          </w:tcPr>
          <w:p w:rsidR="00802ECF" w:rsidRPr="000A3C73" w:rsidRDefault="00802ECF" w:rsidP="00854181">
            <w:pPr>
              <w:pStyle w:val="BodyText"/>
              <w:numPr>
                <w:ilvl w:val="0"/>
                <w:numId w:val="0"/>
              </w:numPr>
              <w:jc w:val="right"/>
              <w:rPr>
                <w:b/>
                <w:sz w:val="20"/>
              </w:rPr>
            </w:pPr>
            <w:r w:rsidRPr="000A3C73">
              <w:rPr>
                <w:b/>
                <w:sz w:val="20"/>
              </w:rPr>
              <w:t xml:space="preserve">Prespa Basin </w:t>
            </w:r>
            <w:r w:rsidR="00FE0C70" w:rsidRPr="000A3C73">
              <w:rPr>
                <w:b/>
                <w:sz w:val="20"/>
              </w:rPr>
              <w:t xml:space="preserve">as a </w:t>
            </w:r>
            <w:r w:rsidRPr="000A3C73">
              <w:rPr>
                <w:b/>
                <w:sz w:val="20"/>
              </w:rPr>
              <w:t>Share of National Territory</w:t>
            </w:r>
          </w:p>
        </w:tc>
        <w:tc>
          <w:tcPr>
            <w:tcW w:w="1710" w:type="dxa"/>
          </w:tcPr>
          <w:p w:rsidR="00802ECF" w:rsidRPr="000A3C73" w:rsidRDefault="00802ECF" w:rsidP="00E43DEF">
            <w:pPr>
              <w:pStyle w:val="BodyText"/>
              <w:numPr>
                <w:ilvl w:val="0"/>
                <w:numId w:val="0"/>
              </w:numPr>
              <w:jc w:val="right"/>
              <w:rPr>
                <w:sz w:val="20"/>
              </w:rPr>
            </w:pPr>
            <w:r w:rsidRPr="000A3C73">
              <w:rPr>
                <w:sz w:val="20"/>
              </w:rPr>
              <w:t>3.9%</w:t>
            </w:r>
          </w:p>
        </w:tc>
        <w:tc>
          <w:tcPr>
            <w:tcW w:w="2250" w:type="dxa"/>
          </w:tcPr>
          <w:p w:rsidR="00802ECF" w:rsidRPr="000A3C73" w:rsidRDefault="00802ECF" w:rsidP="00E43DEF">
            <w:pPr>
              <w:pStyle w:val="BodyText"/>
              <w:numPr>
                <w:ilvl w:val="0"/>
                <w:numId w:val="0"/>
              </w:numPr>
              <w:jc w:val="right"/>
              <w:rPr>
                <w:sz w:val="20"/>
              </w:rPr>
            </w:pPr>
            <w:r w:rsidRPr="000A3C73">
              <w:rPr>
                <w:sz w:val="20"/>
              </w:rPr>
              <w:t>0.9%</w:t>
            </w:r>
          </w:p>
        </w:tc>
        <w:tc>
          <w:tcPr>
            <w:tcW w:w="2178" w:type="dxa"/>
          </w:tcPr>
          <w:p w:rsidR="00802ECF" w:rsidRPr="000A3C73" w:rsidRDefault="00802ECF" w:rsidP="00E43DEF">
            <w:pPr>
              <w:pStyle w:val="BodyText"/>
              <w:numPr>
                <w:ilvl w:val="0"/>
                <w:numId w:val="0"/>
              </w:numPr>
              <w:jc w:val="right"/>
              <w:rPr>
                <w:sz w:val="20"/>
              </w:rPr>
            </w:pPr>
            <w:r w:rsidRPr="000A3C73">
              <w:rPr>
                <w:sz w:val="20"/>
              </w:rPr>
              <w:t>0.3%</w:t>
            </w:r>
          </w:p>
        </w:tc>
      </w:tr>
      <w:tr w:rsidR="00854181" w:rsidRPr="000A3C73" w:rsidTr="007D5BD4">
        <w:tc>
          <w:tcPr>
            <w:tcW w:w="3438" w:type="dxa"/>
          </w:tcPr>
          <w:p w:rsidR="00325DD2" w:rsidRPr="000A3C73" w:rsidRDefault="00325DD2" w:rsidP="00854181">
            <w:pPr>
              <w:pStyle w:val="BodyText"/>
              <w:numPr>
                <w:ilvl w:val="0"/>
                <w:numId w:val="0"/>
              </w:numPr>
              <w:jc w:val="right"/>
              <w:rPr>
                <w:b/>
                <w:sz w:val="20"/>
              </w:rPr>
            </w:pPr>
            <w:r w:rsidRPr="000A3C73">
              <w:rPr>
                <w:b/>
                <w:sz w:val="20"/>
              </w:rPr>
              <w:t>Number of Major Tributaries to Prespa Basin</w:t>
            </w:r>
          </w:p>
        </w:tc>
        <w:tc>
          <w:tcPr>
            <w:tcW w:w="1710" w:type="dxa"/>
          </w:tcPr>
          <w:p w:rsidR="00325DD2" w:rsidRPr="000A3C73" w:rsidRDefault="00325DD2" w:rsidP="00E43DEF">
            <w:pPr>
              <w:pStyle w:val="BodyText"/>
              <w:numPr>
                <w:ilvl w:val="0"/>
                <w:numId w:val="0"/>
              </w:numPr>
              <w:jc w:val="right"/>
              <w:rPr>
                <w:sz w:val="20"/>
              </w:rPr>
            </w:pPr>
            <w:r w:rsidRPr="000A3C73">
              <w:rPr>
                <w:sz w:val="20"/>
              </w:rPr>
              <w:t>3</w:t>
            </w:r>
          </w:p>
        </w:tc>
        <w:tc>
          <w:tcPr>
            <w:tcW w:w="2250" w:type="dxa"/>
          </w:tcPr>
          <w:p w:rsidR="00325DD2" w:rsidRPr="000A3C73" w:rsidRDefault="00325DD2" w:rsidP="00E43DEF">
            <w:pPr>
              <w:pStyle w:val="BodyText"/>
              <w:numPr>
                <w:ilvl w:val="0"/>
                <w:numId w:val="0"/>
              </w:numPr>
              <w:jc w:val="right"/>
              <w:rPr>
                <w:sz w:val="20"/>
              </w:rPr>
            </w:pPr>
            <w:r w:rsidRPr="000A3C73">
              <w:rPr>
                <w:sz w:val="20"/>
              </w:rPr>
              <w:t>0</w:t>
            </w:r>
          </w:p>
        </w:tc>
        <w:tc>
          <w:tcPr>
            <w:tcW w:w="2178" w:type="dxa"/>
          </w:tcPr>
          <w:p w:rsidR="00325DD2" w:rsidRPr="000A3C73" w:rsidRDefault="00325DD2" w:rsidP="00E43DEF">
            <w:pPr>
              <w:pStyle w:val="BodyText"/>
              <w:numPr>
                <w:ilvl w:val="0"/>
                <w:numId w:val="0"/>
              </w:numPr>
              <w:jc w:val="right"/>
              <w:rPr>
                <w:sz w:val="20"/>
              </w:rPr>
            </w:pPr>
            <w:r w:rsidRPr="000A3C73">
              <w:rPr>
                <w:sz w:val="20"/>
              </w:rPr>
              <w:t>1</w:t>
            </w:r>
          </w:p>
        </w:tc>
      </w:tr>
      <w:tr w:rsidR="00854181" w:rsidRPr="000A3C73" w:rsidTr="007D5BD4">
        <w:tc>
          <w:tcPr>
            <w:tcW w:w="3438" w:type="dxa"/>
          </w:tcPr>
          <w:p w:rsidR="00325DD2" w:rsidRPr="000A3C73" w:rsidRDefault="00325DD2" w:rsidP="00854181">
            <w:pPr>
              <w:pStyle w:val="BodyText"/>
              <w:numPr>
                <w:ilvl w:val="0"/>
                <w:numId w:val="0"/>
              </w:numPr>
              <w:jc w:val="right"/>
              <w:rPr>
                <w:b/>
                <w:sz w:val="20"/>
              </w:rPr>
            </w:pPr>
            <w:r w:rsidRPr="000A3C73">
              <w:rPr>
                <w:b/>
                <w:sz w:val="20"/>
              </w:rPr>
              <w:t>Number of Other Major National Waterbodies</w:t>
            </w:r>
          </w:p>
        </w:tc>
        <w:tc>
          <w:tcPr>
            <w:tcW w:w="1710" w:type="dxa"/>
          </w:tcPr>
          <w:p w:rsidR="00325DD2" w:rsidRPr="000A3C73" w:rsidRDefault="00687339" w:rsidP="00E43DEF">
            <w:pPr>
              <w:pStyle w:val="BodyText"/>
              <w:numPr>
                <w:ilvl w:val="0"/>
                <w:numId w:val="0"/>
              </w:numPr>
              <w:jc w:val="right"/>
              <w:rPr>
                <w:sz w:val="20"/>
              </w:rPr>
            </w:pPr>
            <w:r w:rsidRPr="000A3C73">
              <w:rPr>
                <w:sz w:val="20"/>
              </w:rPr>
              <w:t>One (Lake Ohrid)</w:t>
            </w:r>
          </w:p>
        </w:tc>
        <w:tc>
          <w:tcPr>
            <w:tcW w:w="2250" w:type="dxa"/>
          </w:tcPr>
          <w:p w:rsidR="00325DD2" w:rsidRPr="000A3C73" w:rsidRDefault="00924025" w:rsidP="00E43DEF">
            <w:pPr>
              <w:pStyle w:val="BodyText"/>
              <w:numPr>
                <w:ilvl w:val="0"/>
                <w:numId w:val="0"/>
              </w:numPr>
              <w:jc w:val="right"/>
              <w:rPr>
                <w:sz w:val="20"/>
              </w:rPr>
            </w:pPr>
            <w:r w:rsidRPr="000A3C73">
              <w:rPr>
                <w:sz w:val="20"/>
              </w:rPr>
              <w:t>Multiple</w:t>
            </w:r>
            <w:r w:rsidR="00687339" w:rsidRPr="000A3C73">
              <w:rPr>
                <w:sz w:val="20"/>
              </w:rPr>
              <w:t>, including Adriatic and Ionian Seas</w:t>
            </w:r>
          </w:p>
        </w:tc>
        <w:tc>
          <w:tcPr>
            <w:tcW w:w="2178" w:type="dxa"/>
          </w:tcPr>
          <w:p w:rsidR="00325DD2" w:rsidRPr="000A3C73" w:rsidRDefault="00924025" w:rsidP="00E43DEF">
            <w:pPr>
              <w:pStyle w:val="BodyText"/>
              <w:numPr>
                <w:ilvl w:val="0"/>
                <w:numId w:val="0"/>
              </w:numPr>
              <w:jc w:val="right"/>
              <w:rPr>
                <w:sz w:val="20"/>
              </w:rPr>
            </w:pPr>
            <w:r w:rsidRPr="000A3C73">
              <w:rPr>
                <w:sz w:val="20"/>
              </w:rPr>
              <w:t>Multiple</w:t>
            </w:r>
            <w:r w:rsidR="00687339" w:rsidRPr="000A3C73">
              <w:rPr>
                <w:sz w:val="20"/>
              </w:rPr>
              <w:t>, including Aegean and Ionian Seas</w:t>
            </w:r>
          </w:p>
        </w:tc>
      </w:tr>
      <w:tr w:rsidR="00854181" w:rsidRPr="000A3C73" w:rsidTr="007D5BD4">
        <w:tc>
          <w:tcPr>
            <w:tcW w:w="3438" w:type="dxa"/>
          </w:tcPr>
          <w:p w:rsidR="0042002D" w:rsidRPr="000A3C73" w:rsidRDefault="00325DD2" w:rsidP="00854181">
            <w:pPr>
              <w:pStyle w:val="BodyText"/>
              <w:numPr>
                <w:ilvl w:val="0"/>
                <w:numId w:val="0"/>
              </w:numPr>
              <w:jc w:val="right"/>
              <w:rPr>
                <w:b/>
                <w:sz w:val="20"/>
              </w:rPr>
            </w:pPr>
            <w:r w:rsidRPr="000A3C73">
              <w:rPr>
                <w:b/>
                <w:sz w:val="20"/>
              </w:rPr>
              <w:t xml:space="preserve">Driving </w:t>
            </w:r>
            <w:r w:rsidR="0042002D" w:rsidRPr="000A3C73">
              <w:rPr>
                <w:b/>
                <w:sz w:val="20"/>
              </w:rPr>
              <w:t>Distance from Capital</w:t>
            </w:r>
          </w:p>
        </w:tc>
        <w:tc>
          <w:tcPr>
            <w:tcW w:w="1710" w:type="dxa"/>
          </w:tcPr>
          <w:p w:rsidR="0042002D" w:rsidRPr="000A3C73" w:rsidRDefault="00511909" w:rsidP="00E43DEF">
            <w:pPr>
              <w:pStyle w:val="BodyText"/>
              <w:numPr>
                <w:ilvl w:val="0"/>
                <w:numId w:val="0"/>
              </w:numPr>
              <w:jc w:val="right"/>
              <w:rPr>
                <w:sz w:val="20"/>
              </w:rPr>
            </w:pPr>
            <w:r w:rsidRPr="000A3C73">
              <w:rPr>
                <w:sz w:val="20"/>
              </w:rPr>
              <w:t>~</w:t>
            </w:r>
            <w:r w:rsidR="004A7DE9" w:rsidRPr="000A3C73">
              <w:rPr>
                <w:sz w:val="20"/>
              </w:rPr>
              <w:t>2.5</w:t>
            </w:r>
            <w:r w:rsidRPr="000A3C73">
              <w:rPr>
                <w:sz w:val="20"/>
              </w:rPr>
              <w:t xml:space="preserve"> hours</w:t>
            </w:r>
          </w:p>
        </w:tc>
        <w:tc>
          <w:tcPr>
            <w:tcW w:w="2250" w:type="dxa"/>
          </w:tcPr>
          <w:p w:rsidR="0042002D" w:rsidRPr="000A3C73" w:rsidRDefault="00511909" w:rsidP="00E43DEF">
            <w:pPr>
              <w:pStyle w:val="BodyText"/>
              <w:numPr>
                <w:ilvl w:val="0"/>
                <w:numId w:val="0"/>
              </w:numPr>
              <w:jc w:val="right"/>
              <w:rPr>
                <w:sz w:val="20"/>
              </w:rPr>
            </w:pPr>
            <w:r w:rsidRPr="000A3C73">
              <w:rPr>
                <w:sz w:val="20"/>
              </w:rPr>
              <w:t>~</w:t>
            </w:r>
            <w:r w:rsidR="001935DE" w:rsidRPr="000A3C73">
              <w:rPr>
                <w:sz w:val="20"/>
              </w:rPr>
              <w:t>4</w:t>
            </w:r>
            <w:r w:rsidRPr="000A3C73">
              <w:rPr>
                <w:sz w:val="20"/>
              </w:rPr>
              <w:t xml:space="preserve"> hours</w:t>
            </w:r>
          </w:p>
        </w:tc>
        <w:tc>
          <w:tcPr>
            <w:tcW w:w="2178" w:type="dxa"/>
          </w:tcPr>
          <w:p w:rsidR="0042002D" w:rsidRPr="000A3C73" w:rsidRDefault="001935DE" w:rsidP="00E43DEF">
            <w:pPr>
              <w:pStyle w:val="BodyText"/>
              <w:numPr>
                <w:ilvl w:val="0"/>
                <w:numId w:val="0"/>
              </w:numPr>
              <w:jc w:val="right"/>
              <w:rPr>
                <w:sz w:val="20"/>
              </w:rPr>
            </w:pPr>
            <w:r w:rsidRPr="000A3C73">
              <w:rPr>
                <w:sz w:val="20"/>
              </w:rPr>
              <w:t>~7</w:t>
            </w:r>
            <w:r w:rsidR="00511909" w:rsidRPr="000A3C73">
              <w:rPr>
                <w:sz w:val="20"/>
              </w:rPr>
              <w:t xml:space="preserve"> hours</w:t>
            </w:r>
          </w:p>
        </w:tc>
      </w:tr>
    </w:tbl>
    <w:p w:rsidR="0042002D" w:rsidRPr="000A3C73" w:rsidRDefault="0042002D" w:rsidP="0042002D">
      <w:pPr>
        <w:pStyle w:val="BodyText"/>
        <w:numPr>
          <w:ilvl w:val="0"/>
          <w:numId w:val="0"/>
        </w:numPr>
      </w:pPr>
    </w:p>
    <w:p w:rsidR="00DD2AD0" w:rsidRPr="000A3C73" w:rsidRDefault="001F2340" w:rsidP="00DD2AD0">
      <w:pPr>
        <w:pStyle w:val="BodyText"/>
      </w:pPr>
      <w:r w:rsidRPr="000A3C73">
        <w:t xml:space="preserve">While the Greek central government may not have been as engaged in the project as those from Albania and Macedonia, the local government in Greek Prespa has demonstrated a strong commitment to transboundary cooperation. In addition, on the Greek side the NGO Society for the Protection of Prespa (SPP) is extremely active in the region. However, multiple stakeholders stated that one of the challenges for securing political commitment regarding transboundary management was that in meetings, workshops, and other communications the primary Greek representation was from SPP, and it is not possible to have government positions represented by an NGO. </w:t>
      </w:r>
    </w:p>
    <w:p w:rsidR="00050CBF" w:rsidRPr="000A3C73" w:rsidRDefault="00050CBF" w:rsidP="00DD2AD0">
      <w:pPr>
        <w:pStyle w:val="BodyText"/>
      </w:pPr>
      <w:r w:rsidRPr="000A3C73">
        <w:rPr>
          <w:i/>
          <w:u w:val="single"/>
        </w:rPr>
        <w:t>Regional political context:</w:t>
      </w:r>
      <w:r w:rsidRPr="000A3C73">
        <w:t xml:space="preserve"> Without going into an in-depth discussion of the history of relations between Macedonia and Greece, it can be said that the warm/cold relations between the two countries during the course of the project was a negative influence on project implementation in multiple ways.</w:t>
      </w:r>
    </w:p>
    <w:p w:rsidR="00DD2AD0" w:rsidRPr="000A3C73" w:rsidRDefault="00D174DF" w:rsidP="00EA4787">
      <w:pPr>
        <w:pStyle w:val="BodyText"/>
      </w:pPr>
      <w:r w:rsidRPr="000A3C73">
        <w:rPr>
          <w:i/>
          <w:u w:val="single"/>
        </w:rPr>
        <w:t>Global economic crisis:</w:t>
      </w:r>
      <w:r w:rsidR="000D404C" w:rsidRPr="000A3C73">
        <w:t xml:space="preserve"> The issue of co-financing from the Greek government has been raised by multiple parties as a problematic area, either in the sense that Greece did not provide the funds that were committed at the project development stage, or that </w:t>
      </w:r>
      <w:r w:rsidR="00650D01" w:rsidRPr="000A3C73">
        <w:t>Greece has fully met its co-financing obligations yet continues to receive distrust from other parties. It is not possible within the scope of this evaluation to fully explore this issue, which would require extensive time exam</w:t>
      </w:r>
      <w:r w:rsidR="00985056" w:rsidRPr="000A3C73">
        <w:t>ining Greek government budget</w:t>
      </w:r>
      <w:r w:rsidR="00650D01" w:rsidRPr="000A3C73">
        <w:t xml:space="preserve"> documentation</w:t>
      </w:r>
      <w:r w:rsidR="00E6453F" w:rsidRPr="000A3C73">
        <w:t>; at the very least it is clear that there was not adequate communication about Greek funding between Greek stakeholders and the execution teams in Macedonia and Albania</w:t>
      </w:r>
      <w:r w:rsidR="00650D01" w:rsidRPr="000A3C73">
        <w:t>.</w:t>
      </w:r>
      <w:r w:rsidR="002F444E" w:rsidRPr="000A3C73">
        <w:t xml:space="preserve"> Th</w:t>
      </w:r>
      <w:r w:rsidR="00650D01" w:rsidRPr="000A3C73">
        <w:t>ere are two important factors that can be identified related to this issue. First, there was confusion about the extent to which GEF resources could be used to support Greek participation in the transboundary project activities</w:t>
      </w:r>
      <w:r w:rsidR="00EA4787" w:rsidRPr="000A3C73">
        <w:t>, apparently because Greek participation was at least partially supported in the PDF-B phase</w:t>
      </w:r>
      <w:r w:rsidR="00650D01" w:rsidRPr="000A3C73">
        <w:t xml:space="preserve">. GEF policies preclude GEF funds from supporting non-GEF recipient countries’ participation in GEF projects, though it should be said the interpretation and application of this rule varies significantly around the world (there are certainly instances where </w:t>
      </w:r>
      <w:r w:rsidR="00EA4787" w:rsidRPr="000A3C73">
        <w:t xml:space="preserve">the participation in GEF project activities of </w:t>
      </w:r>
      <w:r w:rsidR="00650D01" w:rsidRPr="000A3C73">
        <w:t xml:space="preserve">individuals from non-GEF recipient countries </w:t>
      </w:r>
      <w:r w:rsidR="00EA4787" w:rsidRPr="000A3C73">
        <w:t xml:space="preserve">has been funded). </w:t>
      </w:r>
    </w:p>
    <w:p w:rsidR="00EA4787" w:rsidRPr="000A3C73" w:rsidRDefault="00DA3145" w:rsidP="00EA4787">
      <w:pPr>
        <w:pStyle w:val="BodyText"/>
      </w:pPr>
      <w:r w:rsidRPr="000A3C73">
        <w:t>Second is the issue of the g</w:t>
      </w:r>
      <w:r w:rsidR="00EA4787" w:rsidRPr="000A3C73">
        <w:t xml:space="preserve">lobal economic crisis, which started in 2008, but reached acute levels in Greece in late 2009 and early 2010, when the Greek government began implementing austerity measures. The Prespa IEM project mid-term evaluation in May 2009 patently asked “Where is the Greek Government money?” – a question much of the world has gone on to ask in the time since. Thus, even in the case that Greece has met its financial commitments promised at project approval, it has not been in a position to provide resources above and beyond these commitments that could have supported the ongoing transboundary process – for example, the original intention that the PPCC would be fully government-financed by the end of the Prespa IEM project. </w:t>
      </w:r>
      <w:r w:rsidR="00AC555C" w:rsidRPr="000A3C73">
        <w:t xml:space="preserve">Even the Prespa protected area on the Greek side has suffered budget cuts. </w:t>
      </w:r>
      <w:r w:rsidR="00EA4787" w:rsidRPr="000A3C73">
        <w:t>The signing of the February 2010 trilateral</w:t>
      </w:r>
      <w:r w:rsidR="001C14E5" w:rsidRPr="000A3C73">
        <w:t xml:space="preserve"> agreement</w:t>
      </w:r>
      <w:r w:rsidR="00EA4787" w:rsidRPr="000A3C73">
        <w:t xml:space="preserve"> was a significant project </w:t>
      </w:r>
      <w:r w:rsidR="001C14E5" w:rsidRPr="000A3C73">
        <w:t>achievement, but some stakeholders have attributed the fact</w:t>
      </w:r>
      <w:r w:rsidR="00985056" w:rsidRPr="000A3C73">
        <w:t xml:space="preserve"> that nothing happened in the two-plus</w:t>
      </w:r>
      <w:r w:rsidR="001C14E5" w:rsidRPr="000A3C73">
        <w:t xml:space="preserve"> subsequent years to the timing of the Greek economic crisis, although there are certainly other factors as well. </w:t>
      </w:r>
    </w:p>
    <w:p w:rsidR="00DD2AD0" w:rsidRPr="008B7E9A" w:rsidRDefault="00DD2AD0" w:rsidP="00DD2AD0">
      <w:pPr>
        <w:pStyle w:val="BodyText"/>
      </w:pPr>
      <w:r w:rsidRPr="000A3C73">
        <w:rPr>
          <w:i/>
          <w:u w:val="single"/>
        </w:rPr>
        <w:t>Project design</w:t>
      </w:r>
      <w:r w:rsidR="00E07E36" w:rsidRPr="000A3C73">
        <w:rPr>
          <w:i/>
          <w:u w:val="single"/>
        </w:rPr>
        <w:t>:</w:t>
      </w:r>
      <w:r w:rsidR="00E07E36" w:rsidRPr="000A3C73">
        <w:t xml:space="preserve"> As discussed in Section </w:t>
      </w:r>
      <w:r w:rsidR="008269C6" w:rsidRPr="00850A96">
        <w:fldChar w:fldCharType="begin"/>
      </w:r>
      <w:r w:rsidR="00E07E36" w:rsidRPr="000A3C73">
        <w:instrText xml:space="preserve"> REF _Ref210988268 \w \h </w:instrText>
      </w:r>
      <w:r w:rsidR="008269C6" w:rsidRPr="00850A96">
        <w:fldChar w:fldCharType="separate"/>
      </w:r>
      <w:r w:rsidR="006E18A7" w:rsidRPr="00850A96">
        <w:t>IV.A</w:t>
      </w:r>
      <w:r w:rsidR="008269C6" w:rsidRPr="00850A96">
        <w:fldChar w:fldCharType="end"/>
      </w:r>
      <w:r w:rsidR="00EB25E2" w:rsidRPr="00FC657B">
        <w:t xml:space="preserve">, the project design of three components executed separately was not </w:t>
      </w:r>
      <w:r w:rsidR="00E07E36" w:rsidRPr="00D77DF1">
        <w:t>supportive of</w:t>
      </w:r>
      <w:r w:rsidR="00EB25E2" w:rsidRPr="00CD42DE">
        <w:t xml:space="preserve"> strong </w:t>
      </w:r>
      <w:r w:rsidR="00E07E36" w:rsidRPr="00AA7D1F">
        <w:t>coordination, communication and collaboration within the overal</w:t>
      </w:r>
      <w:r w:rsidR="00E07E36" w:rsidRPr="005E69C8">
        <w:t>l p</w:t>
      </w:r>
      <w:r w:rsidR="00E07E36" w:rsidRPr="00850A96">
        <w:t xml:space="preserve">roject. </w:t>
      </w:r>
    </w:p>
    <w:p w:rsidR="00DD2AD0" w:rsidRPr="00D77DF1" w:rsidRDefault="00EC6EC2" w:rsidP="00DD2AD0">
      <w:pPr>
        <w:pStyle w:val="BodyText"/>
      </w:pPr>
      <w:r w:rsidRPr="000126EE">
        <w:rPr>
          <w:i/>
          <w:u w:val="single"/>
        </w:rPr>
        <w:t>Staff t</w:t>
      </w:r>
      <w:r w:rsidR="004153B5" w:rsidRPr="00B71D27">
        <w:rPr>
          <w:i/>
          <w:u w:val="single"/>
        </w:rPr>
        <w:t>urnover:</w:t>
      </w:r>
      <w:r w:rsidR="009C0046" w:rsidRPr="00595792">
        <w:t xml:space="preserve"> Other than the lack of int</w:t>
      </w:r>
      <w:r w:rsidR="009C0046" w:rsidRPr="00602E30">
        <w:t>egration resulting from the project design, the Albanian and Macedonian national components were</w:t>
      </w:r>
      <w:r w:rsidR="00E56440" w:rsidRPr="002A69B7">
        <w:t xml:space="preserve"> generally</w:t>
      </w:r>
      <w:r w:rsidR="009C0046" w:rsidRPr="002C744B">
        <w:t xml:space="preserve"> well-executed and achieved a number of important results</w:t>
      </w:r>
      <w:r w:rsidR="00E56440" w:rsidRPr="00C56966">
        <w:t>, despite some challenges in the early going</w:t>
      </w:r>
      <w:r w:rsidR="009C0046" w:rsidRPr="002D3949">
        <w:t xml:space="preserve">. The transboundary component also managed to produce most of the expected outputs, but the effectiveness and sustainability of these outputs is more questionable, and the transboundary activities were </w:t>
      </w:r>
      <w:r w:rsidR="00E56440" w:rsidRPr="000A3C73">
        <w:t>faced</w:t>
      </w:r>
      <w:r w:rsidR="009C0046" w:rsidRPr="000A3C73">
        <w:t xml:space="preserve"> with consistent </w:t>
      </w:r>
      <w:r w:rsidR="00E56440" w:rsidRPr="000A3C73">
        <w:t xml:space="preserve">challenges of stakeholder participation, communication, and execution. This </w:t>
      </w:r>
      <w:r w:rsidR="00075465" w:rsidRPr="000A3C73">
        <w:t>is</w:t>
      </w:r>
      <w:r w:rsidR="00E56440" w:rsidRPr="000A3C73">
        <w:t xml:space="preserve"> significantly due to the inconsistent presence</w:t>
      </w:r>
      <w:r w:rsidR="00075465" w:rsidRPr="000A3C73">
        <w:t xml:space="preserve"> of a senior level staff member,</w:t>
      </w:r>
      <w:r w:rsidR="00E56440" w:rsidRPr="000A3C73">
        <w:t xml:space="preserve"> the </w:t>
      </w:r>
      <w:r w:rsidR="00075465" w:rsidRPr="000A3C73">
        <w:t>ITA,</w:t>
      </w:r>
      <w:r w:rsidR="00E56440" w:rsidRPr="000A3C73">
        <w:t xml:space="preserve"> with the mandate to actively engage all stakeholders and draw the transboundary activities together in a comprehensive strategic body of work. The transboundary activities did not get underway until a year after project approval due to challenges in recruiting a suitable ITA, perhaps partially due to the fact that the project document only budgeted for the ITA position for 50% (2.5 years) of the planned project implementation period. </w:t>
      </w:r>
      <w:r w:rsidR="0031349B" w:rsidRPr="000A3C73">
        <w:t>After two years the initial ITA departed, and</w:t>
      </w:r>
      <w:r w:rsidR="00075465" w:rsidRPr="000A3C73">
        <w:t xml:space="preserve"> there was a gap of 15 months before a replacement was installed</w:t>
      </w:r>
      <w:r w:rsidR="006F35FA" w:rsidRPr="000A3C73">
        <w:t>. During the entire project the transboundary component was staffed by a project assistant, which is a key reason a majority of the transboundary component activities were completed.</w:t>
      </w:r>
      <w:r w:rsidR="00845763" w:rsidRPr="000A3C73">
        <w:t xml:space="preserve"> At the same time, regional stakeholders noted that when there was a full-time ITA in place the project had a much more cohesive presence and stronger communication between all relevant parties. </w:t>
      </w:r>
      <w:r w:rsidR="006F7061" w:rsidRPr="000A3C73">
        <w:t xml:space="preserve">Although the Macedonia national component </w:t>
      </w:r>
      <w:r w:rsidR="007C5275" w:rsidRPr="000A3C73">
        <w:t>can be considered successful overall, it also was slowed by turnover at the project manager position in</w:t>
      </w:r>
      <w:r w:rsidR="00075465" w:rsidRPr="000A3C73">
        <w:t xml:space="preserve"> the first year of the project (also see Section </w:t>
      </w:r>
      <w:r w:rsidR="008269C6" w:rsidRPr="00D77DF1">
        <w:fldChar w:fldCharType="begin"/>
      </w:r>
      <w:r w:rsidR="00075465" w:rsidRPr="000A3C73">
        <w:instrText xml:space="preserve"> REF _Ref211054149 \w \h </w:instrText>
      </w:r>
      <w:r w:rsidR="008269C6" w:rsidRPr="00D77DF1">
        <w:fldChar w:fldCharType="separate"/>
      </w:r>
      <w:r w:rsidR="006E18A7" w:rsidRPr="00D77DF1">
        <w:t>IV.E</w:t>
      </w:r>
      <w:r w:rsidR="008269C6" w:rsidRPr="00D77DF1">
        <w:fldChar w:fldCharType="end"/>
      </w:r>
      <w:r w:rsidR="00075465" w:rsidRPr="00FC657B">
        <w:t xml:space="preserve"> of this evaluation report).</w:t>
      </w:r>
    </w:p>
    <w:p w:rsidR="00DD2AD0" w:rsidRPr="00CD42DE" w:rsidRDefault="004153B5" w:rsidP="00DD2AD0">
      <w:pPr>
        <w:pStyle w:val="BodyText"/>
      </w:pPr>
      <w:r w:rsidRPr="00CD42DE">
        <w:rPr>
          <w:i/>
          <w:u w:val="single"/>
        </w:rPr>
        <w:t>Bureaucracy:</w:t>
      </w:r>
      <w:r w:rsidR="00B10269" w:rsidRPr="00AA7D1F">
        <w:rPr>
          <w:i/>
          <w:u w:val="single"/>
        </w:rPr>
        <w:t xml:space="preserve"> </w:t>
      </w:r>
      <w:r w:rsidR="00B35A7D" w:rsidRPr="005E69C8">
        <w:t>All UNDP-GEF projects face some level of bureaucracy in conforming with UN and UNDP operatio</w:t>
      </w:r>
      <w:r w:rsidR="00530E2B" w:rsidRPr="00850A96">
        <w:t>nal and procedural requirements; i</w:t>
      </w:r>
      <w:r w:rsidR="00B35A7D" w:rsidRPr="008B7E9A">
        <w:t>n the Prespa IEM project there were indications that the UNDP bureaucracy</w:t>
      </w:r>
      <w:r w:rsidR="001900FD" w:rsidRPr="000126EE">
        <w:t xml:space="preserve"> also p</w:t>
      </w:r>
      <w:r w:rsidR="001900FD" w:rsidRPr="00B71D27">
        <w:t>resented some challenges</w:t>
      </w:r>
      <w:r w:rsidR="00B35A7D" w:rsidRPr="00595792">
        <w:t>. Multiple stakeholders cit</w:t>
      </w:r>
      <w:r w:rsidR="00B35A7D" w:rsidRPr="00602E30">
        <w:t>ed a lack of flexibility and overzealousness in applicati</w:t>
      </w:r>
      <w:r w:rsidR="001900FD" w:rsidRPr="002A69B7">
        <w:t>on of bureaucratic requirement</w:t>
      </w:r>
      <w:r w:rsidR="001900FD" w:rsidRPr="002C744B">
        <w:t xml:space="preserve">s, especially in the </w:t>
      </w:r>
      <w:r w:rsidR="00530E2B" w:rsidRPr="00C56966">
        <w:t>first half</w:t>
      </w:r>
      <w:r w:rsidR="001900FD" w:rsidRPr="002D3949">
        <w:t xml:space="preserve"> of the project. However, at least for the national components, these issues </w:t>
      </w:r>
      <w:r w:rsidR="001900FD" w:rsidRPr="000A3C73">
        <w:t xml:space="preserve">appear to have been satisfactorily resolved once the initial </w:t>
      </w:r>
      <w:r w:rsidR="00530E2B" w:rsidRPr="000A3C73">
        <w:t>intense period of procurement</w:t>
      </w:r>
      <w:r w:rsidR="00D15E03" w:rsidRPr="000A3C73">
        <w:t xml:space="preserve"> had passed (also see discussion in Section </w:t>
      </w:r>
      <w:r w:rsidR="008269C6" w:rsidRPr="00D77DF1">
        <w:fldChar w:fldCharType="begin"/>
      </w:r>
      <w:r w:rsidR="00D15E03" w:rsidRPr="000A3C73">
        <w:instrText xml:space="preserve"> REF _Ref211054705 \w \h </w:instrText>
      </w:r>
      <w:r w:rsidR="008269C6" w:rsidRPr="00D77DF1">
        <w:fldChar w:fldCharType="separate"/>
      </w:r>
      <w:r w:rsidR="006E18A7" w:rsidRPr="00D77DF1">
        <w:t>IV.E.iv</w:t>
      </w:r>
      <w:r w:rsidR="008269C6" w:rsidRPr="00D77DF1">
        <w:fldChar w:fldCharType="end"/>
      </w:r>
      <w:r w:rsidR="00D15E03" w:rsidRPr="00FC657B">
        <w:t>, above)</w:t>
      </w:r>
      <w:r w:rsidR="00882042" w:rsidRPr="00D77DF1">
        <w:t xml:space="preserve">. </w:t>
      </w:r>
    </w:p>
    <w:p w:rsidR="00AC533C" w:rsidRPr="00D77DF1" w:rsidRDefault="00AC533C" w:rsidP="00DD2AD0">
      <w:pPr>
        <w:pStyle w:val="BodyText"/>
      </w:pPr>
      <w:r w:rsidRPr="00AA7D1F">
        <w:rPr>
          <w:i/>
          <w:u w:val="single"/>
        </w:rPr>
        <w:t>Lack of a unifying transboundary identity:</w:t>
      </w:r>
      <w:r w:rsidRPr="005E69C8">
        <w:t xml:space="preserve"> As discussed under Output 4.3 below, </w:t>
      </w:r>
      <w:r w:rsidR="00261D8A" w:rsidRPr="00850A96">
        <w:t>the p</w:t>
      </w:r>
      <w:r w:rsidR="00261D8A" w:rsidRPr="008B7E9A">
        <w:t>roject never adequately established a unifying collaborative transboundary identify for the participating stakeholders, organizations, and countries. The various activities of the project were functioning as separate processes. This is likely partially due</w:t>
      </w:r>
      <w:r w:rsidR="00261D8A" w:rsidRPr="000126EE">
        <w:t xml:space="preserve"> to the inconsistent presence of an ITA for the transboundary component. The PPCC partially served this purpose, but it only met once or twice per year, and activity stopped in the last two years of the project, instead of increasing. </w:t>
      </w:r>
      <w:r w:rsidR="002359E3" w:rsidRPr="00B71D27">
        <w:t xml:space="preserve">The project used the </w:t>
      </w:r>
      <w:r w:rsidR="002359E3" w:rsidRPr="00595792">
        <w:t>IW:Learn website to store project outputs for exter</w:t>
      </w:r>
      <w:r w:rsidR="002359E3" w:rsidRPr="00602E30">
        <w:t xml:space="preserve">nal reference, but there is little evidence that stakeholders from the region actively used this English-based resource. There was a Prespa Park website, </w:t>
      </w:r>
      <w:hyperlink r:id="rId31" w:history="1">
        <w:r w:rsidR="002359E3" w:rsidRPr="00D77DF1">
          <w:rPr>
            <w:rStyle w:val="Hyperlink"/>
          </w:rPr>
          <w:t>www.prespapark.org</w:t>
        </w:r>
      </w:hyperlink>
      <w:r w:rsidR="002359E3" w:rsidRPr="00FC657B">
        <w:t xml:space="preserve">, but it is no longer functional. </w:t>
      </w:r>
    </w:p>
    <w:p w:rsidR="00212C76" w:rsidRPr="002C744B" w:rsidRDefault="00212C76" w:rsidP="00DD2AD0">
      <w:pPr>
        <w:pStyle w:val="BodyText"/>
      </w:pPr>
      <w:r w:rsidRPr="00CD42DE">
        <w:rPr>
          <w:i/>
          <w:u w:val="single"/>
        </w:rPr>
        <w:t>Coordination with other donors:</w:t>
      </w:r>
      <w:r w:rsidRPr="00AA7D1F">
        <w:t xml:space="preserve"> The project should be commended for attempting to directly link with the activities of other donors in an integrated way, but unfortunately the project experience demonstrated s</w:t>
      </w:r>
      <w:r w:rsidRPr="005E69C8">
        <w:t>ome</w:t>
      </w:r>
      <w:r w:rsidRPr="00850A96">
        <w:t xml:space="preserve"> of the risks of such linkages as well. Particularly in Albania, it was expected that the project would be able to produce synergistic results in coordination with the KfW funded support for the Prespa National Park in Albania. However, the KfW support was</w:t>
      </w:r>
      <w:r w:rsidRPr="008B7E9A">
        <w:t xml:space="preserve"> delayed, and activities did not start until October 2011. The Albanian component of the Prespa IEM project was still able to produce valuable results, but not in the timeframe or manner originally expected. On the whole, the fact that the project was work</w:t>
      </w:r>
      <w:r w:rsidRPr="000126EE">
        <w:t xml:space="preserve">ing in an area where there has been and continues to be broad donor support was valuable, as the project </w:t>
      </w:r>
      <w:r w:rsidR="00C75AFB" w:rsidRPr="00B71D27">
        <w:t>(intentionally or not)</w:t>
      </w:r>
      <w:r w:rsidRPr="00595792">
        <w:t xml:space="preserve"> made up a part of a kind of an overall “programmatic approach”</w:t>
      </w:r>
      <w:r w:rsidR="006D295F" w:rsidRPr="00602E30">
        <w:t xml:space="preserve"> ongoing in the Prespa basin, w</w:t>
      </w:r>
      <w:r w:rsidR="00E93ECA" w:rsidRPr="002A69B7">
        <w:t xml:space="preserve">ith the support of many donors, which has greatly improved the sustainability of project results. </w:t>
      </w:r>
    </w:p>
    <w:p w:rsidR="00E164DE" w:rsidRPr="000A3C73" w:rsidRDefault="00E164DE" w:rsidP="00DD2AD0">
      <w:pPr>
        <w:pStyle w:val="BodyText"/>
      </w:pPr>
      <w:r w:rsidRPr="00C56966">
        <w:rPr>
          <w:i/>
          <w:u w:val="single"/>
        </w:rPr>
        <w:t>Strong local stakeholder support:</w:t>
      </w:r>
      <w:r w:rsidRPr="002D3949">
        <w:t xml:space="preserve"> Without the strong support from local level government and resource users the project would not have been able to produce nearly as many positive re</w:t>
      </w:r>
      <w:r w:rsidRPr="000A3C73">
        <w:t>sults. In Albania, the municipal governments in the Prespa region have been key partners, as well as organizations such as the fisherman’s association</w:t>
      </w:r>
      <w:r w:rsidR="00780081" w:rsidRPr="000A3C73">
        <w:t xml:space="preserve"> and the Prespa National Park administration</w:t>
      </w:r>
      <w:r w:rsidRPr="000A3C73">
        <w:t>.</w:t>
      </w:r>
      <w:r w:rsidR="00780081" w:rsidRPr="000A3C73">
        <w:t xml:space="preserve"> In Macedonia, the municipality of Resen has been a critical partner. In Greece, all three of the main local stakeholder organizations have been important partners – the municipal government, SPP, and the Prespa park administration.</w:t>
      </w:r>
      <w:r w:rsidRPr="000A3C73">
        <w:t xml:space="preserve"> Implementation of project activities wasn’t completely without local level conflicts, but any issues were resolved constructively over time. </w:t>
      </w:r>
    </w:p>
    <w:p w:rsidR="00434719" w:rsidRPr="000A3C73" w:rsidRDefault="00434719" w:rsidP="00DD2AD0">
      <w:pPr>
        <w:pStyle w:val="BodyText"/>
      </w:pPr>
      <w:r w:rsidRPr="000A3C73">
        <w:rPr>
          <w:i/>
          <w:u w:val="single"/>
        </w:rPr>
        <w:t>Capable project teams:</w:t>
      </w:r>
      <w:r w:rsidRPr="000A3C73">
        <w:t xml:space="preserve"> All three project components benefited from effective project teams, although the transboundary component was lacking its full complement of staff for a significant portion of time. The PMUs in both Albania and Macedonia overcame numerous challenges, and implemented the project in a results-based approach. The project teams have demonstrated their effectiveness</w:t>
      </w:r>
      <w:r w:rsidR="00724098" w:rsidRPr="000A3C73">
        <w:t xml:space="preserve"> on numerous levels</w:t>
      </w:r>
      <w:r w:rsidR="007B0959" w:rsidRPr="000A3C73">
        <w:t xml:space="preserve"> </w:t>
      </w:r>
      <w:r w:rsidR="00385782" w:rsidRPr="000A3C73">
        <w:t>throughout the project.</w:t>
      </w:r>
    </w:p>
    <w:p w:rsidR="00915A86" w:rsidRPr="000A3C73" w:rsidRDefault="00B41E00" w:rsidP="0023341C">
      <w:pPr>
        <w:pStyle w:val="Heading2"/>
        <w:ind w:left="1080" w:hanging="360"/>
      </w:pPr>
      <w:bookmarkStart w:id="92" w:name="_Toc238551071"/>
      <w:r w:rsidRPr="000A3C73">
        <w:t>Progress Toward Achievement of Anticipated Outcomes</w:t>
      </w:r>
      <w:bookmarkEnd w:id="89"/>
      <w:bookmarkEnd w:id="90"/>
      <w:bookmarkEnd w:id="92"/>
    </w:p>
    <w:p w:rsidR="00E2439E" w:rsidRPr="000A3C73" w:rsidRDefault="00E2439E" w:rsidP="00E2439E">
      <w:pPr>
        <w:pStyle w:val="BodyText"/>
      </w:pPr>
      <w:r w:rsidRPr="000A3C73">
        <w:t xml:space="preserve">As described further below, the project </w:t>
      </w:r>
      <w:r w:rsidR="009D0124" w:rsidRPr="000A3C73">
        <w:t>adequately reached</w:t>
      </w:r>
      <w:r w:rsidRPr="000A3C73">
        <w:t xml:space="preserve"> the project objective, and based on achievement of expected outcomes, </w:t>
      </w:r>
      <w:r w:rsidRPr="000A3C73">
        <w:rPr>
          <w:b/>
        </w:rPr>
        <w:t>effectiveness</w:t>
      </w:r>
      <w:r w:rsidRPr="000A3C73">
        <w:t xml:space="preserve"> is rated </w:t>
      </w:r>
      <w:r w:rsidR="00236CE1" w:rsidRPr="000A3C73">
        <w:rPr>
          <w:b/>
          <w:i/>
          <w:u w:val="single"/>
        </w:rPr>
        <w:t>moderately s</w:t>
      </w:r>
      <w:r w:rsidRPr="000A3C73">
        <w:rPr>
          <w:b/>
          <w:i/>
          <w:u w:val="single"/>
        </w:rPr>
        <w:t>atisfactory</w:t>
      </w:r>
      <w:r w:rsidRPr="000A3C73">
        <w:t>.</w:t>
      </w:r>
      <w:r w:rsidR="00790C1D" w:rsidRPr="000A3C73">
        <w:t xml:space="preserve"> The two project national components were more effective than the transboundary component, although significant work was undertaken under the transboundary component and the majority of outputs </w:t>
      </w:r>
      <w:r w:rsidR="007D3A28" w:rsidRPr="000A3C73">
        <w:t xml:space="preserve">were </w:t>
      </w:r>
      <w:r w:rsidR="00790C1D" w:rsidRPr="000A3C73">
        <w:t xml:space="preserve">produced. </w:t>
      </w:r>
      <w:r w:rsidR="00FC4571" w:rsidRPr="000A3C73">
        <w:t>Effectiveness for the two national components is considered satisfactory, and effectiveness for the transboundary component is moderately unsatisfactory, primarily due to the current low level of central government ownership of the Prespa Park process, which has limited available pathways for carrying forward the transboundary work, and has made the 2010 international agreement and PPMC currently not implemented.</w:t>
      </w:r>
      <w:r w:rsidR="00C83822" w:rsidRPr="000A3C73">
        <w:t xml:space="preserve"> By and large this is due to political and economic factors outside the control of the project. However, shortcomings in the project design, turnover in the position of </w:t>
      </w:r>
      <w:r w:rsidR="009D2056">
        <w:t>ITA</w:t>
      </w:r>
      <w:r w:rsidR="00C83822" w:rsidRPr="000A3C73">
        <w:t xml:space="preserve">, significant delays in a number of activities, and an inadequate approach to internal communication </w:t>
      </w:r>
      <w:r w:rsidR="007D5DDB" w:rsidRPr="000A3C73">
        <w:t xml:space="preserve">left the project with less progress toward the overall objective than should have been possible. </w:t>
      </w:r>
    </w:p>
    <w:p w:rsidR="0079426C" w:rsidRPr="000A3C73" w:rsidRDefault="00EF5543" w:rsidP="00DD45FE">
      <w:pPr>
        <w:pStyle w:val="BodyText"/>
      </w:pPr>
      <w:r w:rsidRPr="000A3C73">
        <w:t xml:space="preserve">Each of the project outcomes </w:t>
      </w:r>
      <w:r w:rsidR="00374C41" w:rsidRPr="000A3C73">
        <w:t>was</w:t>
      </w:r>
      <w:r w:rsidRPr="000A3C73">
        <w:t xml:space="preserve"> implemented through a series of outputs and specific actions, as outlined in the annual project workplans. Under each of the outcomes below, the primary outputs are listed, and key results highlighted. The project logframe includes indicators and targets for each of the outcomes, </w:t>
      </w:r>
      <w:r w:rsidR="002E2958">
        <w:t>included</w:t>
      </w:r>
      <w:r w:rsidRPr="000A3C73">
        <w:t xml:space="preserve"> in</w:t>
      </w:r>
      <w:r w:rsidR="002E2958">
        <w:t xml:space="preserve"> </w:t>
      </w:r>
      <w:r w:rsidR="00FE7843" w:rsidRPr="000A3C73">
        <w:t>A</w:t>
      </w:r>
      <w:r w:rsidR="00DD45FE" w:rsidRPr="000A3C73">
        <w:t xml:space="preserve">nnex </w:t>
      </w:r>
      <w:r w:rsidR="005D3349" w:rsidRPr="000A3C73">
        <w:t>3</w:t>
      </w:r>
      <w:r w:rsidR="00776244" w:rsidRPr="000A3C73">
        <w:t xml:space="preserve"> with further </w:t>
      </w:r>
      <w:r w:rsidR="00DD45FE" w:rsidRPr="000A3C73">
        <w:t>review of the measureable logframe indicators</w:t>
      </w:r>
      <w:r w:rsidR="00173AD2" w:rsidRPr="000A3C73">
        <w:t xml:space="preserve"> and targets</w:t>
      </w:r>
      <w:r w:rsidR="00DD45FE" w:rsidRPr="000A3C73">
        <w:t>.</w:t>
      </w:r>
    </w:p>
    <w:p w:rsidR="00DD45FE" w:rsidRPr="000A3C73" w:rsidRDefault="003C6385" w:rsidP="00DD45FE">
      <w:pPr>
        <w:pStyle w:val="BodyText"/>
      </w:pPr>
      <w:r w:rsidRPr="000A3C73">
        <w:t xml:space="preserve">Not all three components </w:t>
      </w:r>
      <w:r w:rsidR="0059168E" w:rsidRPr="000A3C73">
        <w:t>were planned to include</w:t>
      </w:r>
      <w:r w:rsidRPr="000A3C73">
        <w:t xml:space="preserve"> activities from all five project outcomes. </w:t>
      </w:r>
      <w:r w:rsidR="008269C6" w:rsidRPr="00206E7A">
        <w:fldChar w:fldCharType="begin"/>
      </w:r>
      <w:r w:rsidRPr="000A3C73">
        <w:instrText xml:space="preserve"> REF _Ref209506326 \h </w:instrText>
      </w:r>
      <w:r w:rsidR="008269C6" w:rsidRPr="00206E7A">
        <w:fldChar w:fldCharType="separate"/>
      </w:r>
      <w:r w:rsidR="006E18A7" w:rsidRPr="000A3C73">
        <w:t xml:space="preserve">Table </w:t>
      </w:r>
      <w:r w:rsidR="006E18A7" w:rsidRPr="000A3C73">
        <w:rPr>
          <w:noProof/>
        </w:rPr>
        <w:t>10</w:t>
      </w:r>
      <w:r w:rsidR="008269C6" w:rsidRPr="00206E7A">
        <w:fldChar w:fldCharType="end"/>
      </w:r>
      <w:r w:rsidR="002E2958">
        <w:t xml:space="preserve"> </w:t>
      </w:r>
      <w:r w:rsidRPr="000A3C73">
        <w:t xml:space="preserve">below shows the planned level of resources by component by outcome, as planned inputs can serve as one rough indicator of the level of activity expected under each outcome in each component. Notably, the transboundary component did not have any activities planned under Outcome 1 or 2. </w:t>
      </w:r>
    </w:p>
    <w:p w:rsidR="003C6385" w:rsidRPr="000A3C73" w:rsidRDefault="003C6385" w:rsidP="003C6385">
      <w:pPr>
        <w:pStyle w:val="Caption"/>
      </w:pPr>
      <w:bookmarkStart w:id="93" w:name="_Ref209506326"/>
      <w:r w:rsidRPr="000A3C73">
        <w:t xml:space="preserve">Table </w:t>
      </w:r>
      <w:r w:rsidR="008269C6" w:rsidRPr="00552EEF">
        <w:fldChar w:fldCharType="begin"/>
      </w:r>
      <w:r w:rsidR="00CF23E9" w:rsidRPr="000A3C73">
        <w:instrText xml:space="preserve"> SEQ Table \* ARABIC </w:instrText>
      </w:r>
      <w:r w:rsidR="008269C6" w:rsidRPr="00552EEF">
        <w:fldChar w:fldCharType="separate"/>
      </w:r>
      <w:r w:rsidR="006E18A7" w:rsidRPr="000A3C73">
        <w:rPr>
          <w:noProof/>
        </w:rPr>
        <w:t>10</w:t>
      </w:r>
      <w:r w:rsidR="008269C6" w:rsidRPr="00552EEF">
        <w:rPr>
          <w:noProof/>
        </w:rPr>
        <w:fldChar w:fldCharType="end"/>
      </w:r>
      <w:bookmarkEnd w:id="93"/>
      <w:r w:rsidRPr="000A3C73">
        <w:t xml:space="preserve"> Planned Inputs by Component per Outcome</w:t>
      </w:r>
      <w:r w:rsidR="004B5DAE" w:rsidRPr="000A3C73">
        <w:rPr>
          <w:rStyle w:val="FootnoteReference"/>
        </w:rPr>
        <w:footnoteReference w:id="16"/>
      </w:r>
      <w:r w:rsidR="00301E04" w:rsidRPr="000A3C73">
        <w:rPr>
          <w:b w:val="0"/>
          <w:i/>
        </w:rPr>
        <w:t>(millions USD)</w:t>
      </w:r>
    </w:p>
    <w:tbl>
      <w:tblPr>
        <w:tblStyle w:val="TableGrid"/>
        <w:tblW w:w="0" w:type="auto"/>
        <w:tblLayout w:type="fixed"/>
        <w:tblLook w:val="04A0"/>
      </w:tblPr>
      <w:tblGrid>
        <w:gridCol w:w="7668"/>
        <w:gridCol w:w="630"/>
        <w:gridCol w:w="630"/>
        <w:gridCol w:w="648"/>
      </w:tblGrid>
      <w:tr w:rsidR="000153EF" w:rsidRPr="000A3C73" w:rsidTr="00BE1066">
        <w:tc>
          <w:tcPr>
            <w:tcW w:w="7668" w:type="dxa"/>
            <w:shd w:val="clear" w:color="auto" w:fill="D9D9D9"/>
          </w:tcPr>
          <w:p w:rsidR="001C6EBB" w:rsidRPr="000A3C73" w:rsidRDefault="001C6EBB" w:rsidP="001C6EBB">
            <w:pPr>
              <w:pStyle w:val="BodyText"/>
              <w:numPr>
                <w:ilvl w:val="0"/>
                <w:numId w:val="0"/>
              </w:numPr>
              <w:rPr>
                <w:b/>
                <w:sz w:val="20"/>
              </w:rPr>
            </w:pPr>
            <w:r w:rsidRPr="000A3C73">
              <w:rPr>
                <w:b/>
                <w:sz w:val="20"/>
              </w:rPr>
              <w:t>Component</w:t>
            </w:r>
          </w:p>
        </w:tc>
        <w:tc>
          <w:tcPr>
            <w:tcW w:w="630" w:type="dxa"/>
            <w:tcBorders>
              <w:bottom w:val="single" w:sz="4" w:space="0" w:color="000000"/>
            </w:tcBorders>
            <w:shd w:val="clear" w:color="auto" w:fill="D9D9D9"/>
          </w:tcPr>
          <w:p w:rsidR="001C6EBB" w:rsidRPr="000A3C73" w:rsidRDefault="00E53277" w:rsidP="001C6EBB">
            <w:pPr>
              <w:pStyle w:val="BodyText"/>
              <w:numPr>
                <w:ilvl w:val="0"/>
                <w:numId w:val="0"/>
              </w:numPr>
              <w:rPr>
                <w:b/>
                <w:sz w:val="20"/>
              </w:rPr>
            </w:pPr>
            <w:r w:rsidRPr="000A3C73">
              <w:rPr>
                <w:b/>
                <w:sz w:val="20"/>
              </w:rPr>
              <w:t>T</w:t>
            </w:r>
            <w:r w:rsidR="009F38FB" w:rsidRPr="000A3C73">
              <w:rPr>
                <w:b/>
                <w:sz w:val="20"/>
              </w:rPr>
              <w:t>R</w:t>
            </w:r>
          </w:p>
        </w:tc>
        <w:tc>
          <w:tcPr>
            <w:tcW w:w="630" w:type="dxa"/>
            <w:shd w:val="clear" w:color="auto" w:fill="D9D9D9"/>
          </w:tcPr>
          <w:p w:rsidR="001C6EBB" w:rsidRPr="000A3C73" w:rsidRDefault="00E53277" w:rsidP="001C6EBB">
            <w:pPr>
              <w:pStyle w:val="BodyText"/>
              <w:numPr>
                <w:ilvl w:val="0"/>
                <w:numId w:val="0"/>
              </w:numPr>
              <w:rPr>
                <w:b/>
                <w:sz w:val="20"/>
              </w:rPr>
            </w:pPr>
            <w:r w:rsidRPr="000A3C73">
              <w:rPr>
                <w:b/>
                <w:sz w:val="20"/>
              </w:rPr>
              <w:t>AL</w:t>
            </w:r>
          </w:p>
        </w:tc>
        <w:tc>
          <w:tcPr>
            <w:tcW w:w="648" w:type="dxa"/>
            <w:shd w:val="clear" w:color="auto" w:fill="D9D9D9"/>
          </w:tcPr>
          <w:p w:rsidR="001C6EBB" w:rsidRPr="000A3C73" w:rsidRDefault="00E53277" w:rsidP="001C6EBB">
            <w:pPr>
              <w:pStyle w:val="BodyText"/>
              <w:numPr>
                <w:ilvl w:val="0"/>
                <w:numId w:val="0"/>
              </w:numPr>
              <w:rPr>
                <w:b/>
                <w:sz w:val="20"/>
              </w:rPr>
            </w:pPr>
            <w:r w:rsidRPr="000A3C73">
              <w:rPr>
                <w:b/>
                <w:sz w:val="20"/>
              </w:rPr>
              <w:t>MK</w:t>
            </w:r>
          </w:p>
        </w:tc>
      </w:tr>
      <w:tr w:rsidR="000153EF" w:rsidRPr="000A3C73" w:rsidTr="00BE1066">
        <w:tc>
          <w:tcPr>
            <w:tcW w:w="7668" w:type="dxa"/>
          </w:tcPr>
          <w:p w:rsidR="001A5169" w:rsidRPr="00FC657B" w:rsidRDefault="001A5169" w:rsidP="001A5169">
            <w:pPr>
              <w:pStyle w:val="BodyText"/>
              <w:numPr>
                <w:ilvl w:val="0"/>
                <w:numId w:val="0"/>
              </w:numPr>
            </w:pPr>
            <w:r w:rsidRPr="000A3C73">
              <w:rPr>
                <w:rFonts w:asciiTheme="majorHAnsi" w:hAnsiTheme="majorHAnsi"/>
                <w:b/>
                <w:sz w:val="20"/>
              </w:rPr>
              <w:t>Outcome 1:</w:t>
            </w:r>
            <w:r w:rsidR="002B5B37">
              <w:rPr>
                <w:rFonts w:asciiTheme="majorHAnsi" w:hAnsiTheme="majorHAnsi"/>
                <w:b/>
                <w:sz w:val="20"/>
              </w:rPr>
              <w:t xml:space="preserve"> </w:t>
            </w:r>
            <w:r w:rsidRPr="0089284E">
              <w:rPr>
                <w:rFonts w:asciiTheme="majorHAnsi" w:hAnsiTheme="majorHAnsi"/>
                <w:bCs/>
                <w:sz w:val="20"/>
              </w:rPr>
              <w:t>Stakeholders strengthen legal and regulatory enabling environment and establish land and water use management basis for maintaining and restoring ecosystem health in the Prespa Lakes Basin</w:t>
            </w:r>
          </w:p>
        </w:tc>
        <w:tc>
          <w:tcPr>
            <w:tcW w:w="630" w:type="dxa"/>
            <w:shd w:val="clear" w:color="auto" w:fill="D9D9D9"/>
          </w:tcPr>
          <w:p w:rsidR="001A5169" w:rsidRPr="00CD42DE" w:rsidRDefault="00A104B1" w:rsidP="001A5169">
            <w:pPr>
              <w:pStyle w:val="BodyText"/>
              <w:numPr>
                <w:ilvl w:val="0"/>
                <w:numId w:val="0"/>
              </w:numPr>
              <w:rPr>
                <w:sz w:val="20"/>
              </w:rPr>
            </w:pPr>
            <w:r w:rsidRPr="00FC657B">
              <w:rPr>
                <w:sz w:val="20"/>
              </w:rPr>
              <w:t>0</w:t>
            </w:r>
            <w:r w:rsidRPr="00D77DF1">
              <w:rPr>
                <w:sz w:val="20"/>
              </w:rPr>
              <w:t>.00</w:t>
            </w:r>
          </w:p>
        </w:tc>
        <w:tc>
          <w:tcPr>
            <w:tcW w:w="630" w:type="dxa"/>
          </w:tcPr>
          <w:p w:rsidR="001A5169" w:rsidRPr="005E69C8" w:rsidRDefault="00A104B1" w:rsidP="001A5169">
            <w:pPr>
              <w:pStyle w:val="BodyText"/>
              <w:numPr>
                <w:ilvl w:val="0"/>
                <w:numId w:val="0"/>
              </w:numPr>
              <w:rPr>
                <w:sz w:val="20"/>
              </w:rPr>
            </w:pPr>
            <w:r w:rsidRPr="00AA7D1F">
              <w:rPr>
                <w:sz w:val="20"/>
              </w:rPr>
              <w:t>0.20</w:t>
            </w:r>
          </w:p>
        </w:tc>
        <w:tc>
          <w:tcPr>
            <w:tcW w:w="648" w:type="dxa"/>
          </w:tcPr>
          <w:p w:rsidR="001A5169" w:rsidRPr="008B7E9A" w:rsidRDefault="00A104B1" w:rsidP="001A5169">
            <w:pPr>
              <w:pStyle w:val="BodyText"/>
              <w:numPr>
                <w:ilvl w:val="0"/>
                <w:numId w:val="0"/>
              </w:numPr>
              <w:rPr>
                <w:sz w:val="20"/>
              </w:rPr>
            </w:pPr>
            <w:r w:rsidRPr="00850A96">
              <w:rPr>
                <w:sz w:val="20"/>
              </w:rPr>
              <w:t>0.38</w:t>
            </w:r>
          </w:p>
        </w:tc>
      </w:tr>
      <w:tr w:rsidR="000153EF" w:rsidRPr="000A3C73" w:rsidTr="00BE1066">
        <w:tc>
          <w:tcPr>
            <w:tcW w:w="7668" w:type="dxa"/>
          </w:tcPr>
          <w:p w:rsidR="001A5169" w:rsidRPr="00FC657B" w:rsidRDefault="001A5169" w:rsidP="001A5169">
            <w:pPr>
              <w:pStyle w:val="BodyText"/>
              <w:numPr>
                <w:ilvl w:val="0"/>
                <w:numId w:val="0"/>
              </w:numPr>
            </w:pPr>
            <w:r w:rsidRPr="000A3C73">
              <w:rPr>
                <w:rFonts w:asciiTheme="majorHAnsi" w:hAnsiTheme="majorHAnsi"/>
                <w:b/>
                <w:sz w:val="20"/>
              </w:rPr>
              <w:t>Outcome 2:</w:t>
            </w:r>
            <w:r w:rsidRPr="0089284E">
              <w:rPr>
                <w:rFonts w:asciiTheme="majorHAnsi" w:hAnsiTheme="majorHAnsi"/>
                <w:sz w:val="20"/>
              </w:rPr>
              <w:t>Stakeholders modify productive sector resource management practices to reduce pesticide inputs, increase habitat heterogeneity, and improve the status of target species and communities within the national sectors of the Prespa Basin</w:t>
            </w:r>
          </w:p>
        </w:tc>
        <w:tc>
          <w:tcPr>
            <w:tcW w:w="630" w:type="dxa"/>
            <w:shd w:val="clear" w:color="auto" w:fill="D9D9D9"/>
          </w:tcPr>
          <w:p w:rsidR="001A5169" w:rsidRPr="00CD42DE" w:rsidRDefault="00A104B1" w:rsidP="001A5169">
            <w:pPr>
              <w:pStyle w:val="BodyText"/>
              <w:numPr>
                <w:ilvl w:val="0"/>
                <w:numId w:val="0"/>
              </w:numPr>
              <w:rPr>
                <w:sz w:val="20"/>
              </w:rPr>
            </w:pPr>
            <w:r w:rsidRPr="00FC657B">
              <w:rPr>
                <w:sz w:val="20"/>
              </w:rPr>
              <w:t>0</w:t>
            </w:r>
            <w:r w:rsidRPr="00D77DF1">
              <w:rPr>
                <w:sz w:val="20"/>
              </w:rPr>
              <w:t>.00</w:t>
            </w:r>
          </w:p>
        </w:tc>
        <w:tc>
          <w:tcPr>
            <w:tcW w:w="630" w:type="dxa"/>
          </w:tcPr>
          <w:p w:rsidR="001A5169" w:rsidRPr="005E69C8" w:rsidRDefault="00A104B1" w:rsidP="001A5169">
            <w:pPr>
              <w:pStyle w:val="BodyText"/>
              <w:numPr>
                <w:ilvl w:val="0"/>
                <w:numId w:val="0"/>
              </w:numPr>
              <w:rPr>
                <w:sz w:val="20"/>
              </w:rPr>
            </w:pPr>
            <w:r w:rsidRPr="00AA7D1F">
              <w:rPr>
                <w:sz w:val="20"/>
              </w:rPr>
              <w:t>0.45</w:t>
            </w:r>
          </w:p>
        </w:tc>
        <w:tc>
          <w:tcPr>
            <w:tcW w:w="648" w:type="dxa"/>
          </w:tcPr>
          <w:p w:rsidR="001A5169" w:rsidRPr="008B7E9A" w:rsidRDefault="00A104B1" w:rsidP="001A5169">
            <w:pPr>
              <w:pStyle w:val="BodyText"/>
              <w:numPr>
                <w:ilvl w:val="0"/>
                <w:numId w:val="0"/>
              </w:numPr>
              <w:rPr>
                <w:sz w:val="20"/>
              </w:rPr>
            </w:pPr>
            <w:r w:rsidRPr="00850A96">
              <w:rPr>
                <w:sz w:val="20"/>
              </w:rPr>
              <w:t>0.34</w:t>
            </w:r>
          </w:p>
        </w:tc>
      </w:tr>
      <w:tr w:rsidR="000153EF" w:rsidRPr="000A3C73" w:rsidTr="000153EF">
        <w:tc>
          <w:tcPr>
            <w:tcW w:w="7668" w:type="dxa"/>
          </w:tcPr>
          <w:p w:rsidR="001A5169" w:rsidRPr="00FC657B" w:rsidRDefault="001A5169" w:rsidP="001A5169">
            <w:pPr>
              <w:pStyle w:val="BodyText"/>
              <w:numPr>
                <w:ilvl w:val="0"/>
                <w:numId w:val="0"/>
              </w:numPr>
            </w:pPr>
            <w:r w:rsidRPr="000A3C73">
              <w:rPr>
                <w:rFonts w:asciiTheme="majorHAnsi" w:hAnsiTheme="majorHAnsi"/>
                <w:b/>
                <w:sz w:val="20"/>
              </w:rPr>
              <w:t xml:space="preserve">Outcome 3: </w:t>
            </w:r>
            <w:r w:rsidRPr="0089284E">
              <w:rPr>
                <w:rFonts w:asciiTheme="majorHAnsi" w:hAnsiTheme="majorHAnsi"/>
                <w:sz w:val="20"/>
              </w:rPr>
              <w:t>Stakeholders conserve priority biological diversity across the Prespa Basin and make key protected areas in Prespa Basin (PNP, GNP, ENR, and PPA-GR) fully operational</w:t>
            </w:r>
          </w:p>
        </w:tc>
        <w:tc>
          <w:tcPr>
            <w:tcW w:w="630" w:type="dxa"/>
          </w:tcPr>
          <w:p w:rsidR="001A5169" w:rsidRPr="00D77DF1" w:rsidRDefault="00A104B1" w:rsidP="001A5169">
            <w:pPr>
              <w:pStyle w:val="BodyText"/>
              <w:numPr>
                <w:ilvl w:val="0"/>
                <w:numId w:val="0"/>
              </w:numPr>
              <w:rPr>
                <w:sz w:val="20"/>
              </w:rPr>
            </w:pPr>
            <w:r w:rsidRPr="00FC657B">
              <w:rPr>
                <w:sz w:val="20"/>
              </w:rPr>
              <w:t>0.39</w:t>
            </w:r>
          </w:p>
        </w:tc>
        <w:tc>
          <w:tcPr>
            <w:tcW w:w="630" w:type="dxa"/>
          </w:tcPr>
          <w:p w:rsidR="001A5169" w:rsidRPr="005E69C8" w:rsidRDefault="00A104B1" w:rsidP="001A5169">
            <w:pPr>
              <w:pStyle w:val="BodyText"/>
              <w:numPr>
                <w:ilvl w:val="0"/>
                <w:numId w:val="0"/>
              </w:numPr>
              <w:rPr>
                <w:sz w:val="20"/>
              </w:rPr>
            </w:pPr>
            <w:r w:rsidRPr="00CD42DE">
              <w:rPr>
                <w:sz w:val="20"/>
              </w:rPr>
              <w:t>0.</w:t>
            </w:r>
            <w:r w:rsidRPr="00AA7D1F">
              <w:rPr>
                <w:sz w:val="20"/>
              </w:rPr>
              <w:t>07</w:t>
            </w:r>
          </w:p>
        </w:tc>
        <w:tc>
          <w:tcPr>
            <w:tcW w:w="648" w:type="dxa"/>
          </w:tcPr>
          <w:p w:rsidR="001A5169" w:rsidRPr="008B7E9A" w:rsidRDefault="00A104B1" w:rsidP="001A5169">
            <w:pPr>
              <w:pStyle w:val="BodyText"/>
              <w:numPr>
                <w:ilvl w:val="0"/>
                <w:numId w:val="0"/>
              </w:numPr>
              <w:rPr>
                <w:sz w:val="20"/>
              </w:rPr>
            </w:pPr>
            <w:r w:rsidRPr="00850A96">
              <w:rPr>
                <w:sz w:val="20"/>
              </w:rPr>
              <w:t>0.25</w:t>
            </w:r>
          </w:p>
        </w:tc>
      </w:tr>
      <w:tr w:rsidR="000153EF" w:rsidRPr="000A3C73" w:rsidTr="000153EF">
        <w:tc>
          <w:tcPr>
            <w:tcW w:w="7668" w:type="dxa"/>
          </w:tcPr>
          <w:p w:rsidR="001A5169" w:rsidRPr="00FC657B" w:rsidRDefault="001A5169" w:rsidP="001A5169">
            <w:pPr>
              <w:pStyle w:val="BodyText"/>
              <w:numPr>
                <w:ilvl w:val="0"/>
                <w:numId w:val="0"/>
              </w:numPr>
            </w:pPr>
            <w:r w:rsidRPr="000A3C73">
              <w:rPr>
                <w:rFonts w:asciiTheme="majorHAnsi" w:hAnsiTheme="majorHAnsi"/>
                <w:b/>
                <w:sz w:val="20"/>
              </w:rPr>
              <w:t xml:space="preserve">Outcome 4: </w:t>
            </w:r>
            <w:r w:rsidRPr="0089284E">
              <w:rPr>
                <w:rFonts w:asciiTheme="majorHAnsi" w:hAnsiTheme="majorHAnsi"/>
                <w:sz w:val="20"/>
              </w:rPr>
              <w:t>Stakeholders build upon ongoing trans-boundary cooperation in the Prespa Basin by strengthening the trans-boundary coordination mechanism and piloting trans-boundary conservation and water management</w:t>
            </w:r>
          </w:p>
        </w:tc>
        <w:tc>
          <w:tcPr>
            <w:tcW w:w="630" w:type="dxa"/>
          </w:tcPr>
          <w:p w:rsidR="001A5169" w:rsidRPr="00D77DF1" w:rsidRDefault="00A104B1" w:rsidP="001A5169">
            <w:pPr>
              <w:pStyle w:val="BodyText"/>
              <w:numPr>
                <w:ilvl w:val="0"/>
                <w:numId w:val="0"/>
              </w:numPr>
              <w:rPr>
                <w:sz w:val="20"/>
              </w:rPr>
            </w:pPr>
            <w:r w:rsidRPr="00FC657B">
              <w:rPr>
                <w:sz w:val="20"/>
              </w:rPr>
              <w:t>0.65</w:t>
            </w:r>
          </w:p>
        </w:tc>
        <w:tc>
          <w:tcPr>
            <w:tcW w:w="630" w:type="dxa"/>
          </w:tcPr>
          <w:p w:rsidR="001A5169" w:rsidRPr="00AA7D1F" w:rsidRDefault="00A104B1" w:rsidP="001A5169">
            <w:pPr>
              <w:pStyle w:val="BodyText"/>
              <w:numPr>
                <w:ilvl w:val="0"/>
                <w:numId w:val="0"/>
              </w:numPr>
              <w:rPr>
                <w:sz w:val="20"/>
              </w:rPr>
            </w:pPr>
            <w:r w:rsidRPr="00CD42DE">
              <w:rPr>
                <w:sz w:val="20"/>
              </w:rPr>
              <w:t>0.28</w:t>
            </w:r>
          </w:p>
        </w:tc>
        <w:tc>
          <w:tcPr>
            <w:tcW w:w="648" w:type="dxa"/>
          </w:tcPr>
          <w:p w:rsidR="001A5169" w:rsidRPr="00850A96" w:rsidRDefault="00A104B1" w:rsidP="001A5169">
            <w:pPr>
              <w:pStyle w:val="BodyText"/>
              <w:numPr>
                <w:ilvl w:val="0"/>
                <w:numId w:val="0"/>
              </w:numPr>
              <w:rPr>
                <w:sz w:val="20"/>
              </w:rPr>
            </w:pPr>
            <w:r w:rsidRPr="005E69C8">
              <w:rPr>
                <w:sz w:val="20"/>
              </w:rPr>
              <w:t>0.24</w:t>
            </w:r>
          </w:p>
        </w:tc>
      </w:tr>
      <w:tr w:rsidR="000153EF" w:rsidRPr="000A3C73" w:rsidTr="000153EF">
        <w:tc>
          <w:tcPr>
            <w:tcW w:w="7668" w:type="dxa"/>
          </w:tcPr>
          <w:p w:rsidR="001A5169" w:rsidRPr="0089284E" w:rsidRDefault="001A5169" w:rsidP="0089284E">
            <w:pPr>
              <w:pStyle w:val="BodyText"/>
              <w:numPr>
                <w:ilvl w:val="0"/>
                <w:numId w:val="0"/>
              </w:numPr>
            </w:pPr>
            <w:r w:rsidRPr="000A3C73">
              <w:rPr>
                <w:rFonts w:asciiTheme="majorHAnsi" w:hAnsiTheme="majorHAnsi"/>
                <w:b/>
                <w:sz w:val="20"/>
              </w:rPr>
              <w:t xml:space="preserve">Outcome 5: </w:t>
            </w:r>
            <w:r w:rsidRPr="002B5B37">
              <w:rPr>
                <w:rFonts w:asciiTheme="majorHAnsi" w:hAnsiTheme="majorHAnsi"/>
                <w:sz w:val="20"/>
              </w:rPr>
              <w:t>Lessons learned and adaptive management of project</w:t>
            </w:r>
          </w:p>
        </w:tc>
        <w:tc>
          <w:tcPr>
            <w:tcW w:w="630" w:type="dxa"/>
          </w:tcPr>
          <w:p w:rsidR="001A5169" w:rsidRPr="000A3C73" w:rsidRDefault="00A104B1" w:rsidP="001A5169">
            <w:pPr>
              <w:pStyle w:val="BodyText"/>
              <w:numPr>
                <w:ilvl w:val="0"/>
                <w:numId w:val="0"/>
              </w:numPr>
              <w:rPr>
                <w:sz w:val="20"/>
              </w:rPr>
            </w:pPr>
            <w:r w:rsidRPr="000A3C73">
              <w:rPr>
                <w:sz w:val="20"/>
              </w:rPr>
              <w:t>0.57</w:t>
            </w:r>
          </w:p>
        </w:tc>
        <w:tc>
          <w:tcPr>
            <w:tcW w:w="630" w:type="dxa"/>
          </w:tcPr>
          <w:p w:rsidR="001A5169" w:rsidRPr="000A3C73" w:rsidRDefault="00A104B1" w:rsidP="001A5169">
            <w:pPr>
              <w:pStyle w:val="BodyText"/>
              <w:numPr>
                <w:ilvl w:val="0"/>
                <w:numId w:val="0"/>
              </w:numPr>
              <w:rPr>
                <w:sz w:val="20"/>
              </w:rPr>
            </w:pPr>
            <w:r w:rsidRPr="000A3C73">
              <w:rPr>
                <w:sz w:val="20"/>
              </w:rPr>
              <w:t>0.21</w:t>
            </w:r>
          </w:p>
        </w:tc>
        <w:tc>
          <w:tcPr>
            <w:tcW w:w="648" w:type="dxa"/>
          </w:tcPr>
          <w:p w:rsidR="001A5169" w:rsidRPr="000A3C73" w:rsidRDefault="00A104B1" w:rsidP="001A5169">
            <w:pPr>
              <w:pStyle w:val="BodyText"/>
              <w:numPr>
                <w:ilvl w:val="0"/>
                <w:numId w:val="0"/>
              </w:numPr>
              <w:rPr>
                <w:sz w:val="20"/>
              </w:rPr>
            </w:pPr>
            <w:r w:rsidRPr="000A3C73">
              <w:rPr>
                <w:sz w:val="20"/>
              </w:rPr>
              <w:t>0.24</w:t>
            </w:r>
          </w:p>
        </w:tc>
      </w:tr>
    </w:tbl>
    <w:p w:rsidR="001C6EBB" w:rsidRPr="000A3C73" w:rsidRDefault="001C6EBB" w:rsidP="001C6EBB">
      <w:pPr>
        <w:pStyle w:val="BodyText"/>
        <w:numPr>
          <w:ilvl w:val="0"/>
          <w:numId w:val="0"/>
        </w:numPr>
      </w:pPr>
    </w:p>
    <w:p w:rsidR="00250E12" w:rsidRPr="000A3C73" w:rsidRDefault="003345F4" w:rsidP="00DD45FE">
      <w:pPr>
        <w:pStyle w:val="BodyText"/>
      </w:pPr>
      <w:r w:rsidRPr="000A3C73">
        <w:t xml:space="preserve">From the transboundary component and two national components the project spanned a large number of activities and areas of focus. Some of the key results are highlighted below. </w:t>
      </w:r>
    </w:p>
    <w:p w:rsidR="003345F4" w:rsidRPr="000A3C73" w:rsidRDefault="003345F4" w:rsidP="00DD45FE">
      <w:pPr>
        <w:pStyle w:val="BodyText"/>
        <w:rPr>
          <w:u w:val="single"/>
        </w:rPr>
      </w:pPr>
      <w:r w:rsidRPr="000A3C73">
        <w:rPr>
          <w:u w:val="single"/>
        </w:rPr>
        <w:t xml:space="preserve">Transboundary: </w:t>
      </w:r>
    </w:p>
    <w:p w:rsidR="003345F4" w:rsidRPr="000A3C73" w:rsidRDefault="003345F4" w:rsidP="0072073F">
      <w:pPr>
        <w:pStyle w:val="BodyText"/>
        <w:numPr>
          <w:ilvl w:val="1"/>
          <w:numId w:val="2"/>
        </w:numPr>
        <w:ind w:left="1440"/>
      </w:pPr>
      <w:r w:rsidRPr="000A3C73">
        <w:t>A 2010 tri-lateral Agreement on the Protection and Sustainable Development of the Prespa Park Area, which has been ratified by Albanian, Macedonia, and the EU</w:t>
      </w:r>
      <w:r w:rsidR="00B63CE7" w:rsidRPr="000A3C73">
        <w:t xml:space="preserve"> Parliament</w:t>
      </w:r>
    </w:p>
    <w:p w:rsidR="003345F4" w:rsidRPr="000A3C73" w:rsidRDefault="003345F4" w:rsidP="0072073F">
      <w:pPr>
        <w:pStyle w:val="BodyText"/>
        <w:numPr>
          <w:ilvl w:val="1"/>
          <w:numId w:val="2"/>
        </w:numPr>
        <w:ind w:left="1440"/>
      </w:pPr>
      <w:r w:rsidRPr="000A3C73">
        <w:t>Production of a proposal for a transboundary monitoring system for Prespa basin</w:t>
      </w:r>
      <w:r w:rsidR="0016006D" w:rsidRPr="000A3C73">
        <w:t>, with some pilot monitoring carried out</w:t>
      </w:r>
    </w:p>
    <w:p w:rsidR="003345F4" w:rsidRPr="000A3C73" w:rsidRDefault="003345F4" w:rsidP="0072073F">
      <w:pPr>
        <w:pStyle w:val="BodyText"/>
        <w:numPr>
          <w:ilvl w:val="1"/>
          <w:numId w:val="2"/>
        </w:numPr>
        <w:ind w:left="1440"/>
      </w:pPr>
      <w:r w:rsidRPr="000A3C73">
        <w:t xml:space="preserve">Production of </w:t>
      </w:r>
      <w:r w:rsidR="007B0959" w:rsidRPr="000A3C73">
        <w:t xml:space="preserve">five </w:t>
      </w:r>
      <w:r w:rsidRPr="000A3C73">
        <w:t>priority species and habitat conservation action plans</w:t>
      </w:r>
      <w:r w:rsidR="00DB6440" w:rsidRPr="000A3C73">
        <w:t xml:space="preserve"> for 2012-2016</w:t>
      </w:r>
    </w:p>
    <w:p w:rsidR="003345F4" w:rsidRPr="000A3C73" w:rsidRDefault="00DB6440" w:rsidP="0072073F">
      <w:pPr>
        <w:pStyle w:val="BodyText"/>
        <w:numPr>
          <w:ilvl w:val="1"/>
          <w:numId w:val="2"/>
        </w:numPr>
        <w:ind w:left="1440"/>
      </w:pPr>
      <w:r w:rsidRPr="000A3C73">
        <w:t>T</w:t>
      </w:r>
      <w:r w:rsidR="003345F4" w:rsidRPr="000A3C73">
        <w:t>ri-lateral sustainable tourism development strategy</w:t>
      </w:r>
      <w:r w:rsidRPr="000A3C73">
        <w:t xml:space="preserve"> for 2012-2016</w:t>
      </w:r>
      <w:r w:rsidR="003345F4" w:rsidRPr="000A3C73">
        <w:t xml:space="preserve"> that has been endorsed by the relevant municipalities in all three countries</w:t>
      </w:r>
    </w:p>
    <w:p w:rsidR="0016006D" w:rsidRPr="000A3C73" w:rsidRDefault="0016006D" w:rsidP="0072073F">
      <w:pPr>
        <w:pStyle w:val="BodyText"/>
        <w:numPr>
          <w:ilvl w:val="1"/>
          <w:numId w:val="2"/>
        </w:numPr>
        <w:ind w:left="1440"/>
      </w:pPr>
      <w:r w:rsidRPr="000A3C73">
        <w:t>A trans</w:t>
      </w:r>
      <w:r w:rsidR="00EA0C1C" w:rsidRPr="000A3C73">
        <w:t>boundary fisheries management plan</w:t>
      </w:r>
    </w:p>
    <w:p w:rsidR="002F3C29" w:rsidRPr="000A3C73" w:rsidRDefault="002F3C29" w:rsidP="0072073F">
      <w:pPr>
        <w:pStyle w:val="BodyText"/>
        <w:numPr>
          <w:ilvl w:val="1"/>
          <w:numId w:val="2"/>
        </w:numPr>
        <w:ind w:left="1440"/>
      </w:pPr>
      <w:r w:rsidRPr="000A3C73">
        <w:t>Production of numerous external communication materials highlighting the project activities and importance of strengthening transboundary integrated ecosystem management in the Prespa basin</w:t>
      </w:r>
    </w:p>
    <w:p w:rsidR="000C6035" w:rsidRPr="000A3C73" w:rsidRDefault="00A744EE" w:rsidP="00DD45FE">
      <w:pPr>
        <w:pStyle w:val="BodyText"/>
        <w:rPr>
          <w:u w:val="single"/>
        </w:rPr>
      </w:pPr>
      <w:r w:rsidRPr="000A3C73">
        <w:rPr>
          <w:u w:val="single"/>
        </w:rPr>
        <w:t>Albania:</w:t>
      </w:r>
    </w:p>
    <w:p w:rsidR="000C6035" w:rsidRPr="000A3C73" w:rsidRDefault="00CE64B0" w:rsidP="0072073F">
      <w:pPr>
        <w:pStyle w:val="BodyText"/>
        <w:numPr>
          <w:ilvl w:val="1"/>
          <w:numId w:val="2"/>
        </w:numPr>
        <w:ind w:left="1440"/>
      </w:pPr>
      <w:r w:rsidRPr="000A3C73">
        <w:t>Establishment of the Prespa National Park Management Committee</w:t>
      </w:r>
    </w:p>
    <w:p w:rsidR="00737B51" w:rsidRPr="000A3C73" w:rsidRDefault="00737B51" w:rsidP="0072073F">
      <w:pPr>
        <w:pStyle w:val="BodyText"/>
        <w:numPr>
          <w:ilvl w:val="1"/>
          <w:numId w:val="2"/>
        </w:numPr>
        <w:ind w:left="1440"/>
      </w:pPr>
      <w:r w:rsidRPr="000A3C73">
        <w:t xml:space="preserve">Implementation of </w:t>
      </w:r>
      <w:r w:rsidR="00CE64B0" w:rsidRPr="000A3C73">
        <w:t>Local Environmental Action Plans in Liqenas and Proger communes</w:t>
      </w:r>
    </w:p>
    <w:p w:rsidR="000C6035" w:rsidRPr="000A3C73" w:rsidRDefault="00CE64B0" w:rsidP="0072073F">
      <w:pPr>
        <w:pStyle w:val="BodyText"/>
        <w:numPr>
          <w:ilvl w:val="1"/>
          <w:numId w:val="2"/>
        </w:numPr>
        <w:ind w:left="1440"/>
      </w:pPr>
      <w:r w:rsidRPr="000A3C73">
        <w:t>Numerous activities at the community level supporting increased education and awareness, capacity development, and pilot ecosystem management activities</w:t>
      </w:r>
    </w:p>
    <w:p w:rsidR="00815FBE" w:rsidRPr="000A3C73" w:rsidRDefault="00815FBE" w:rsidP="0072073F">
      <w:pPr>
        <w:pStyle w:val="BodyText"/>
        <w:numPr>
          <w:ilvl w:val="1"/>
          <w:numId w:val="2"/>
        </w:numPr>
        <w:ind w:left="1440"/>
      </w:pPr>
      <w:r w:rsidRPr="000A3C73">
        <w:t>Establishment and capacity development of local resource users associations</w:t>
      </w:r>
    </w:p>
    <w:p w:rsidR="00815FBE" w:rsidRPr="000A3C73" w:rsidRDefault="00815FBE" w:rsidP="0072073F">
      <w:pPr>
        <w:pStyle w:val="BodyText"/>
        <w:numPr>
          <w:ilvl w:val="1"/>
          <w:numId w:val="2"/>
        </w:numPr>
        <w:ind w:left="1440"/>
      </w:pPr>
      <w:r w:rsidRPr="000A3C73">
        <w:t>Improved agricultural practices to reduce agricultural inputs (though baseline levels were low to begin with)</w:t>
      </w:r>
    </w:p>
    <w:p w:rsidR="000C6035" w:rsidRPr="000A3C73" w:rsidRDefault="00A744EE" w:rsidP="00A744EE">
      <w:pPr>
        <w:pStyle w:val="BodyText"/>
      </w:pPr>
      <w:r w:rsidRPr="000A3C73">
        <w:rPr>
          <w:u w:val="single"/>
        </w:rPr>
        <w:t>Macedonia</w:t>
      </w:r>
      <w:r w:rsidRPr="000A3C73">
        <w:t>:</w:t>
      </w:r>
    </w:p>
    <w:p w:rsidR="00A744EE" w:rsidRPr="000A3C73" w:rsidRDefault="00A744EE" w:rsidP="0072073F">
      <w:pPr>
        <w:pStyle w:val="BodyText"/>
        <w:numPr>
          <w:ilvl w:val="1"/>
          <w:numId w:val="2"/>
        </w:numPr>
        <w:ind w:left="1440"/>
      </w:pPr>
      <w:r w:rsidRPr="000A3C73">
        <w:t>Development of a Macedonian Pr</w:t>
      </w:r>
      <w:r w:rsidR="00753EBB" w:rsidRPr="000A3C73">
        <w:t xml:space="preserve">espa Watershed Management Plan, which established a model for water basin management in Macedonia in line with the EU Water Framework Directive, </w:t>
      </w:r>
      <w:r w:rsidRPr="000A3C73">
        <w:t xml:space="preserve">with </w:t>
      </w:r>
      <w:r w:rsidR="00753EBB" w:rsidRPr="000A3C73">
        <w:t xml:space="preserve">implementation </w:t>
      </w:r>
      <w:r w:rsidRPr="000A3C73">
        <w:t>initiated with significant additional donor support</w:t>
      </w:r>
    </w:p>
    <w:p w:rsidR="00A744EE" w:rsidRPr="000A3C73" w:rsidRDefault="00A744EE" w:rsidP="0072073F">
      <w:pPr>
        <w:pStyle w:val="BodyText"/>
        <w:numPr>
          <w:ilvl w:val="1"/>
          <w:numId w:val="2"/>
        </w:numPr>
        <w:ind w:left="1440"/>
      </w:pPr>
      <w:r w:rsidRPr="000A3C73">
        <w:t>Restoration of a portion of the Golema Reka tributary to Prespa Lake</w:t>
      </w:r>
    </w:p>
    <w:p w:rsidR="00A744EE" w:rsidRPr="000A3C73" w:rsidRDefault="00A744EE" w:rsidP="0072073F">
      <w:pPr>
        <w:pStyle w:val="BodyText"/>
        <w:numPr>
          <w:ilvl w:val="1"/>
          <w:numId w:val="2"/>
        </w:numPr>
        <w:ind w:left="1440"/>
      </w:pPr>
      <w:r w:rsidRPr="000A3C73">
        <w:t>Re-establishment and improved management of the Ezerani protected area</w:t>
      </w:r>
    </w:p>
    <w:p w:rsidR="00A744EE" w:rsidRPr="000A3C73" w:rsidRDefault="003736DF" w:rsidP="0072073F">
      <w:pPr>
        <w:pStyle w:val="BodyText"/>
        <w:numPr>
          <w:ilvl w:val="1"/>
          <w:numId w:val="2"/>
        </w:numPr>
        <w:ind w:left="1440"/>
      </w:pPr>
      <w:r w:rsidRPr="000A3C73">
        <w:t>Initiation of a system to reduce agricultural inputs, and appropriately dispose of agricultural waste</w:t>
      </w:r>
    </w:p>
    <w:p w:rsidR="00981530" w:rsidRPr="000A3C73" w:rsidRDefault="00981530" w:rsidP="00981530">
      <w:pPr>
        <w:pStyle w:val="BodyText"/>
        <w:numPr>
          <w:ilvl w:val="1"/>
          <w:numId w:val="2"/>
        </w:numPr>
        <w:ind w:left="1440"/>
      </w:pPr>
      <w:r w:rsidRPr="000A3C73">
        <w:t>Establishment of a “Natural Capital Resource Center” to support community engagement in sustainable development for Prespa</w:t>
      </w:r>
    </w:p>
    <w:p w:rsidR="00165528" w:rsidRPr="000A3C73" w:rsidRDefault="00165528" w:rsidP="0072073F">
      <w:pPr>
        <w:pStyle w:val="BodyText"/>
        <w:numPr>
          <w:ilvl w:val="1"/>
          <w:numId w:val="2"/>
        </w:numPr>
        <w:ind w:left="1440"/>
      </w:pPr>
      <w:r w:rsidRPr="000A3C73">
        <w:t>Introduction of Integrated Pollution Prevention and Control permitting</w:t>
      </w:r>
    </w:p>
    <w:p w:rsidR="00815FBE" w:rsidRPr="000A3C73" w:rsidRDefault="00815FBE" w:rsidP="00815FBE">
      <w:pPr>
        <w:pStyle w:val="BodyText"/>
        <w:numPr>
          <w:ilvl w:val="1"/>
          <w:numId w:val="2"/>
        </w:numPr>
        <w:ind w:left="1440"/>
      </w:pPr>
      <w:r w:rsidRPr="000A3C73">
        <w:t>Establishment and capacity development of local resource users associations</w:t>
      </w:r>
    </w:p>
    <w:p w:rsidR="00B41E00" w:rsidRPr="00FC657B" w:rsidRDefault="00B41E00" w:rsidP="005371F3">
      <w:pPr>
        <w:pStyle w:val="Heading3"/>
        <w:ind w:left="1440"/>
      </w:pPr>
      <w:bookmarkStart w:id="94" w:name="_Ref198362917"/>
      <w:bookmarkStart w:id="95" w:name="_Toc152154280"/>
      <w:bookmarkStart w:id="96" w:name="_Ref194895371"/>
      <w:bookmarkStart w:id="97" w:name="_Ref194900929"/>
      <w:bookmarkStart w:id="98" w:name="_Ref194911270"/>
      <w:bookmarkStart w:id="99" w:name="_Ref198366568"/>
      <w:bookmarkStart w:id="100" w:name="_Toc238551072"/>
      <w:r w:rsidRPr="000A3C73">
        <w:t>Outcome 1:</w:t>
      </w:r>
      <w:bookmarkEnd w:id="94"/>
      <w:bookmarkEnd w:id="95"/>
      <w:bookmarkEnd w:id="96"/>
      <w:bookmarkEnd w:id="97"/>
      <w:bookmarkEnd w:id="98"/>
      <w:bookmarkEnd w:id="99"/>
      <w:r w:rsidR="00982CCB">
        <w:t xml:space="preserve"> </w:t>
      </w:r>
      <w:r w:rsidR="005F6CA2" w:rsidRPr="0089284E">
        <w:t>Stakeholders strengthen legal and regulatory enabling environment and establish land and water use management basis for maintaining and restoring ecosystem health in the Prespa Lakes Basin</w:t>
      </w:r>
      <w:bookmarkEnd w:id="100"/>
    </w:p>
    <w:p w:rsidR="00401455" w:rsidRPr="005E69C8" w:rsidRDefault="00174484" w:rsidP="00401455">
      <w:pPr>
        <w:pStyle w:val="BodyText"/>
      </w:pPr>
      <w:r w:rsidRPr="00FC657B">
        <w:t xml:space="preserve">Outcome 1 was successfully achieved, and completion is rated </w:t>
      </w:r>
      <w:r w:rsidR="00686FAB" w:rsidRPr="00D77DF1">
        <w:rPr>
          <w:b/>
          <w:i/>
          <w:u w:val="single"/>
        </w:rPr>
        <w:t>highly s</w:t>
      </w:r>
      <w:r w:rsidRPr="00CD42DE">
        <w:rPr>
          <w:b/>
          <w:i/>
          <w:u w:val="single"/>
        </w:rPr>
        <w:t>atisfactory</w:t>
      </w:r>
      <w:r w:rsidRPr="00AA7D1F">
        <w:rPr>
          <w:b/>
          <w:u w:val="single"/>
        </w:rPr>
        <w:t>.</w:t>
      </w:r>
    </w:p>
    <w:p w:rsidR="00A94284" w:rsidRPr="002C744B" w:rsidRDefault="00A94284" w:rsidP="00A94284">
      <w:pPr>
        <w:pStyle w:val="BodyText"/>
        <w:rPr>
          <w:rFonts w:cs="Arial"/>
        </w:rPr>
      </w:pPr>
      <w:r w:rsidRPr="00850A96">
        <w:rPr>
          <w:b/>
          <w:bCs/>
          <w:i/>
          <w:u w:val="single"/>
        </w:rPr>
        <w:t>Output 1.1</w:t>
      </w:r>
      <w:r w:rsidR="007E1E93" w:rsidRPr="008B7E9A">
        <w:rPr>
          <w:i/>
          <w:u w:val="single"/>
        </w:rPr>
        <w:t>In</w:t>
      </w:r>
      <w:r w:rsidR="007E1E93" w:rsidRPr="000126EE">
        <w:rPr>
          <w:i/>
          <w:u w:val="single"/>
        </w:rPr>
        <w:t>tegrated land-use (s</w:t>
      </w:r>
      <w:r w:rsidRPr="00B71D27">
        <w:rPr>
          <w:i/>
          <w:u w:val="single"/>
        </w:rPr>
        <w:t xml:space="preserve">patial </w:t>
      </w:r>
      <w:r w:rsidR="007E1E93" w:rsidRPr="00595792">
        <w:rPr>
          <w:i/>
          <w:u w:val="single"/>
        </w:rPr>
        <w:t>p</w:t>
      </w:r>
      <w:r w:rsidR="00E45BF5" w:rsidRPr="00602E30">
        <w:rPr>
          <w:i/>
          <w:u w:val="single"/>
        </w:rPr>
        <w:t>l</w:t>
      </w:r>
      <w:r w:rsidRPr="002A69B7">
        <w:rPr>
          <w:i/>
          <w:u w:val="single"/>
        </w:rPr>
        <w:t>an) plan for MK-Prespa and LEAP for AL-Prespa</w:t>
      </w:r>
    </w:p>
    <w:tbl>
      <w:tblPr>
        <w:tblStyle w:val="TableGrid"/>
        <w:tblW w:w="0" w:type="auto"/>
        <w:tblLook w:val="04A0"/>
      </w:tblPr>
      <w:tblGrid>
        <w:gridCol w:w="1567"/>
        <w:gridCol w:w="8009"/>
      </w:tblGrid>
      <w:tr w:rsidR="00A94284" w:rsidRPr="000A3C73" w:rsidTr="00A94284">
        <w:tc>
          <w:tcPr>
            <w:tcW w:w="558" w:type="dxa"/>
          </w:tcPr>
          <w:p w:rsidR="00A94284" w:rsidRPr="00C56966" w:rsidRDefault="00A94284" w:rsidP="00A94284">
            <w:pPr>
              <w:pStyle w:val="BodyText"/>
              <w:numPr>
                <w:ilvl w:val="0"/>
                <w:numId w:val="0"/>
              </w:numPr>
              <w:rPr>
                <w:sz w:val="22"/>
              </w:rPr>
            </w:pPr>
            <w:r w:rsidRPr="00C56966">
              <w:rPr>
                <w:sz w:val="22"/>
              </w:rPr>
              <w:t>Transboundary</w:t>
            </w:r>
          </w:p>
        </w:tc>
        <w:tc>
          <w:tcPr>
            <w:tcW w:w="9018" w:type="dxa"/>
          </w:tcPr>
          <w:p w:rsidR="00A94284" w:rsidRPr="000A3C73" w:rsidRDefault="009951A4" w:rsidP="00A94284">
            <w:pPr>
              <w:pStyle w:val="BodyText"/>
              <w:numPr>
                <w:ilvl w:val="0"/>
                <w:numId w:val="0"/>
              </w:numPr>
              <w:rPr>
                <w:sz w:val="22"/>
              </w:rPr>
            </w:pPr>
            <w:r w:rsidRPr="002D3949">
              <w:rPr>
                <w:sz w:val="22"/>
              </w:rPr>
              <w:t>N/A</w:t>
            </w:r>
          </w:p>
        </w:tc>
      </w:tr>
      <w:tr w:rsidR="00A94284" w:rsidRPr="000A3C73" w:rsidTr="00A94284">
        <w:tc>
          <w:tcPr>
            <w:tcW w:w="558" w:type="dxa"/>
          </w:tcPr>
          <w:p w:rsidR="00A94284" w:rsidRPr="000A3C73" w:rsidRDefault="00A94284" w:rsidP="00A94284">
            <w:pPr>
              <w:pStyle w:val="BodyText"/>
              <w:numPr>
                <w:ilvl w:val="0"/>
                <w:numId w:val="0"/>
              </w:numPr>
              <w:rPr>
                <w:sz w:val="22"/>
              </w:rPr>
            </w:pPr>
            <w:r w:rsidRPr="000A3C73">
              <w:rPr>
                <w:sz w:val="22"/>
              </w:rPr>
              <w:t>Albania</w:t>
            </w:r>
          </w:p>
        </w:tc>
        <w:tc>
          <w:tcPr>
            <w:tcW w:w="9018" w:type="dxa"/>
          </w:tcPr>
          <w:p w:rsidR="00A94284" w:rsidRPr="000A3C73" w:rsidRDefault="0045197B" w:rsidP="00CC53A0">
            <w:pPr>
              <w:pStyle w:val="BodyText"/>
              <w:numPr>
                <w:ilvl w:val="0"/>
                <w:numId w:val="0"/>
              </w:numPr>
              <w:rPr>
                <w:sz w:val="22"/>
              </w:rPr>
            </w:pPr>
            <w:r w:rsidRPr="000A3C73">
              <w:rPr>
                <w:sz w:val="22"/>
              </w:rPr>
              <w:t xml:space="preserve">Since its start, the project work focused on the preparation of the LEAPs for Liqenas and Proger communes </w:t>
            </w:r>
            <w:r w:rsidR="00CC53A0" w:rsidRPr="000A3C73">
              <w:rPr>
                <w:sz w:val="22"/>
              </w:rPr>
              <w:t>that</w:t>
            </w:r>
            <w:r w:rsidRPr="000A3C73">
              <w:rPr>
                <w:sz w:val="22"/>
              </w:rPr>
              <w:t xml:space="preserve"> are now endorsed upon decisions of the respective commune’s councils in December 2007 by the respective authorities, with clear references on need for spatial planning assessment and master planning. The Assessment of spatial plan in Prespa was accomplished in 2010and the ToR for general master plan are prepared. The process is accomplished under the guidance of the Regional Environment</w:t>
            </w:r>
            <w:r w:rsidR="00753EBB" w:rsidRPr="000A3C73">
              <w:rPr>
                <w:sz w:val="22"/>
              </w:rPr>
              <w:t>al</w:t>
            </w:r>
            <w:r w:rsidRPr="000A3C73">
              <w:rPr>
                <w:sz w:val="22"/>
              </w:rPr>
              <w:t xml:space="preserve"> Center (REC) and with full participation of the local community and authorities. During the plans’ development stage several activities have been carried out as trainings, publication of materials </w:t>
            </w:r>
            <w:r w:rsidR="00CC53A0" w:rsidRPr="000A3C73">
              <w:rPr>
                <w:sz w:val="22"/>
              </w:rPr>
              <w:t>that</w:t>
            </w:r>
            <w:r w:rsidRPr="000A3C73">
              <w:rPr>
                <w:sz w:val="22"/>
              </w:rPr>
              <w:t xml:space="preserve"> contributed in the comprehensive participation.</w:t>
            </w:r>
          </w:p>
        </w:tc>
      </w:tr>
      <w:tr w:rsidR="00A94284" w:rsidRPr="000A3C73" w:rsidTr="00A94284">
        <w:tc>
          <w:tcPr>
            <w:tcW w:w="558" w:type="dxa"/>
          </w:tcPr>
          <w:p w:rsidR="00A94284" w:rsidRPr="000A3C73" w:rsidRDefault="00A94284" w:rsidP="00A94284">
            <w:pPr>
              <w:pStyle w:val="BodyText"/>
              <w:numPr>
                <w:ilvl w:val="0"/>
                <w:numId w:val="0"/>
              </w:numPr>
              <w:rPr>
                <w:sz w:val="22"/>
              </w:rPr>
            </w:pPr>
            <w:r w:rsidRPr="000A3C73">
              <w:rPr>
                <w:sz w:val="22"/>
              </w:rPr>
              <w:t>FYR Macedonia</w:t>
            </w:r>
          </w:p>
        </w:tc>
        <w:tc>
          <w:tcPr>
            <w:tcW w:w="9018" w:type="dxa"/>
          </w:tcPr>
          <w:p w:rsidR="00A94284" w:rsidRPr="000A3C73" w:rsidRDefault="00216C69" w:rsidP="005747FD">
            <w:pPr>
              <w:pStyle w:val="BodyText"/>
              <w:numPr>
                <w:ilvl w:val="0"/>
                <w:numId w:val="0"/>
              </w:numPr>
              <w:rPr>
                <w:sz w:val="22"/>
              </w:rPr>
            </w:pPr>
            <w:r w:rsidRPr="000A3C73">
              <w:rPr>
                <w:sz w:val="22"/>
                <w:lang w:eastAsia="ru-RU"/>
              </w:rPr>
              <w:t>The p</w:t>
            </w:r>
            <w:r w:rsidR="00A94284" w:rsidRPr="000A3C73">
              <w:rPr>
                <w:sz w:val="22"/>
                <w:lang w:eastAsia="ru-RU"/>
              </w:rPr>
              <w:t>roject established a new methodology and criteria for participatory preparation of spatial planning documents incorporating ecosystem conservation objectives.</w:t>
            </w:r>
            <w:r w:rsidR="00A94284" w:rsidRPr="000A3C73">
              <w:rPr>
                <w:rFonts w:cs="Arial"/>
                <w:sz w:val="22"/>
              </w:rPr>
              <w:t xml:space="preserve"> Following a thorough and systematic review of the spatial planning system in the country, a new spatial planning methodology and Terms of Reference for a new spatial (land-use) plan for Prespa have been developed through direct involvement of all key actors in the spatial planning sector. </w:t>
            </w:r>
            <w:r w:rsidR="00A94284" w:rsidRPr="000A3C73">
              <w:rPr>
                <w:sz w:val="22"/>
                <w:lang w:eastAsia="ru-RU"/>
              </w:rPr>
              <w:t>However, the adoption of the new Law on Waters in the country brought in some changes in the water and land-use system</w:t>
            </w:r>
            <w:r w:rsidR="00753EBB" w:rsidRPr="000A3C73">
              <w:rPr>
                <w:sz w:val="22"/>
                <w:lang w:eastAsia="ru-RU"/>
              </w:rPr>
              <w:t>,</w:t>
            </w:r>
            <w:r w:rsidR="00A94284" w:rsidRPr="000A3C73">
              <w:rPr>
                <w:sz w:val="22"/>
                <w:lang w:eastAsia="ru-RU"/>
              </w:rPr>
              <w:t xml:space="preserve"> which also changed the project baseline. Namely, the EU Water Framework Directive-based </w:t>
            </w:r>
            <w:bookmarkStart w:id="101" w:name="OLE_LINK1"/>
            <w:r w:rsidR="00A94284" w:rsidRPr="000A3C73">
              <w:rPr>
                <w:sz w:val="22"/>
                <w:lang w:eastAsia="ru-RU"/>
              </w:rPr>
              <w:t>Integrated River Basin Management (IRBM)</w:t>
            </w:r>
            <w:bookmarkEnd w:id="101"/>
            <w:r w:rsidR="00A94284" w:rsidRPr="000A3C73">
              <w:rPr>
                <w:sz w:val="22"/>
                <w:lang w:eastAsia="ru-RU"/>
              </w:rPr>
              <w:t xml:space="preserve"> concept introduced by</w:t>
            </w:r>
            <w:r w:rsidR="005747FD" w:rsidRPr="000A3C73">
              <w:rPr>
                <w:sz w:val="22"/>
                <w:lang w:eastAsia="ru-RU"/>
              </w:rPr>
              <w:t xml:space="preserve"> the law combined the water and land</w:t>
            </w:r>
            <w:r w:rsidR="00A94284" w:rsidRPr="000A3C73">
              <w:rPr>
                <w:sz w:val="22"/>
                <w:lang w:eastAsia="ru-RU"/>
              </w:rPr>
              <w:t xml:space="preserve">-use management aspects in the newly required river basin/watershed management plans. Because of the high degree of overlapping of the spatial plans and the watershed (river basin) management plans, but also considering the size of the investment for developing the suggested spatial plan for Prespa according to the newly developed methodology, the idea </w:t>
            </w:r>
            <w:r w:rsidR="005747FD" w:rsidRPr="000A3C73">
              <w:rPr>
                <w:sz w:val="22"/>
                <w:lang w:eastAsia="ru-RU"/>
              </w:rPr>
              <w:t>was proposed of combining the W</w:t>
            </w:r>
            <w:r w:rsidR="00A94284" w:rsidRPr="000A3C73">
              <w:rPr>
                <w:sz w:val="22"/>
                <w:lang w:eastAsia="ru-RU"/>
              </w:rPr>
              <w:t xml:space="preserve">ater-use Management Plan </w:t>
            </w:r>
            <w:r w:rsidR="005747FD" w:rsidRPr="000A3C73">
              <w:rPr>
                <w:sz w:val="22"/>
                <w:lang w:eastAsia="ru-RU"/>
              </w:rPr>
              <w:t>(as initially planned) and the s</w:t>
            </w:r>
            <w:r w:rsidR="00A94284" w:rsidRPr="000A3C73">
              <w:rPr>
                <w:sz w:val="22"/>
                <w:lang w:eastAsia="ru-RU"/>
              </w:rPr>
              <w:t>patial</w:t>
            </w:r>
            <w:r w:rsidR="005747FD" w:rsidRPr="000A3C73">
              <w:rPr>
                <w:sz w:val="22"/>
                <w:lang w:eastAsia="ru-RU"/>
              </w:rPr>
              <w:t xml:space="preserve"> plan</w:t>
            </w:r>
            <w:r w:rsidR="00A94284" w:rsidRPr="000A3C73">
              <w:rPr>
                <w:sz w:val="22"/>
                <w:lang w:eastAsia="ru-RU"/>
              </w:rPr>
              <w:t xml:space="preserve"> into a single Watershed Management Pla</w:t>
            </w:r>
            <w:r w:rsidR="005747FD" w:rsidRPr="000A3C73">
              <w:rPr>
                <w:sz w:val="22"/>
                <w:lang w:eastAsia="ru-RU"/>
              </w:rPr>
              <w:t>n</w:t>
            </w:r>
            <w:r w:rsidR="00A94284" w:rsidRPr="000A3C73">
              <w:rPr>
                <w:sz w:val="22"/>
                <w:lang w:eastAsia="ru-RU"/>
              </w:rPr>
              <w:t xml:space="preserve">. Such a cost-effective approach </w:t>
            </w:r>
            <w:r w:rsidR="005747FD" w:rsidRPr="000A3C73">
              <w:rPr>
                <w:sz w:val="22"/>
                <w:lang w:eastAsia="ru-RU"/>
              </w:rPr>
              <w:t>was</w:t>
            </w:r>
            <w:r w:rsidR="00A94284" w:rsidRPr="000A3C73">
              <w:rPr>
                <w:sz w:val="22"/>
                <w:lang w:eastAsia="ru-RU"/>
              </w:rPr>
              <w:t xml:space="preserve"> considered to be far more acceptable for the </w:t>
            </w:r>
            <w:r w:rsidR="00CC53A0" w:rsidRPr="000A3C73">
              <w:rPr>
                <w:sz w:val="22"/>
                <w:lang w:eastAsia="ru-RU"/>
              </w:rPr>
              <w:t>project</w:t>
            </w:r>
            <w:r w:rsidR="00A94284" w:rsidRPr="000A3C73">
              <w:rPr>
                <w:sz w:val="22"/>
                <w:lang w:eastAsia="ru-RU"/>
              </w:rPr>
              <w:t xml:space="preserve"> than preparation of two separate plans pursuing similar objectives, particularly having in mind the budgetary constraints.</w:t>
            </w:r>
            <w:r w:rsidR="005747FD" w:rsidRPr="000A3C73">
              <w:rPr>
                <w:sz w:val="22"/>
                <w:lang w:eastAsia="ru-RU"/>
              </w:rPr>
              <w:t xml:space="preserve"> The resulting Watershed Management Plan for the Macedonian Prespa is further discussed under Output 1.3 below.</w:t>
            </w:r>
          </w:p>
        </w:tc>
      </w:tr>
    </w:tbl>
    <w:p w:rsidR="00197FD9" w:rsidRPr="000A3C73" w:rsidRDefault="00197FD9" w:rsidP="00A94284">
      <w:pPr>
        <w:pStyle w:val="BodyText"/>
        <w:numPr>
          <w:ilvl w:val="0"/>
          <w:numId w:val="0"/>
        </w:numPr>
      </w:pPr>
    </w:p>
    <w:p w:rsidR="00A94284" w:rsidRPr="000A3C73" w:rsidRDefault="008269C6" w:rsidP="00A94284">
      <w:pPr>
        <w:pStyle w:val="BodyText"/>
        <w:numPr>
          <w:ilvl w:val="0"/>
          <w:numId w:val="0"/>
        </w:numPr>
      </w:pPr>
      <w:r>
        <w:rPr>
          <w:noProof/>
        </w:rPr>
      </w:r>
      <w:r>
        <w:rPr>
          <w:noProof/>
        </w:rPr>
        <w:pict>
          <v:shapetype id="_x0000_t202" coordsize="21600,21600" o:spt="202" path="m,l,21600r21600,l21600,xe">
            <v:stroke joinstyle="miter"/>
            <v:path gradientshapeok="t" o:connecttype="rect"/>
          </v:shapetype>
          <v:shape id="Text Box 9" o:spid="_x0000_s1031" type="#_x0000_t202" style="width:468pt;height:12.4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" stroked="f">
            <v:path arrowok="t"/>
            <v:textbox inset="0,0,0,0">
              <w:txbxContent>
                <w:p w:rsidR="00B43AFE" w:rsidRPr="002F07B6" w:rsidRDefault="00B43AFE" w:rsidP="00197FD9">
                  <w:pPr>
                    <w:pStyle w:val="Caption"/>
                    <w:rPr>
                      <w:noProof/>
                    </w:rPr>
                  </w:pPr>
                  <w:r>
                    <w:t xml:space="preserve">Box </w:t>
                  </w:r>
                  <w:fldSimple w:instr=" SEQ Box \* ARABIC ">
                    <w:r>
                      <w:rPr>
                        <w:noProof/>
                      </w:rPr>
                      <w:t>1</w:t>
                    </w:r>
                  </w:fldSimple>
                  <w:r>
                    <w:t xml:space="preserve"> FYR Macedonia Prespa Lake Watershed Management Plan</w:t>
                  </w:r>
                </w:p>
              </w:txbxContent>
            </v:textbox>
            <w10:anchorlock/>
          </v:shape>
        </w:pict>
      </w:r>
      <w:r>
        <w:rPr>
          <w:noProof/>
        </w:rPr>
        <w:pict>
          <v:shape id="Text Box 2" o:spid="_x0000_s1027" type="#_x0000_t202" style="position:absolute;left:0;text-align:left;margin-left:0;margin-top:23.15pt;width:468pt;height:612pt;z-index:251661312;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" fillcolor="#bfbfbf [2412]" strokecolor="black [3213]">
            <v:path arrowok="t"/>
            <v:textbox>
              <w:txbxContent>
                <w:p w:rsidR="00E66F9D" w:rsidRPr="00197FD9" w:rsidRDefault="00E66F9D" w:rsidP="00197FD9">
                  <w:pPr>
                    <w:widowControl w:val="0"/>
                    <w:spacing w:line="276" w:lineRule="auto"/>
                    <w:jc w:val="both"/>
                    <w:rPr>
                      <w:rFonts w:ascii="Calibri" w:hAnsi="Calibri"/>
                      <w:sz w:val="20"/>
                      <w:szCs w:val="20"/>
                    </w:rPr>
                  </w:pPr>
                  <w:r w:rsidRPr="00197FD9">
                    <w:rPr>
                      <w:rFonts w:ascii="Calibri" w:hAnsi="Calibri"/>
                      <w:sz w:val="20"/>
                      <w:szCs w:val="20"/>
                    </w:rPr>
                    <w:t>The Prespa Lakes WMP is the first watershed management plan prepared fully in accordance with the Macedonian Law on Waters of 2008, which itself is founded on the EU WFD and IRBM principles. Thus, the WMP preparation process, as well as the document itself, have established the basic guiding principles for development of other such plans and represent invaluable accomplishments for the country as a whole.</w:t>
                  </w:r>
                </w:p>
                <w:p w:rsidR="00E66F9D" w:rsidRPr="00197FD9" w:rsidRDefault="00E66F9D" w:rsidP="00197FD9">
                  <w:pPr>
                    <w:widowControl w:val="0"/>
                    <w:jc w:val="both"/>
                    <w:rPr>
                      <w:rFonts w:ascii="Calibri" w:hAnsi="Calibri"/>
                      <w:sz w:val="20"/>
                      <w:szCs w:val="20"/>
                    </w:rPr>
                  </w:pPr>
                </w:p>
                <w:p w:rsidR="00E66F9D" w:rsidRPr="00197FD9" w:rsidRDefault="00E66F9D" w:rsidP="00197FD9">
                  <w:pPr>
                    <w:widowControl w:val="0"/>
                    <w:spacing w:line="276" w:lineRule="auto"/>
                    <w:jc w:val="both"/>
                    <w:rPr>
                      <w:rFonts w:ascii="Calibri" w:hAnsi="Calibri"/>
                      <w:sz w:val="20"/>
                      <w:szCs w:val="20"/>
                    </w:rPr>
                  </w:pPr>
                  <w:r w:rsidRPr="00197FD9">
                    <w:rPr>
                      <w:rFonts w:ascii="Calibri" w:hAnsi="Calibri"/>
                      <w:sz w:val="20"/>
                      <w:szCs w:val="20"/>
                    </w:rPr>
                    <w:t>The Prespa Lakes Basin Watershed belongs to the larger Crni Drim River basin; the Law on Waters of 2008 stipulates that watershed (sub-basin) management plans should be included within the major river basin plans to which these sub-basins belong. Being the first watershed management plan under the Law on Waters of 2008, the Prespa Lake watershed management plan will be included in the Crni Drim river basin management plan.</w:t>
                  </w:r>
                </w:p>
                <w:p w:rsidR="00E66F9D" w:rsidRPr="00197FD9" w:rsidRDefault="00E66F9D" w:rsidP="00197FD9">
                  <w:pPr>
                    <w:widowControl w:val="0"/>
                    <w:jc w:val="both"/>
                    <w:rPr>
                      <w:rFonts w:ascii="Calibri" w:hAnsi="Calibri"/>
                      <w:sz w:val="20"/>
                      <w:szCs w:val="20"/>
                    </w:rPr>
                  </w:pPr>
                </w:p>
                <w:p w:rsidR="00E66F9D" w:rsidRPr="00197FD9" w:rsidRDefault="00E66F9D" w:rsidP="00197FD9">
                  <w:pPr>
                    <w:widowControl w:val="0"/>
                    <w:jc w:val="both"/>
                    <w:rPr>
                      <w:rFonts w:ascii="Calibri" w:hAnsi="Calibri"/>
                      <w:sz w:val="20"/>
                      <w:szCs w:val="20"/>
                    </w:rPr>
                  </w:pPr>
                  <w:r w:rsidRPr="00197FD9">
                    <w:rPr>
                      <w:rFonts w:ascii="Calibri" w:hAnsi="Calibri"/>
                      <w:sz w:val="20"/>
                      <w:szCs w:val="20"/>
                    </w:rPr>
                    <w:t>The activities and results of this pilot initiative are summarized below:</w:t>
                  </w:r>
                </w:p>
                <w:p w:rsidR="00E66F9D" w:rsidRPr="00197FD9" w:rsidRDefault="00E66F9D" w:rsidP="000A0F25">
                  <w:pPr>
                    <w:numPr>
                      <w:ilvl w:val="0"/>
                      <w:numId w:val="16"/>
                    </w:numPr>
                    <w:spacing w:after="60" w:line="276" w:lineRule="auto"/>
                    <w:ind w:left="272" w:hanging="272"/>
                    <w:jc w:val="both"/>
                    <w:rPr>
                      <w:rFonts w:ascii="Calibri" w:hAnsi="Calibri"/>
                      <w:b/>
                      <w:sz w:val="20"/>
                      <w:szCs w:val="20"/>
                    </w:rPr>
                  </w:pPr>
                  <w:r w:rsidRPr="00197FD9">
                    <w:rPr>
                      <w:rFonts w:ascii="Calibri" w:hAnsi="Calibri"/>
                      <w:sz w:val="20"/>
                      <w:szCs w:val="20"/>
                    </w:rPr>
                    <w:t xml:space="preserve">Initial 12-month comprehensive surveillance and monitoring of water quality and ecological status has been conducted for all the basin water bodies, based on which reference conditions have been established. </w:t>
                  </w:r>
                </w:p>
                <w:p w:rsidR="00E66F9D" w:rsidRPr="00197FD9" w:rsidRDefault="00E66F9D" w:rsidP="000A0F25">
                  <w:pPr>
                    <w:numPr>
                      <w:ilvl w:val="0"/>
                      <w:numId w:val="16"/>
                    </w:numPr>
                    <w:spacing w:after="60" w:line="276" w:lineRule="auto"/>
                    <w:ind w:left="272" w:hanging="272"/>
                    <w:jc w:val="both"/>
                    <w:rPr>
                      <w:rFonts w:ascii="Calibri" w:hAnsi="Calibri"/>
                      <w:b/>
                      <w:sz w:val="20"/>
                      <w:szCs w:val="20"/>
                    </w:rPr>
                  </w:pPr>
                  <w:r w:rsidRPr="00197FD9">
                    <w:rPr>
                      <w:rFonts w:ascii="Calibri" w:hAnsi="Calibri"/>
                      <w:sz w:val="20"/>
                      <w:szCs w:val="20"/>
                    </w:rPr>
                    <w:t>The pressures on water bodies from both natural and anthropogenic origins have been identified and extensively analyzed. These pressures include the input of pollutants (e.g. nutrients and hazardous sub</w:t>
                  </w:r>
                  <w:r w:rsidRPr="00197FD9">
                    <w:rPr>
                      <w:rFonts w:ascii="Calibri" w:hAnsi="Calibri"/>
                      <w:sz w:val="20"/>
                      <w:szCs w:val="20"/>
                    </w:rPr>
                    <w:softHyphen/>
                    <w:t>stances) and physical pressures on the water bodies (e.g. agriculture in the river corridor, drainage, watercourse maintenance, etc</w:t>
                  </w:r>
                  <w:r>
                    <w:rPr>
                      <w:rFonts w:ascii="Calibri" w:hAnsi="Calibri"/>
                      <w:sz w:val="20"/>
                      <w:szCs w:val="20"/>
                    </w:rPr>
                    <w:t>.</w:t>
                  </w:r>
                  <w:r w:rsidRPr="00197FD9">
                    <w:rPr>
                      <w:rFonts w:ascii="Calibri" w:hAnsi="Calibri"/>
                      <w:sz w:val="20"/>
                      <w:szCs w:val="20"/>
                    </w:rPr>
                    <w:t>).</w:t>
                  </w:r>
                </w:p>
                <w:p w:rsidR="00E66F9D" w:rsidRPr="00197FD9" w:rsidRDefault="00E66F9D" w:rsidP="000A0F25">
                  <w:pPr>
                    <w:numPr>
                      <w:ilvl w:val="0"/>
                      <w:numId w:val="16"/>
                    </w:numPr>
                    <w:spacing w:after="60" w:line="276" w:lineRule="auto"/>
                    <w:ind w:left="272" w:hanging="272"/>
                    <w:jc w:val="both"/>
                    <w:rPr>
                      <w:rFonts w:ascii="Calibri" w:hAnsi="Calibri"/>
                      <w:sz w:val="20"/>
                      <w:szCs w:val="20"/>
                    </w:rPr>
                  </w:pPr>
                  <w:r w:rsidRPr="00197FD9">
                    <w:rPr>
                      <w:rFonts w:ascii="Calibri" w:hAnsi="Calibri"/>
                      <w:sz w:val="20"/>
                      <w:szCs w:val="20"/>
                    </w:rPr>
                    <w:t>Existing monitoring activities have been analyzed and assessed for their compliance with the requirements of the Law on Waters of 2008 and other relevant national environmental laws and regulations. The absence of monitoring and data, the existing monitoring capacity and the organizational and financial aspects of required monitoring have also been analyzed in depth.</w:t>
                  </w:r>
                </w:p>
                <w:p w:rsidR="00E66F9D" w:rsidRPr="00197FD9" w:rsidRDefault="00E66F9D" w:rsidP="000A0F25">
                  <w:pPr>
                    <w:numPr>
                      <w:ilvl w:val="0"/>
                      <w:numId w:val="16"/>
                    </w:numPr>
                    <w:spacing w:after="60" w:line="276" w:lineRule="auto"/>
                    <w:ind w:left="272" w:hanging="272"/>
                    <w:jc w:val="both"/>
                    <w:rPr>
                      <w:rFonts w:ascii="Calibri" w:hAnsi="Calibri"/>
                      <w:sz w:val="20"/>
                      <w:szCs w:val="20"/>
                    </w:rPr>
                  </w:pPr>
                  <w:r w:rsidRPr="00197FD9">
                    <w:rPr>
                      <w:rFonts w:ascii="Calibri" w:hAnsi="Calibri"/>
                      <w:sz w:val="20"/>
                      <w:szCs w:val="20"/>
                    </w:rPr>
                    <w:t>As a result of the monitoring activities the status of all the water bodies in the Macedonian part of the Prespa basin has been determined. Environmental objectives and respective indicators, both for the general environment and for the individual water bodies in terms of their progress towards achieving good water status for all water bodies, have been identified.</w:t>
                  </w:r>
                </w:p>
                <w:p w:rsidR="00E66F9D" w:rsidRPr="00197FD9" w:rsidRDefault="00E66F9D" w:rsidP="000A0F25">
                  <w:pPr>
                    <w:numPr>
                      <w:ilvl w:val="0"/>
                      <w:numId w:val="16"/>
                    </w:numPr>
                    <w:spacing w:after="60" w:line="276" w:lineRule="auto"/>
                    <w:ind w:left="272" w:hanging="272"/>
                    <w:jc w:val="both"/>
                    <w:rPr>
                      <w:rFonts w:ascii="Calibri" w:hAnsi="Calibri"/>
                      <w:sz w:val="20"/>
                      <w:szCs w:val="20"/>
                    </w:rPr>
                  </w:pPr>
                  <w:r w:rsidRPr="00197FD9">
                    <w:rPr>
                      <w:rFonts w:ascii="Calibri" w:hAnsi="Calibri"/>
                      <w:sz w:val="20"/>
                      <w:szCs w:val="20"/>
                    </w:rPr>
                    <w:t>The economic use of water has also been analyzed, whereas the analysis has revealed significant problems regarding institutional setup and capacity, overall management deficiencies, deterioration of infrastructure, low- or no-cost recovery, and dire prospects for investment in the water sector.</w:t>
                  </w:r>
                </w:p>
                <w:p w:rsidR="00E66F9D" w:rsidRPr="00197FD9" w:rsidRDefault="00E66F9D" w:rsidP="000A0F25">
                  <w:pPr>
                    <w:numPr>
                      <w:ilvl w:val="0"/>
                      <w:numId w:val="16"/>
                    </w:numPr>
                    <w:spacing w:after="60" w:line="276" w:lineRule="auto"/>
                    <w:ind w:left="272" w:hanging="272"/>
                    <w:jc w:val="both"/>
                    <w:rPr>
                      <w:rFonts w:ascii="Calibri" w:hAnsi="Calibri"/>
                      <w:sz w:val="20"/>
                      <w:szCs w:val="20"/>
                    </w:rPr>
                  </w:pPr>
                  <w:r w:rsidRPr="00197FD9">
                    <w:rPr>
                      <w:rFonts w:ascii="Calibri" w:hAnsi="Calibri"/>
                      <w:sz w:val="20"/>
                      <w:szCs w:val="20"/>
                    </w:rPr>
                    <w:t>Based on problem analysis, a comprehensive Programme of Measures for achieving the set objectives has been developed. This consists of 45 measures aimed primarily at resolving technical and environmental issues and problems in the region.</w:t>
                  </w:r>
                </w:p>
                <w:p w:rsidR="00E66F9D" w:rsidRPr="00197FD9" w:rsidRDefault="00E66F9D" w:rsidP="000A0F25">
                  <w:pPr>
                    <w:numPr>
                      <w:ilvl w:val="0"/>
                      <w:numId w:val="16"/>
                    </w:numPr>
                    <w:spacing w:after="60" w:line="276" w:lineRule="auto"/>
                    <w:ind w:left="272" w:hanging="272"/>
                    <w:jc w:val="both"/>
                    <w:rPr>
                      <w:rFonts w:ascii="Calibri" w:hAnsi="Calibri"/>
                      <w:sz w:val="20"/>
                      <w:szCs w:val="20"/>
                    </w:rPr>
                  </w:pPr>
                  <w:r w:rsidRPr="00197FD9">
                    <w:rPr>
                      <w:rFonts w:ascii="Calibri" w:hAnsi="Calibri"/>
                      <w:sz w:val="20"/>
                      <w:szCs w:val="20"/>
                    </w:rPr>
                    <w:t>Three implementation strategies have been determined: Alternative 0 - Business as Usual Strategy; Alternative 2 - Water Framework Directive Implementation Strategy; and Alternative 1 - Realistic Implementation Strategy.</w:t>
                  </w:r>
                </w:p>
                <w:p w:rsidR="00E66F9D" w:rsidRPr="00197FD9" w:rsidRDefault="00E66F9D" w:rsidP="000A0F25">
                  <w:pPr>
                    <w:numPr>
                      <w:ilvl w:val="0"/>
                      <w:numId w:val="16"/>
                    </w:numPr>
                    <w:spacing w:after="60" w:line="276" w:lineRule="auto"/>
                    <w:ind w:left="272" w:hanging="272"/>
                    <w:jc w:val="both"/>
                    <w:rPr>
                      <w:rFonts w:ascii="Calibri" w:hAnsi="Calibri"/>
                      <w:sz w:val="20"/>
                      <w:szCs w:val="20"/>
                    </w:rPr>
                  </w:pPr>
                  <w:r w:rsidRPr="00197FD9">
                    <w:rPr>
                      <w:rFonts w:ascii="Calibri" w:hAnsi="Calibri"/>
                      <w:sz w:val="20"/>
                      <w:szCs w:val="20"/>
                    </w:rPr>
                    <w:t>Based on the assessments, it is recommended that the WMP processes be initiated with measures at local level as the priority for the first six-year period.</w:t>
                  </w:r>
                </w:p>
                <w:p w:rsidR="00E66F9D" w:rsidRPr="00197FD9" w:rsidRDefault="00E66F9D" w:rsidP="000A0F25">
                  <w:pPr>
                    <w:numPr>
                      <w:ilvl w:val="0"/>
                      <w:numId w:val="16"/>
                    </w:numPr>
                    <w:spacing w:after="60" w:line="276" w:lineRule="auto"/>
                    <w:ind w:left="272" w:hanging="272"/>
                    <w:jc w:val="both"/>
                    <w:rPr>
                      <w:rFonts w:ascii="Calibri" w:hAnsi="Calibri"/>
                      <w:sz w:val="20"/>
                      <w:szCs w:val="20"/>
                    </w:rPr>
                  </w:pPr>
                  <w:r w:rsidRPr="00197FD9">
                    <w:rPr>
                      <w:rFonts w:ascii="Calibri" w:hAnsi="Calibri"/>
                      <w:sz w:val="20"/>
                      <w:szCs w:val="20"/>
                    </w:rPr>
                    <w:t>An economic analysis has been made of the proposed Programme of Measures. Based on the previous analyses, an Implementation Schedule for the Prespa Watershed Management Plan has been proposed.</w:t>
                  </w:r>
                </w:p>
                <w:p w:rsidR="00E66F9D" w:rsidRPr="00197FD9" w:rsidRDefault="00E66F9D" w:rsidP="00197FD9">
                  <w:pPr>
                    <w:rPr>
                      <w:sz w:val="20"/>
                      <w:szCs w:val="20"/>
                    </w:rPr>
                  </w:pPr>
                  <w:r w:rsidRPr="00197FD9">
                    <w:rPr>
                      <w:rFonts w:ascii="Calibri" w:hAnsi="Calibri"/>
                      <w:sz w:val="20"/>
                      <w:szCs w:val="20"/>
                    </w:rPr>
                    <w:t xml:space="preserve">The comprehensiveness and the inclusive character of the WMP preparation process, along with successful promotion activities, have secured consequent funding that will be provided by the SDC for continuation of the ‘GEF Programme agenda’ in the following 6-year period </w:t>
                  </w:r>
                  <w:r w:rsidRPr="00197FD9">
                    <w:rPr>
                      <w:rFonts w:ascii="Calibri" w:hAnsi="Calibri"/>
                      <w:sz w:val="20"/>
                      <w:szCs w:val="20"/>
                      <w:lang w:val="mk-MK"/>
                    </w:rPr>
                    <w:t>(</w:t>
                  </w:r>
                  <w:r w:rsidRPr="00197FD9">
                    <w:rPr>
                      <w:rFonts w:ascii="Calibri" w:hAnsi="Calibri"/>
                      <w:sz w:val="20"/>
                      <w:szCs w:val="20"/>
                    </w:rPr>
                    <w:t>starting from</w:t>
                  </w:r>
                  <w:r>
                    <w:rPr>
                      <w:rFonts w:ascii="Calibri" w:hAnsi="Calibri"/>
                      <w:sz w:val="20"/>
                      <w:szCs w:val="20"/>
                    </w:rPr>
                    <w:t xml:space="preserve"> </w:t>
                  </w:r>
                  <w:r w:rsidRPr="00197FD9">
                    <w:rPr>
                      <w:rFonts w:ascii="Calibri" w:hAnsi="Calibri"/>
                      <w:sz w:val="20"/>
                      <w:szCs w:val="20"/>
                    </w:rPr>
                    <w:t>July</w:t>
                  </w:r>
                  <w:r w:rsidRPr="00197FD9">
                    <w:rPr>
                      <w:rFonts w:ascii="Calibri" w:hAnsi="Calibri"/>
                      <w:sz w:val="20"/>
                      <w:szCs w:val="20"/>
                      <w:lang w:val="mk-MK"/>
                    </w:rPr>
                    <w:t xml:space="preserve"> 2012).</w:t>
                  </w:r>
                </w:p>
              </w:txbxContent>
            </v:textbox>
            <w10:wrap type="square"/>
          </v:shape>
        </w:pict>
      </w:r>
    </w:p>
    <w:p w:rsidR="00197FD9" w:rsidRPr="000A3C73" w:rsidRDefault="00197FD9" w:rsidP="00A94284">
      <w:pPr>
        <w:pStyle w:val="BodyText"/>
        <w:numPr>
          <w:ilvl w:val="0"/>
          <w:numId w:val="0"/>
        </w:numPr>
      </w:pPr>
    </w:p>
    <w:p w:rsidR="00C0109F" w:rsidRPr="000A3C73" w:rsidRDefault="00A94284" w:rsidP="00174484">
      <w:pPr>
        <w:pStyle w:val="BodyText"/>
        <w:rPr>
          <w:bCs/>
          <w:i/>
          <w:u w:val="single"/>
        </w:rPr>
      </w:pPr>
      <w:r w:rsidRPr="000A3C73">
        <w:rPr>
          <w:b/>
          <w:bCs/>
          <w:i/>
          <w:u w:val="single"/>
        </w:rPr>
        <w:t>Output 1.2</w:t>
      </w:r>
      <w:r w:rsidRPr="000A3C73">
        <w:rPr>
          <w:bCs/>
          <w:i/>
          <w:u w:val="single"/>
        </w:rPr>
        <w:t xml:space="preserve"> Ecosystem health priorities mainstreamed into productive sector law and regulatory instruments.</w:t>
      </w:r>
    </w:p>
    <w:tbl>
      <w:tblPr>
        <w:tblStyle w:val="TableGrid"/>
        <w:tblW w:w="0" w:type="auto"/>
        <w:tblLook w:val="04A0"/>
      </w:tblPr>
      <w:tblGrid>
        <w:gridCol w:w="1567"/>
        <w:gridCol w:w="8009"/>
      </w:tblGrid>
      <w:tr w:rsidR="00A94284" w:rsidRPr="000A3C73" w:rsidTr="00A94284">
        <w:tc>
          <w:tcPr>
            <w:tcW w:w="558" w:type="dxa"/>
          </w:tcPr>
          <w:p w:rsidR="00A94284" w:rsidRPr="000A3C73" w:rsidRDefault="00A94284" w:rsidP="00A94284">
            <w:pPr>
              <w:pStyle w:val="BodyText"/>
              <w:numPr>
                <w:ilvl w:val="0"/>
                <w:numId w:val="0"/>
              </w:numPr>
              <w:rPr>
                <w:sz w:val="22"/>
              </w:rPr>
            </w:pPr>
            <w:r w:rsidRPr="000A3C73">
              <w:rPr>
                <w:sz w:val="22"/>
              </w:rPr>
              <w:t>Transboundary</w:t>
            </w:r>
          </w:p>
        </w:tc>
        <w:tc>
          <w:tcPr>
            <w:tcW w:w="9018" w:type="dxa"/>
          </w:tcPr>
          <w:p w:rsidR="00A94284" w:rsidRPr="000A3C73" w:rsidRDefault="001C6EBB" w:rsidP="00A94284">
            <w:pPr>
              <w:pStyle w:val="BodyText"/>
              <w:numPr>
                <w:ilvl w:val="0"/>
                <w:numId w:val="0"/>
              </w:numPr>
              <w:rPr>
                <w:sz w:val="22"/>
              </w:rPr>
            </w:pPr>
            <w:r w:rsidRPr="000A3C73">
              <w:rPr>
                <w:sz w:val="22"/>
              </w:rPr>
              <w:t>N/A</w:t>
            </w:r>
          </w:p>
        </w:tc>
      </w:tr>
      <w:tr w:rsidR="00A94284" w:rsidRPr="000A3C73" w:rsidTr="00A94284">
        <w:tc>
          <w:tcPr>
            <w:tcW w:w="558" w:type="dxa"/>
          </w:tcPr>
          <w:p w:rsidR="00A94284" w:rsidRPr="000A3C73" w:rsidRDefault="00A94284" w:rsidP="00A94284">
            <w:pPr>
              <w:pStyle w:val="BodyText"/>
              <w:numPr>
                <w:ilvl w:val="0"/>
                <w:numId w:val="0"/>
              </w:numPr>
              <w:rPr>
                <w:sz w:val="22"/>
              </w:rPr>
            </w:pPr>
            <w:r w:rsidRPr="000A3C73">
              <w:rPr>
                <w:sz w:val="22"/>
              </w:rPr>
              <w:t>Albania</w:t>
            </w:r>
          </w:p>
        </w:tc>
        <w:tc>
          <w:tcPr>
            <w:tcW w:w="9018" w:type="dxa"/>
          </w:tcPr>
          <w:p w:rsidR="007A2135" w:rsidRPr="000A3C73" w:rsidRDefault="00FC2EE7" w:rsidP="007A2135">
            <w:pPr>
              <w:pStyle w:val="BodyText"/>
              <w:numPr>
                <w:ilvl w:val="0"/>
                <w:numId w:val="0"/>
              </w:numPr>
              <w:rPr>
                <w:sz w:val="22"/>
              </w:rPr>
            </w:pPr>
            <w:r w:rsidRPr="000A3C73">
              <w:rPr>
                <w:sz w:val="22"/>
              </w:rPr>
              <w:t>Four</w:t>
            </w:r>
            <w:r w:rsidR="007A2135" w:rsidRPr="000A3C73">
              <w:rPr>
                <w:sz w:val="22"/>
              </w:rPr>
              <w:t xml:space="preserve"> sectoral reports are produced incorporating ecosystem health priorities into Water, Agriculture, Forest, and Fishery law</w:t>
            </w:r>
            <w:r w:rsidR="007A2135" w:rsidRPr="000A3C73">
              <w:rPr>
                <w:sz w:val="22"/>
                <w:vertAlign w:val="superscript"/>
              </w:rPr>
              <w:footnoteReference w:id="17"/>
            </w:r>
            <w:r w:rsidR="007A2135" w:rsidRPr="000A3C73">
              <w:rPr>
                <w:sz w:val="22"/>
              </w:rPr>
              <w:t xml:space="preserve">. Coordination with MoEFWA on new water law (as per WFD and aquis communitaire). </w:t>
            </w:r>
          </w:p>
          <w:p w:rsidR="007A2135" w:rsidRPr="000A3C73" w:rsidRDefault="007A2135" w:rsidP="007A2135">
            <w:pPr>
              <w:pStyle w:val="BodyText"/>
              <w:numPr>
                <w:ilvl w:val="0"/>
                <w:numId w:val="0"/>
              </w:numPr>
              <w:rPr>
                <w:sz w:val="22"/>
              </w:rPr>
            </w:pPr>
            <w:r w:rsidRPr="000A3C73">
              <w:rPr>
                <w:sz w:val="22"/>
              </w:rPr>
              <w:t xml:space="preserve">A complex set of activities have been carried out throughout implementation of the </w:t>
            </w:r>
            <w:r w:rsidR="00CC53A0" w:rsidRPr="000A3C73">
              <w:rPr>
                <w:sz w:val="22"/>
              </w:rPr>
              <w:t>project</w:t>
            </w:r>
            <w:r w:rsidRPr="000A3C73">
              <w:rPr>
                <w:sz w:val="22"/>
              </w:rPr>
              <w:t xml:space="preserve"> focused on mainstreaming ecosystem health priorities into the forestry, water and wastewater management, fishery, and agriculture sectors as well as in strengthening the sectoral policy and regulatory instruments in these productive sectors. </w:t>
            </w:r>
          </w:p>
          <w:p w:rsidR="00A94284" w:rsidRPr="000A3C73" w:rsidRDefault="007A2135" w:rsidP="007A2135">
            <w:pPr>
              <w:pStyle w:val="BodyText"/>
              <w:numPr>
                <w:ilvl w:val="0"/>
                <w:numId w:val="0"/>
              </w:numPr>
              <w:rPr>
                <w:sz w:val="22"/>
              </w:rPr>
            </w:pPr>
            <w:r w:rsidRPr="000A3C73">
              <w:rPr>
                <w:sz w:val="22"/>
              </w:rPr>
              <w:t>Species and habitats conservation plan is finalized and is under implementation. The monitoring system is developed and implemented through pilot monitoring activities. Further national monitoring activities implemented through local NGO during 2010-2011. The Monitoring report is delivered to Park administration and ministry.</w:t>
            </w:r>
          </w:p>
        </w:tc>
      </w:tr>
      <w:tr w:rsidR="00A94284" w:rsidRPr="000A3C73" w:rsidTr="00A94284">
        <w:tc>
          <w:tcPr>
            <w:tcW w:w="558" w:type="dxa"/>
          </w:tcPr>
          <w:p w:rsidR="00A94284" w:rsidRPr="000A3C73" w:rsidRDefault="00A94284" w:rsidP="00A94284">
            <w:pPr>
              <w:pStyle w:val="BodyText"/>
              <w:numPr>
                <w:ilvl w:val="0"/>
                <w:numId w:val="0"/>
              </w:numPr>
              <w:rPr>
                <w:sz w:val="22"/>
              </w:rPr>
            </w:pPr>
            <w:r w:rsidRPr="000A3C73">
              <w:rPr>
                <w:sz w:val="22"/>
              </w:rPr>
              <w:t>FYR Macedonia</w:t>
            </w:r>
          </w:p>
        </w:tc>
        <w:tc>
          <w:tcPr>
            <w:tcW w:w="9018" w:type="dxa"/>
          </w:tcPr>
          <w:p w:rsidR="00582FD5" w:rsidRPr="000A3C73" w:rsidRDefault="00582FD5" w:rsidP="00582FD5">
            <w:pPr>
              <w:widowControl w:val="0"/>
              <w:overflowPunct w:val="0"/>
              <w:autoSpaceDE w:val="0"/>
              <w:autoSpaceDN w:val="0"/>
              <w:adjustRightInd w:val="0"/>
              <w:spacing w:after="120"/>
              <w:jc w:val="both"/>
              <w:textAlignment w:val="baseline"/>
              <w:rPr>
                <w:rFonts w:ascii="Calibri" w:hAnsi="Calibri"/>
                <w:sz w:val="22"/>
                <w:szCs w:val="22"/>
                <w:lang w:eastAsia="ru-RU"/>
              </w:rPr>
            </w:pPr>
            <w:r w:rsidRPr="000A3C73">
              <w:rPr>
                <w:rFonts w:ascii="Calibri" w:hAnsi="Calibri"/>
                <w:sz w:val="22"/>
                <w:szCs w:val="22"/>
                <w:lang w:eastAsia="ru-RU"/>
              </w:rPr>
              <w:t xml:space="preserve">With the continuous efforts for harmonization of the national with the EU legislation, major parts of the state-of-the-art approaches and principles of integrated ecosystem management have been transposed to the modified legal acts. The </w:t>
            </w:r>
            <w:r w:rsidR="00CC53A0" w:rsidRPr="000A3C73">
              <w:rPr>
                <w:rFonts w:ascii="Calibri" w:hAnsi="Calibri"/>
                <w:sz w:val="22"/>
                <w:szCs w:val="22"/>
                <w:lang w:eastAsia="ru-RU"/>
              </w:rPr>
              <w:t>Prespa IEM project</w:t>
            </w:r>
            <w:r w:rsidRPr="000A3C73">
              <w:rPr>
                <w:rFonts w:ascii="Calibri" w:hAnsi="Calibri"/>
                <w:sz w:val="22"/>
                <w:szCs w:val="22"/>
                <w:lang w:eastAsia="ru-RU"/>
              </w:rPr>
              <w:t xml:space="preserve"> has supported the dissemination of such principles through piloting and scaling-up of some particular activities; details of such activities are given further.</w:t>
            </w:r>
          </w:p>
          <w:p w:rsidR="00A94284" w:rsidRPr="000A3C73" w:rsidRDefault="00582FD5" w:rsidP="00CC53A0">
            <w:pPr>
              <w:pStyle w:val="BodyText"/>
              <w:numPr>
                <w:ilvl w:val="0"/>
                <w:numId w:val="0"/>
              </w:numPr>
              <w:rPr>
                <w:sz w:val="22"/>
              </w:rPr>
            </w:pPr>
            <w:r w:rsidRPr="000A3C73">
              <w:rPr>
                <w:sz w:val="22"/>
                <w:szCs w:val="22"/>
                <w:lang w:eastAsia="ru-RU"/>
              </w:rPr>
              <w:t xml:space="preserve">A complex set of activities have been carried out throughout implementation of the </w:t>
            </w:r>
            <w:r w:rsidR="00CC53A0" w:rsidRPr="000A3C73">
              <w:rPr>
                <w:sz w:val="22"/>
                <w:szCs w:val="22"/>
                <w:lang w:eastAsia="ru-RU"/>
              </w:rPr>
              <w:t>project</w:t>
            </w:r>
            <w:r w:rsidRPr="000A3C73">
              <w:rPr>
                <w:sz w:val="22"/>
                <w:szCs w:val="22"/>
                <w:lang w:eastAsia="ru-RU"/>
              </w:rPr>
              <w:t xml:space="preserve"> focused on mainstreaming ecosystem health priorities into the forestry, water and wastewater management, fishery, and agriculture sectors as well as in strengthening the sectoral policy and regulatory instruments in these productive sectors. </w:t>
            </w:r>
            <w:r w:rsidR="00CC53A0" w:rsidRPr="000A3C73">
              <w:rPr>
                <w:sz w:val="22"/>
                <w:szCs w:val="22"/>
                <w:lang w:eastAsia="ru-RU"/>
              </w:rPr>
              <w:t>The project’s</w:t>
            </w:r>
            <w:r w:rsidRPr="000A3C73">
              <w:rPr>
                <w:sz w:val="22"/>
                <w:szCs w:val="22"/>
                <w:lang w:eastAsia="ru-RU"/>
              </w:rPr>
              <w:t xml:space="preserve"> support to the forestry sector has been designed around the concept of sustainable, ecosystem-oriented forest management at the lake basin scale. Water ecosystem issues have been incorporated within the Watershed Management Plan (described further) and training has been organized during the drafting process, mainly focused on the new watershed management approach, public participation during the public hearings, and capacity building on Strategic Environmental Assessment. Well-organized and effective training on Good Agricultural Practice (GAP) has been carried out. Furthermore, modern agrochemical laboratory has been established; pests and diseases monitoring system has been introduced; pilot projects on applying water saving irrigation techniques have been implemented, etc. More detailed information is provided further in the report.</w:t>
            </w:r>
          </w:p>
        </w:tc>
      </w:tr>
    </w:tbl>
    <w:p w:rsidR="00A94284" w:rsidRPr="000A3C73" w:rsidRDefault="00A94284" w:rsidP="00A94284">
      <w:pPr>
        <w:pStyle w:val="BodyText"/>
        <w:numPr>
          <w:ilvl w:val="0"/>
          <w:numId w:val="0"/>
        </w:numPr>
      </w:pPr>
    </w:p>
    <w:p w:rsidR="00A94284" w:rsidRPr="000A3C73" w:rsidRDefault="00846D6B" w:rsidP="00846D6B">
      <w:pPr>
        <w:pStyle w:val="BodyText"/>
        <w:rPr>
          <w:bCs/>
          <w:i/>
          <w:u w:val="single"/>
        </w:rPr>
      </w:pPr>
      <w:r w:rsidRPr="000A3C73">
        <w:rPr>
          <w:b/>
          <w:bCs/>
          <w:i/>
          <w:u w:val="single"/>
        </w:rPr>
        <w:t>Output 1.3</w:t>
      </w:r>
      <w:r w:rsidRPr="000A3C73">
        <w:rPr>
          <w:bCs/>
          <w:i/>
          <w:u w:val="single"/>
        </w:rPr>
        <w:t xml:space="preserve"> Pilot ecosystem-oriented water management at local scale.</w:t>
      </w:r>
    </w:p>
    <w:tbl>
      <w:tblPr>
        <w:tblStyle w:val="TableGrid"/>
        <w:tblW w:w="0" w:type="auto"/>
        <w:tblLook w:val="04A0"/>
      </w:tblPr>
      <w:tblGrid>
        <w:gridCol w:w="1567"/>
        <w:gridCol w:w="8009"/>
      </w:tblGrid>
      <w:tr w:rsidR="00A94284" w:rsidRPr="000A3C73" w:rsidTr="00A94284">
        <w:tc>
          <w:tcPr>
            <w:tcW w:w="558" w:type="dxa"/>
          </w:tcPr>
          <w:p w:rsidR="00A94284" w:rsidRPr="000A3C73" w:rsidRDefault="00A94284" w:rsidP="00A94284">
            <w:pPr>
              <w:pStyle w:val="BodyText"/>
              <w:numPr>
                <w:ilvl w:val="0"/>
                <w:numId w:val="0"/>
              </w:numPr>
              <w:rPr>
                <w:sz w:val="22"/>
              </w:rPr>
            </w:pPr>
            <w:r w:rsidRPr="000A3C73">
              <w:rPr>
                <w:sz w:val="22"/>
              </w:rPr>
              <w:t>Transboundary</w:t>
            </w:r>
          </w:p>
        </w:tc>
        <w:tc>
          <w:tcPr>
            <w:tcW w:w="9018" w:type="dxa"/>
          </w:tcPr>
          <w:p w:rsidR="00A94284" w:rsidRPr="000A3C73" w:rsidRDefault="001C6EBB" w:rsidP="00A94284">
            <w:pPr>
              <w:pStyle w:val="BodyText"/>
              <w:numPr>
                <w:ilvl w:val="0"/>
                <w:numId w:val="0"/>
              </w:numPr>
              <w:rPr>
                <w:sz w:val="22"/>
              </w:rPr>
            </w:pPr>
            <w:r w:rsidRPr="000A3C73">
              <w:rPr>
                <w:sz w:val="22"/>
              </w:rPr>
              <w:t>N/A</w:t>
            </w:r>
          </w:p>
        </w:tc>
      </w:tr>
      <w:tr w:rsidR="00A94284" w:rsidRPr="000A3C73" w:rsidTr="00A94284">
        <w:tc>
          <w:tcPr>
            <w:tcW w:w="558" w:type="dxa"/>
          </w:tcPr>
          <w:p w:rsidR="00A94284" w:rsidRPr="000A3C73" w:rsidRDefault="00A94284" w:rsidP="00A94284">
            <w:pPr>
              <w:pStyle w:val="BodyText"/>
              <w:numPr>
                <w:ilvl w:val="0"/>
                <w:numId w:val="0"/>
              </w:numPr>
              <w:rPr>
                <w:sz w:val="22"/>
              </w:rPr>
            </w:pPr>
            <w:r w:rsidRPr="000A3C73">
              <w:rPr>
                <w:sz w:val="22"/>
              </w:rPr>
              <w:t>Albania</w:t>
            </w:r>
          </w:p>
        </w:tc>
        <w:tc>
          <w:tcPr>
            <w:tcW w:w="9018" w:type="dxa"/>
          </w:tcPr>
          <w:p w:rsidR="00A94284" w:rsidRPr="00FC657B" w:rsidRDefault="00EB4260" w:rsidP="00227BD1">
            <w:pPr>
              <w:pStyle w:val="BodyText"/>
              <w:numPr>
                <w:ilvl w:val="0"/>
                <w:numId w:val="0"/>
              </w:numPr>
              <w:rPr>
                <w:sz w:val="22"/>
              </w:rPr>
            </w:pPr>
            <w:r w:rsidRPr="0089284E">
              <w:rPr>
                <w:sz w:val="22"/>
              </w:rPr>
              <w:t>According to the project document, activities in Albania under Output 1.3 were focused on water management issues in Micro Prespa Lake, with respect to the inflow of the Devolli River canal</w:t>
            </w:r>
            <w:r w:rsidR="00E06FC4" w:rsidRPr="0089284E">
              <w:rPr>
                <w:sz w:val="22"/>
              </w:rPr>
              <w:t>,</w:t>
            </w:r>
            <w:r w:rsidR="00A26148" w:rsidRPr="0089284E">
              <w:rPr>
                <w:rStyle w:val="FootnoteReference"/>
              </w:rPr>
              <w:footnoteReference w:id="18"/>
            </w:r>
            <w:r w:rsidRPr="0089284E">
              <w:rPr>
                <w:sz w:val="22"/>
              </w:rPr>
              <w:t>and the possible rehabilitation of irrigation infrastructure</w:t>
            </w:r>
            <w:r w:rsidR="00D74436" w:rsidRPr="0089284E">
              <w:rPr>
                <w:sz w:val="22"/>
              </w:rPr>
              <w:t xml:space="preserve"> to use Micro Prespa water to irrigate part of the Devolli River valley</w:t>
            </w:r>
            <w:r w:rsidRPr="0089284E">
              <w:rPr>
                <w:sz w:val="22"/>
              </w:rPr>
              <w:t xml:space="preserve">. </w:t>
            </w:r>
            <w:r w:rsidR="00227BD1" w:rsidRPr="0089284E">
              <w:rPr>
                <w:sz w:val="22"/>
              </w:rPr>
              <w:t xml:space="preserve">From January 205 to July 2006 SPP implemented a project with a local Albanian partner, funded by Greek sources, to evaluate the interaction of the water systems of the Devolli River and Micro Prespa, to formulate principles for water management in the Albanian side, and proposals for meeting irrigation needs in the wider Devolli area. </w:t>
            </w:r>
            <w:r w:rsidRPr="0089284E">
              <w:rPr>
                <w:sz w:val="22"/>
              </w:rPr>
              <w:t>According to project documents, the Micro Prespa Fishermen’s Association initiated a project with Prespa IEM project sup</w:t>
            </w:r>
            <w:r w:rsidR="00E06FC4" w:rsidRPr="0089284E">
              <w:rPr>
                <w:sz w:val="22"/>
              </w:rPr>
              <w:t>port to close the Devolli canal; no information is available on the results of this scheme.</w:t>
            </w:r>
            <w:r w:rsidR="00101FA5">
              <w:rPr>
                <w:sz w:val="22"/>
              </w:rPr>
              <w:t xml:space="preserve"> </w:t>
            </w:r>
            <w:r w:rsidR="00A16F64" w:rsidRPr="0089284E">
              <w:rPr>
                <w:sz w:val="22"/>
              </w:rPr>
              <w:t>Throug</w:t>
            </w:r>
            <w:r w:rsidR="00D163CA">
              <w:rPr>
                <w:sz w:val="22"/>
              </w:rPr>
              <w:t>h its own small grants program</w:t>
            </w:r>
            <w:r w:rsidR="00A16F64" w:rsidRPr="0089284E">
              <w:rPr>
                <w:sz w:val="22"/>
              </w:rPr>
              <w:t xml:space="preserve"> (projects ≤ US$ 10,000), the project supported small-scale pilot activities for ecosystem management. Thirty-three applicants were assisted with the principles of grant applications, and from these, six NGOs implemented pilot demonstrations of small-scale projects addressing improvements in forest ecosystem management; information and public awareness; improvements in the fishery sector; and clean-up and waste management improvements.</w:t>
            </w:r>
          </w:p>
        </w:tc>
      </w:tr>
      <w:tr w:rsidR="00A94284" w:rsidRPr="000A3C73" w:rsidTr="00A94284">
        <w:tc>
          <w:tcPr>
            <w:tcW w:w="558" w:type="dxa"/>
          </w:tcPr>
          <w:p w:rsidR="00A94284" w:rsidRPr="000A3C73" w:rsidRDefault="00A94284" w:rsidP="00A94284">
            <w:pPr>
              <w:pStyle w:val="BodyText"/>
              <w:numPr>
                <w:ilvl w:val="0"/>
                <w:numId w:val="0"/>
              </w:numPr>
              <w:rPr>
                <w:sz w:val="22"/>
              </w:rPr>
            </w:pPr>
            <w:r w:rsidRPr="000A3C73">
              <w:rPr>
                <w:sz w:val="22"/>
              </w:rPr>
              <w:t>FYR Macedonia</w:t>
            </w:r>
          </w:p>
        </w:tc>
        <w:tc>
          <w:tcPr>
            <w:tcW w:w="9018" w:type="dxa"/>
          </w:tcPr>
          <w:p w:rsidR="00A94284" w:rsidRPr="000A3C73" w:rsidRDefault="00582FD5" w:rsidP="00CC53A0">
            <w:pPr>
              <w:pStyle w:val="BodyText"/>
              <w:numPr>
                <w:ilvl w:val="0"/>
                <w:numId w:val="0"/>
              </w:numPr>
              <w:rPr>
                <w:rFonts w:cs="Arial"/>
                <w:sz w:val="22"/>
                <w:szCs w:val="22"/>
              </w:rPr>
            </w:pPr>
            <w:r w:rsidRPr="000A3C73">
              <w:rPr>
                <w:sz w:val="22"/>
                <w:szCs w:val="22"/>
              </w:rPr>
              <w:t>The project has supported the preparation of the initial</w:t>
            </w:r>
            <w:r w:rsidR="007B0959" w:rsidRPr="000A3C73">
              <w:rPr>
                <w:sz w:val="22"/>
                <w:szCs w:val="22"/>
              </w:rPr>
              <w:t xml:space="preserve"> </w:t>
            </w:r>
            <w:r w:rsidRPr="000A3C73">
              <w:rPr>
                <w:sz w:val="22"/>
                <w:szCs w:val="22"/>
              </w:rPr>
              <w:t>Prespa Lake Watershed Management Plan (WMP) in accordance to the latest Law on Waters, founded on the principles of the EU Water Framework Directive (WFD) and the IRBM concept. The process has contributed greatly to the identification of the main surface and groundwater bodies in the watershed, assessment/quantification of the major anthropogenic impacts on the water resources, as well as in establishing the watershed’s environmental objectives. Based on these findings the WMP defined a comprehensive program of measures aiming at achieving the environmental objectives.</w:t>
            </w:r>
            <w:r w:rsidR="007B0959" w:rsidRPr="000A3C73">
              <w:rPr>
                <w:sz w:val="22"/>
                <w:szCs w:val="22"/>
              </w:rPr>
              <w:t xml:space="preserve"> </w:t>
            </w:r>
            <w:r w:rsidRPr="000A3C73">
              <w:rPr>
                <w:rFonts w:cs="Arial"/>
                <w:sz w:val="22"/>
                <w:szCs w:val="22"/>
              </w:rPr>
              <w:t xml:space="preserve">Considering the pioneering character of the whole process, and in order to strengthen its replication potential at national level, the </w:t>
            </w:r>
            <w:r w:rsidR="00CC53A0" w:rsidRPr="000A3C73">
              <w:rPr>
                <w:rFonts w:cs="Arial"/>
                <w:sz w:val="22"/>
                <w:szCs w:val="22"/>
              </w:rPr>
              <w:t>project</w:t>
            </w:r>
            <w:r w:rsidRPr="000A3C73">
              <w:rPr>
                <w:rFonts w:cs="Arial"/>
                <w:sz w:val="22"/>
                <w:szCs w:val="22"/>
              </w:rPr>
              <w:t xml:space="preserve"> has supported drafting of Guidelines for preparation of integrated river basin management plans in accordance to the WFD, but adapted to the national context. The Guidelines, together with the WMP, have also been submitted to the MoEPP for further consideration. Furthermore, in partnership with the Netherlands Commission for Environmental Assessment the </w:t>
            </w:r>
            <w:r w:rsidR="00CC53A0" w:rsidRPr="000A3C73">
              <w:rPr>
                <w:rFonts w:cs="Arial"/>
                <w:sz w:val="22"/>
                <w:szCs w:val="22"/>
              </w:rPr>
              <w:t>project</w:t>
            </w:r>
            <w:r w:rsidRPr="000A3C73">
              <w:rPr>
                <w:rFonts w:cs="Arial"/>
                <w:sz w:val="22"/>
                <w:szCs w:val="22"/>
              </w:rPr>
              <w:t xml:space="preserve"> has also financed preparation of a Strategic Environmental Assessment (SEA) of the WMP, in accordance with the existing regulations and the EU best practices. The WMP has been selected by the MoEPP and the </w:t>
            </w:r>
            <w:r w:rsidR="00101FA5" w:rsidRPr="000A3C73">
              <w:rPr>
                <w:rFonts w:cs="Arial"/>
                <w:sz w:val="22"/>
                <w:szCs w:val="22"/>
              </w:rPr>
              <w:t>Netherlands Commission for Environmental Assessment</w:t>
            </w:r>
            <w:r w:rsidR="00101FA5" w:rsidRPr="000A3C73" w:rsidDel="00101FA5">
              <w:rPr>
                <w:rFonts w:cs="Arial"/>
                <w:sz w:val="22"/>
                <w:szCs w:val="22"/>
              </w:rPr>
              <w:t xml:space="preserve"> </w:t>
            </w:r>
            <w:r w:rsidRPr="000A3C73">
              <w:rPr>
                <w:rFonts w:cs="Arial"/>
                <w:sz w:val="22"/>
                <w:szCs w:val="22"/>
              </w:rPr>
              <w:t>as a model for demonstration of SEA of river basin management plans.</w:t>
            </w:r>
          </w:p>
          <w:p w:rsidR="00153253" w:rsidRPr="000A3C73" w:rsidRDefault="00153253" w:rsidP="00CC53A0">
            <w:pPr>
              <w:pStyle w:val="BodyText"/>
              <w:numPr>
                <w:ilvl w:val="0"/>
                <w:numId w:val="0"/>
              </w:numPr>
              <w:rPr>
                <w:sz w:val="22"/>
              </w:rPr>
            </w:pPr>
            <w:r w:rsidRPr="000A3C73">
              <w:rPr>
                <w:sz w:val="22"/>
              </w:rPr>
              <w:t>A small grants program was implemented in 2008. Nine NGOs implemented projects to a total value of MKD 1,785,302 (c. $US 40,000)</w:t>
            </w:r>
          </w:p>
        </w:tc>
      </w:tr>
    </w:tbl>
    <w:p w:rsidR="00A94284" w:rsidRPr="000A3C73" w:rsidRDefault="00A94284" w:rsidP="00A94284">
      <w:pPr>
        <w:pStyle w:val="BodyText"/>
        <w:numPr>
          <w:ilvl w:val="0"/>
          <w:numId w:val="0"/>
        </w:numPr>
      </w:pPr>
    </w:p>
    <w:p w:rsidR="00846D6B" w:rsidRPr="00FC657B" w:rsidRDefault="001E6749" w:rsidP="00846D6B">
      <w:pPr>
        <w:pStyle w:val="BodyText"/>
        <w:rPr>
          <w:bCs/>
          <w:i/>
          <w:u w:val="single"/>
        </w:rPr>
      </w:pPr>
      <w:r w:rsidRPr="0089284E">
        <w:rPr>
          <w:b/>
          <w:bCs/>
          <w:i/>
          <w:u w:val="single"/>
        </w:rPr>
        <w:t xml:space="preserve">Output 1.4. </w:t>
      </w:r>
      <w:r w:rsidRPr="0089284E">
        <w:rPr>
          <w:bCs/>
          <w:i/>
          <w:u w:val="single"/>
        </w:rPr>
        <w:t>Capacity for water and watershed management built at municipal and commune level in FYR-Macedonia, Albania and Greece respectively.</w:t>
      </w:r>
    </w:p>
    <w:tbl>
      <w:tblPr>
        <w:tblStyle w:val="TableGrid"/>
        <w:tblW w:w="0" w:type="auto"/>
        <w:tblLook w:val="04A0"/>
      </w:tblPr>
      <w:tblGrid>
        <w:gridCol w:w="1567"/>
        <w:gridCol w:w="8009"/>
      </w:tblGrid>
      <w:tr w:rsidR="00A94284" w:rsidRPr="000A3C73" w:rsidTr="00A94284">
        <w:tc>
          <w:tcPr>
            <w:tcW w:w="558" w:type="dxa"/>
          </w:tcPr>
          <w:p w:rsidR="00A94284" w:rsidRPr="00FC657B" w:rsidRDefault="00A94284" w:rsidP="00A94284">
            <w:pPr>
              <w:pStyle w:val="BodyText"/>
              <w:numPr>
                <w:ilvl w:val="0"/>
                <w:numId w:val="0"/>
              </w:numPr>
              <w:rPr>
                <w:sz w:val="22"/>
              </w:rPr>
            </w:pPr>
            <w:r w:rsidRPr="00FC657B">
              <w:rPr>
                <w:sz w:val="22"/>
              </w:rPr>
              <w:t>Transboundary</w:t>
            </w:r>
          </w:p>
        </w:tc>
        <w:tc>
          <w:tcPr>
            <w:tcW w:w="9018" w:type="dxa"/>
          </w:tcPr>
          <w:p w:rsidR="00A94284" w:rsidRPr="00CD42DE" w:rsidRDefault="001C6EBB" w:rsidP="00A94284">
            <w:pPr>
              <w:pStyle w:val="BodyText"/>
              <w:numPr>
                <w:ilvl w:val="0"/>
                <w:numId w:val="0"/>
              </w:numPr>
              <w:rPr>
                <w:sz w:val="22"/>
              </w:rPr>
            </w:pPr>
            <w:r w:rsidRPr="00D77DF1">
              <w:rPr>
                <w:sz w:val="22"/>
              </w:rPr>
              <w:t>N/A</w:t>
            </w:r>
          </w:p>
        </w:tc>
      </w:tr>
      <w:tr w:rsidR="00A94284" w:rsidRPr="000A3C73" w:rsidTr="00A94284">
        <w:tc>
          <w:tcPr>
            <w:tcW w:w="558" w:type="dxa"/>
          </w:tcPr>
          <w:p w:rsidR="00A94284" w:rsidRPr="000A3C73" w:rsidRDefault="00A94284" w:rsidP="00A94284">
            <w:pPr>
              <w:pStyle w:val="BodyText"/>
              <w:numPr>
                <w:ilvl w:val="0"/>
                <w:numId w:val="0"/>
              </w:numPr>
              <w:rPr>
                <w:sz w:val="22"/>
              </w:rPr>
            </w:pPr>
            <w:r w:rsidRPr="000A3C73">
              <w:rPr>
                <w:sz w:val="22"/>
              </w:rPr>
              <w:t>Albania</w:t>
            </w:r>
          </w:p>
        </w:tc>
        <w:tc>
          <w:tcPr>
            <w:tcW w:w="9018" w:type="dxa"/>
          </w:tcPr>
          <w:p w:rsidR="007A2135" w:rsidRPr="000A3C73" w:rsidRDefault="008033F6" w:rsidP="007A2135">
            <w:pPr>
              <w:pStyle w:val="BodyText"/>
              <w:numPr>
                <w:ilvl w:val="0"/>
                <w:numId w:val="0"/>
              </w:numPr>
              <w:rPr>
                <w:sz w:val="22"/>
              </w:rPr>
            </w:pPr>
            <w:r w:rsidRPr="000A3C73">
              <w:rPr>
                <w:sz w:val="22"/>
              </w:rPr>
              <w:t>Lake ecosystem m</w:t>
            </w:r>
            <w:r w:rsidR="007A2135" w:rsidRPr="000A3C73">
              <w:rPr>
                <w:sz w:val="22"/>
              </w:rPr>
              <w:t xml:space="preserve">anagement activities have started through implementation of actions for cleaning both </w:t>
            </w:r>
            <w:r w:rsidR="00FC2EE7" w:rsidRPr="000A3C73">
              <w:rPr>
                <w:sz w:val="22"/>
              </w:rPr>
              <w:t>Macro</w:t>
            </w:r>
            <w:r w:rsidR="007A2135" w:rsidRPr="000A3C73">
              <w:rPr>
                <w:sz w:val="22"/>
              </w:rPr>
              <w:t>/</w:t>
            </w:r>
            <w:r w:rsidR="00FC2EE7" w:rsidRPr="000A3C73">
              <w:rPr>
                <w:sz w:val="22"/>
              </w:rPr>
              <w:t>Micro</w:t>
            </w:r>
            <w:r w:rsidR="007A2135" w:rsidRPr="000A3C73">
              <w:rPr>
                <w:sz w:val="22"/>
              </w:rPr>
              <w:t xml:space="preserve"> Prespas from old nets systems and metallic structures/traps for eel and fish, construction of the dam in Gryka e Ujkut for cutting the connection of Small Prespa to Devolli system and preventing the water flow off the basin and the pilot monitoring activities re water quality/quantity. ToR for </w:t>
            </w:r>
            <w:r w:rsidR="00101FA5">
              <w:rPr>
                <w:sz w:val="22"/>
              </w:rPr>
              <w:t>Water Management Working Group (</w:t>
            </w:r>
            <w:r w:rsidR="007A2135" w:rsidRPr="000A3C73">
              <w:rPr>
                <w:sz w:val="22"/>
              </w:rPr>
              <w:t>WMWG</w:t>
            </w:r>
            <w:r w:rsidR="00101FA5">
              <w:rPr>
                <w:sz w:val="22"/>
              </w:rPr>
              <w:t>)</w:t>
            </w:r>
            <w:r w:rsidR="007A2135" w:rsidRPr="000A3C73">
              <w:rPr>
                <w:sz w:val="22"/>
              </w:rPr>
              <w:t xml:space="preserve"> are already completed and nomination of WMWG members will commen</w:t>
            </w:r>
            <w:r w:rsidR="00F70931" w:rsidRPr="000A3C73">
              <w:rPr>
                <w:sz w:val="22"/>
              </w:rPr>
              <w:t>ce when governments decides to do so.</w:t>
            </w:r>
            <w:r w:rsidR="007A2135" w:rsidRPr="000A3C73">
              <w:rPr>
                <w:sz w:val="22"/>
              </w:rPr>
              <w:t xml:space="preserve"> The Prespa Park Management Plan is being developed by the KfW project. All the reports and documents prepared by UNDP project are being taken into consideration and serve as useful and important documents  </w:t>
            </w:r>
          </w:p>
          <w:p w:rsidR="00A94284" w:rsidRPr="000A3C73" w:rsidRDefault="007A2135" w:rsidP="007A2135">
            <w:pPr>
              <w:pStyle w:val="BodyText"/>
              <w:numPr>
                <w:ilvl w:val="0"/>
                <w:numId w:val="0"/>
              </w:numPr>
              <w:rPr>
                <w:sz w:val="22"/>
              </w:rPr>
            </w:pPr>
            <w:r w:rsidRPr="000A3C73">
              <w:rPr>
                <w:sz w:val="22"/>
              </w:rPr>
              <w:t>The best practice watershed management manual for Prespa National Park (Prespa basin) with case studies from the Balkan countries completed and distributed to stakeholder and partners. Practical guidelines have been prepared through SG pilot project and are to be considered by the management committee.</w:t>
            </w:r>
          </w:p>
        </w:tc>
      </w:tr>
      <w:tr w:rsidR="00A94284" w:rsidRPr="000A3C73" w:rsidTr="00A94284">
        <w:tc>
          <w:tcPr>
            <w:tcW w:w="558" w:type="dxa"/>
          </w:tcPr>
          <w:p w:rsidR="00A94284" w:rsidRPr="000A3C73" w:rsidRDefault="00A94284" w:rsidP="00A94284">
            <w:pPr>
              <w:pStyle w:val="BodyText"/>
              <w:numPr>
                <w:ilvl w:val="0"/>
                <w:numId w:val="0"/>
              </w:numPr>
              <w:rPr>
                <w:sz w:val="22"/>
              </w:rPr>
            </w:pPr>
            <w:r w:rsidRPr="000A3C73">
              <w:rPr>
                <w:sz w:val="22"/>
              </w:rPr>
              <w:t>FYR Macedonia</w:t>
            </w:r>
          </w:p>
        </w:tc>
        <w:tc>
          <w:tcPr>
            <w:tcW w:w="9018" w:type="dxa"/>
          </w:tcPr>
          <w:p w:rsidR="00582FD5" w:rsidRPr="00FC657B" w:rsidRDefault="00582FD5" w:rsidP="00582FD5">
            <w:pPr>
              <w:widowControl w:val="0"/>
              <w:overflowPunct w:val="0"/>
              <w:autoSpaceDE w:val="0"/>
              <w:autoSpaceDN w:val="0"/>
              <w:adjustRightInd w:val="0"/>
              <w:spacing w:after="60"/>
              <w:jc w:val="both"/>
              <w:textAlignment w:val="baseline"/>
              <w:rPr>
                <w:rFonts w:ascii="Calibri" w:hAnsi="Calibri"/>
                <w:sz w:val="22"/>
                <w:szCs w:val="22"/>
              </w:rPr>
            </w:pPr>
            <w:r w:rsidRPr="000A3C73">
              <w:rPr>
                <w:rFonts w:ascii="Calibri" w:hAnsi="Calibri"/>
                <w:sz w:val="22"/>
                <w:szCs w:val="22"/>
              </w:rPr>
              <w:t xml:space="preserve">The entire watershed management planning process (WMP and SEA) has been conducted in parallel with efforts for establishing watershed management capacity at local level. With support of the </w:t>
            </w:r>
            <w:r w:rsidR="00CC53A0" w:rsidRPr="000A3C73">
              <w:rPr>
                <w:rFonts w:ascii="Calibri" w:hAnsi="Calibri"/>
                <w:sz w:val="22"/>
                <w:szCs w:val="22"/>
              </w:rPr>
              <w:t>project</w:t>
            </w:r>
            <w:r w:rsidRPr="000A3C73">
              <w:rPr>
                <w:rFonts w:ascii="Calibri" w:hAnsi="Calibri"/>
                <w:sz w:val="22"/>
                <w:szCs w:val="22"/>
              </w:rPr>
              <w:t>, and in accordance to the latest legislation harmonized with the EU directives, the MoEPP has established an innovative cross-sectoral watershed management mechanism – Watershed Management Council. The Prespa Watershed Management Council (WMC) comprises over 20 stakeholders representing different sectors (institutions, organizations, etc.)</w:t>
            </w:r>
            <w:r w:rsidRPr="00FC657B">
              <w:rPr>
                <w:rStyle w:val="FootnoteReference"/>
                <w:sz w:val="22"/>
                <w:szCs w:val="22"/>
              </w:rPr>
              <w:footnoteReference w:id="19"/>
            </w:r>
            <w:r w:rsidRPr="00FC657B">
              <w:rPr>
                <w:rFonts w:ascii="Calibri" w:hAnsi="Calibri"/>
                <w:sz w:val="22"/>
                <w:szCs w:val="22"/>
              </w:rPr>
              <w:t>.</w:t>
            </w:r>
          </w:p>
          <w:p w:rsidR="00A94284" w:rsidRPr="008B7E9A" w:rsidRDefault="00582FD5" w:rsidP="00CC53A0">
            <w:pPr>
              <w:pStyle w:val="BodyText"/>
              <w:numPr>
                <w:ilvl w:val="0"/>
                <w:numId w:val="0"/>
              </w:numPr>
              <w:rPr>
                <w:sz w:val="22"/>
              </w:rPr>
            </w:pPr>
            <w:r w:rsidRPr="00FC657B">
              <w:rPr>
                <w:sz w:val="22"/>
                <w:szCs w:val="22"/>
              </w:rPr>
              <w:t>The capacity development efforts focused on WMC have been conducted as part of the planning exercise. Namely, the WMC members have actively participated in all stakeholder events (workshops, meetings) throughout the entire plan preparation process. Durin</w:t>
            </w:r>
            <w:r w:rsidRPr="00D77DF1">
              <w:rPr>
                <w:sz w:val="22"/>
                <w:szCs w:val="22"/>
              </w:rPr>
              <w:t xml:space="preserve">g all these events they had the possibility to learn about the integrated watershed management principles, resolving water-related issues in a multi-stakeholder environment, and similar. In addition, the </w:t>
            </w:r>
            <w:r w:rsidR="00CC53A0" w:rsidRPr="00CD42DE">
              <w:rPr>
                <w:sz w:val="22"/>
                <w:szCs w:val="22"/>
              </w:rPr>
              <w:t>project</w:t>
            </w:r>
            <w:r w:rsidRPr="00AA7D1F">
              <w:rPr>
                <w:sz w:val="22"/>
                <w:szCs w:val="22"/>
              </w:rPr>
              <w:t xml:space="preserve"> has organized a study visit for the Council </w:t>
            </w:r>
            <w:r w:rsidRPr="005E69C8">
              <w:rPr>
                <w:sz w:val="22"/>
                <w:szCs w:val="22"/>
              </w:rPr>
              <w:t>members to the Czech Republic (hosted by the ministries of environment and agriculture) wh</w:t>
            </w:r>
            <w:r w:rsidRPr="00850A96">
              <w:rPr>
                <w:sz w:val="22"/>
                <w:szCs w:val="22"/>
              </w:rPr>
              <w:t>ere they had the possibility to learn about the experience and challenges in the implementation of the WFD, especially the preparation and implementation of IRBM plans.</w:t>
            </w:r>
          </w:p>
        </w:tc>
      </w:tr>
    </w:tbl>
    <w:p w:rsidR="00A94284" w:rsidRPr="000A3C73" w:rsidRDefault="00A94284" w:rsidP="00A94284">
      <w:pPr>
        <w:pStyle w:val="BodyText"/>
        <w:numPr>
          <w:ilvl w:val="0"/>
          <w:numId w:val="0"/>
        </w:numPr>
      </w:pPr>
    </w:p>
    <w:p w:rsidR="00846D6B" w:rsidRPr="0089284E" w:rsidRDefault="003C1014" w:rsidP="003C1014">
      <w:pPr>
        <w:pStyle w:val="BodyText"/>
        <w:rPr>
          <w:bCs/>
          <w:i/>
          <w:u w:val="single"/>
        </w:rPr>
      </w:pPr>
      <w:r w:rsidRPr="0089284E">
        <w:rPr>
          <w:b/>
          <w:bCs/>
          <w:i/>
          <w:u w:val="single"/>
        </w:rPr>
        <w:t>Output 1.5</w:t>
      </w:r>
      <w:r w:rsidRPr="0089284E">
        <w:rPr>
          <w:bCs/>
          <w:i/>
          <w:u w:val="single"/>
        </w:rPr>
        <w:t xml:space="preserve"> Piloting flexible, phased pollution reduction techniques and the use of incentives strengthens enforcement of and compliance with environmental laws protecting ecosystem health</w:t>
      </w:r>
    </w:p>
    <w:tbl>
      <w:tblPr>
        <w:tblStyle w:val="TableGrid"/>
        <w:tblW w:w="0" w:type="auto"/>
        <w:tblLook w:val="04A0"/>
      </w:tblPr>
      <w:tblGrid>
        <w:gridCol w:w="1567"/>
        <w:gridCol w:w="8009"/>
      </w:tblGrid>
      <w:tr w:rsidR="00A94284" w:rsidRPr="000A3C73" w:rsidTr="00A94284">
        <w:tc>
          <w:tcPr>
            <w:tcW w:w="558" w:type="dxa"/>
          </w:tcPr>
          <w:p w:rsidR="00A94284" w:rsidRPr="00FC657B" w:rsidRDefault="00A94284" w:rsidP="00A94284">
            <w:pPr>
              <w:pStyle w:val="BodyText"/>
              <w:numPr>
                <w:ilvl w:val="0"/>
                <w:numId w:val="0"/>
              </w:numPr>
              <w:rPr>
                <w:sz w:val="22"/>
              </w:rPr>
            </w:pPr>
            <w:r w:rsidRPr="00FC657B">
              <w:rPr>
                <w:sz w:val="22"/>
              </w:rPr>
              <w:t>Transboundary</w:t>
            </w:r>
          </w:p>
        </w:tc>
        <w:tc>
          <w:tcPr>
            <w:tcW w:w="9018" w:type="dxa"/>
          </w:tcPr>
          <w:p w:rsidR="00A94284" w:rsidRPr="00D77DF1" w:rsidRDefault="001C6EBB" w:rsidP="00A94284">
            <w:pPr>
              <w:pStyle w:val="BodyText"/>
              <w:numPr>
                <w:ilvl w:val="0"/>
                <w:numId w:val="0"/>
              </w:numPr>
              <w:rPr>
                <w:sz w:val="22"/>
              </w:rPr>
            </w:pPr>
            <w:r w:rsidRPr="00FC657B">
              <w:rPr>
                <w:sz w:val="22"/>
              </w:rPr>
              <w:t>N/A</w:t>
            </w:r>
          </w:p>
        </w:tc>
      </w:tr>
      <w:tr w:rsidR="00A94284" w:rsidRPr="000A3C73" w:rsidTr="00A94284">
        <w:tc>
          <w:tcPr>
            <w:tcW w:w="558" w:type="dxa"/>
          </w:tcPr>
          <w:p w:rsidR="00A94284" w:rsidRPr="000A3C73" w:rsidRDefault="00A94284" w:rsidP="00A94284">
            <w:pPr>
              <w:pStyle w:val="BodyText"/>
              <w:numPr>
                <w:ilvl w:val="0"/>
                <w:numId w:val="0"/>
              </w:numPr>
              <w:rPr>
                <w:sz w:val="22"/>
              </w:rPr>
            </w:pPr>
            <w:r w:rsidRPr="000A3C73">
              <w:rPr>
                <w:sz w:val="22"/>
              </w:rPr>
              <w:t>Albania</w:t>
            </w:r>
          </w:p>
        </w:tc>
        <w:tc>
          <w:tcPr>
            <w:tcW w:w="9018" w:type="dxa"/>
          </w:tcPr>
          <w:p w:rsidR="00A94284" w:rsidRPr="000A3C73" w:rsidRDefault="00CC53A0" w:rsidP="00CC53A0">
            <w:pPr>
              <w:pStyle w:val="BodyText"/>
              <w:numPr>
                <w:ilvl w:val="0"/>
                <w:numId w:val="0"/>
              </w:numPr>
              <w:rPr>
                <w:sz w:val="22"/>
              </w:rPr>
            </w:pPr>
            <w:r w:rsidRPr="000A3C73">
              <w:rPr>
                <w:sz w:val="22"/>
              </w:rPr>
              <w:t xml:space="preserve">According to baseline assessment (estimated annual application of pesticides at 720 kg) pesticide use is almost insignificant so there was no room for reduction (further verification is current for the KfW study). In AL it has been proposed to replace this with “# of farmers producing certified organic products”. </w:t>
            </w:r>
          </w:p>
        </w:tc>
      </w:tr>
      <w:tr w:rsidR="00A94284" w:rsidRPr="000A3C73" w:rsidTr="00A94284">
        <w:tc>
          <w:tcPr>
            <w:tcW w:w="558" w:type="dxa"/>
          </w:tcPr>
          <w:p w:rsidR="00A94284" w:rsidRPr="000A3C73" w:rsidRDefault="00A94284" w:rsidP="00A94284">
            <w:pPr>
              <w:pStyle w:val="BodyText"/>
              <w:numPr>
                <w:ilvl w:val="0"/>
                <w:numId w:val="0"/>
              </w:numPr>
              <w:rPr>
                <w:sz w:val="22"/>
              </w:rPr>
            </w:pPr>
            <w:r w:rsidRPr="000A3C73">
              <w:rPr>
                <w:sz w:val="22"/>
              </w:rPr>
              <w:t>FYR Macedonia</w:t>
            </w:r>
          </w:p>
        </w:tc>
        <w:tc>
          <w:tcPr>
            <w:tcW w:w="9018" w:type="dxa"/>
          </w:tcPr>
          <w:p w:rsidR="00A94284" w:rsidRPr="000A3C73" w:rsidRDefault="00582FD5" w:rsidP="00CC53A0">
            <w:pPr>
              <w:pStyle w:val="BodyText"/>
              <w:numPr>
                <w:ilvl w:val="0"/>
                <w:numId w:val="0"/>
              </w:numPr>
              <w:rPr>
                <w:sz w:val="22"/>
              </w:rPr>
            </w:pPr>
            <w:r w:rsidRPr="000A3C73">
              <w:rPr>
                <w:sz w:val="22"/>
                <w:szCs w:val="22"/>
              </w:rPr>
              <w:t xml:space="preserve">Overall, the </w:t>
            </w:r>
            <w:r w:rsidR="00CC53A0" w:rsidRPr="000A3C73">
              <w:rPr>
                <w:sz w:val="22"/>
                <w:szCs w:val="22"/>
              </w:rPr>
              <w:t>project</w:t>
            </w:r>
            <w:r w:rsidRPr="000A3C73">
              <w:rPr>
                <w:sz w:val="22"/>
                <w:szCs w:val="22"/>
              </w:rPr>
              <w:t xml:space="preserve"> supported the Municipality of Resen in complying with legal requirements on issuing Integrated Pollution Prevention and Control (IPPC) B type permit for various industries in the region. The </w:t>
            </w:r>
            <w:r w:rsidR="00CC53A0" w:rsidRPr="000A3C73">
              <w:rPr>
                <w:sz w:val="22"/>
                <w:szCs w:val="22"/>
              </w:rPr>
              <w:t>project</w:t>
            </w:r>
            <w:r w:rsidRPr="000A3C73">
              <w:rPr>
                <w:sz w:val="22"/>
                <w:szCs w:val="22"/>
              </w:rPr>
              <w:t xml:space="preserve"> has provided capacity building support to authorized municipal personnel responsible for reviewing IPPC applications, issuing IPPC type B permits, and controlling compliance with the permit’s pollution prevention and control measures. For a total of 3 installations under the jurisdiction of the Municipality of Resen (B-installations according to the national legislation), the project has provided expert support in reviewing the applications submitted, providing comments and requesting revisions where necessary. Finally the project supported the drafting of the integrated environmental permits.</w:t>
            </w:r>
          </w:p>
        </w:tc>
      </w:tr>
    </w:tbl>
    <w:p w:rsidR="00A94284" w:rsidRPr="000A3C73" w:rsidRDefault="00A94284" w:rsidP="00A94284">
      <w:pPr>
        <w:pStyle w:val="BodyText"/>
        <w:numPr>
          <w:ilvl w:val="0"/>
          <w:numId w:val="0"/>
        </w:numPr>
      </w:pPr>
    </w:p>
    <w:p w:rsidR="005D2739" w:rsidRPr="00FC657B" w:rsidRDefault="00B41E00" w:rsidP="005D2739">
      <w:pPr>
        <w:pStyle w:val="Heading3"/>
        <w:ind w:left="1440"/>
      </w:pPr>
      <w:bookmarkStart w:id="102" w:name="_Ref148683825"/>
      <w:bookmarkStart w:id="103" w:name="_Toc152154281"/>
      <w:bookmarkStart w:id="104" w:name="_Ref180147353"/>
      <w:bookmarkStart w:id="105" w:name="_Ref194934596"/>
      <w:bookmarkStart w:id="106" w:name="_Ref194987218"/>
      <w:bookmarkStart w:id="107" w:name="_Ref198366005"/>
      <w:bookmarkStart w:id="108" w:name="_Toc238551073"/>
      <w:r w:rsidRPr="000A3C73">
        <w:t xml:space="preserve">Outcome 2: </w:t>
      </w:r>
      <w:bookmarkEnd w:id="102"/>
      <w:bookmarkEnd w:id="103"/>
      <w:bookmarkEnd w:id="104"/>
      <w:bookmarkEnd w:id="105"/>
      <w:bookmarkEnd w:id="106"/>
      <w:bookmarkEnd w:id="107"/>
      <w:r w:rsidR="005F6CA2" w:rsidRPr="0089284E">
        <w:rPr>
          <w:iCs/>
        </w:rPr>
        <w:t>Stakeholders modify productive sector resource management practices to reduce pesticide inputs, increase habitat heterogeneity, and improve the status of target species and communities within the national sectors of the Prespa Basin</w:t>
      </w:r>
      <w:bookmarkEnd w:id="108"/>
    </w:p>
    <w:p w:rsidR="00401455" w:rsidRPr="005E69C8" w:rsidRDefault="00401455" w:rsidP="00401455">
      <w:pPr>
        <w:pStyle w:val="BodyText"/>
      </w:pPr>
      <w:r w:rsidRPr="00FC657B">
        <w:t>T</w:t>
      </w:r>
      <w:r w:rsidR="00930211" w:rsidRPr="00D77DF1">
        <w:t xml:space="preserve">he achievement of Outcome 2 is considered </w:t>
      </w:r>
      <w:r w:rsidR="00686FAB" w:rsidRPr="00CD42DE">
        <w:rPr>
          <w:b/>
          <w:i/>
          <w:u w:val="single"/>
        </w:rPr>
        <w:t>moderately</w:t>
      </w:r>
      <w:r w:rsidR="00930211" w:rsidRPr="00AA7D1F">
        <w:rPr>
          <w:b/>
          <w:i/>
          <w:u w:val="single"/>
        </w:rPr>
        <w:t xml:space="preserve"> satisfactory</w:t>
      </w:r>
    </w:p>
    <w:p w:rsidR="0000699F" w:rsidRPr="00FC657B" w:rsidRDefault="005F6CA2" w:rsidP="00930211">
      <w:pPr>
        <w:pStyle w:val="BodyText"/>
        <w:rPr>
          <w:i/>
          <w:u w:val="single"/>
        </w:rPr>
      </w:pPr>
      <w:r w:rsidRPr="0089284E">
        <w:rPr>
          <w:b/>
          <w:bCs/>
          <w:i/>
          <w:u w:val="single"/>
        </w:rPr>
        <w:t>Output 2.1.</w:t>
      </w:r>
      <w:r w:rsidRPr="0089284E">
        <w:rPr>
          <w:i/>
          <w:u w:val="single"/>
        </w:rPr>
        <w:t xml:space="preserve"> Reduced environmental impacts of agric</w:t>
      </w:r>
      <w:r w:rsidR="009423C2" w:rsidRPr="0089284E">
        <w:rPr>
          <w:i/>
          <w:u w:val="single"/>
        </w:rPr>
        <w:t>ulture in the AL and MK Prespa</w:t>
      </w:r>
    </w:p>
    <w:tbl>
      <w:tblPr>
        <w:tblStyle w:val="TableGrid"/>
        <w:tblW w:w="0" w:type="auto"/>
        <w:tblLook w:val="04A0"/>
      </w:tblPr>
      <w:tblGrid>
        <w:gridCol w:w="1567"/>
        <w:gridCol w:w="8009"/>
      </w:tblGrid>
      <w:tr w:rsidR="00582FD5" w:rsidRPr="000A3C73" w:rsidTr="00582FD5">
        <w:tc>
          <w:tcPr>
            <w:tcW w:w="558" w:type="dxa"/>
          </w:tcPr>
          <w:p w:rsidR="00582FD5" w:rsidRPr="00FC657B" w:rsidRDefault="00582FD5" w:rsidP="00582FD5">
            <w:pPr>
              <w:pStyle w:val="BodyText"/>
              <w:numPr>
                <w:ilvl w:val="0"/>
                <w:numId w:val="0"/>
              </w:numPr>
              <w:rPr>
                <w:sz w:val="22"/>
              </w:rPr>
            </w:pPr>
            <w:r w:rsidRPr="00FC657B">
              <w:rPr>
                <w:sz w:val="22"/>
              </w:rPr>
              <w:t>Transboundary</w:t>
            </w:r>
          </w:p>
        </w:tc>
        <w:tc>
          <w:tcPr>
            <w:tcW w:w="9018" w:type="dxa"/>
          </w:tcPr>
          <w:p w:rsidR="00582FD5" w:rsidRPr="00CD42DE" w:rsidRDefault="001C6EBB" w:rsidP="00582FD5">
            <w:pPr>
              <w:pStyle w:val="BodyText"/>
              <w:numPr>
                <w:ilvl w:val="0"/>
                <w:numId w:val="0"/>
              </w:numPr>
              <w:rPr>
                <w:sz w:val="22"/>
              </w:rPr>
            </w:pPr>
            <w:r w:rsidRPr="00D77DF1">
              <w:rPr>
                <w:sz w:val="22"/>
              </w:rPr>
              <w:t>N/A</w:t>
            </w:r>
          </w:p>
        </w:tc>
      </w:tr>
      <w:tr w:rsidR="00582FD5" w:rsidRPr="000A3C73" w:rsidTr="00582FD5">
        <w:tc>
          <w:tcPr>
            <w:tcW w:w="558" w:type="dxa"/>
          </w:tcPr>
          <w:p w:rsidR="00582FD5" w:rsidRPr="000A3C73" w:rsidRDefault="00582FD5" w:rsidP="00582FD5">
            <w:pPr>
              <w:pStyle w:val="BodyText"/>
              <w:numPr>
                <w:ilvl w:val="0"/>
                <w:numId w:val="0"/>
              </w:numPr>
              <w:rPr>
                <w:sz w:val="22"/>
              </w:rPr>
            </w:pPr>
            <w:r w:rsidRPr="000A3C73">
              <w:rPr>
                <w:sz w:val="22"/>
              </w:rPr>
              <w:t>Albania</w:t>
            </w:r>
          </w:p>
        </w:tc>
        <w:tc>
          <w:tcPr>
            <w:tcW w:w="9018" w:type="dxa"/>
          </w:tcPr>
          <w:p w:rsidR="00CC53A0" w:rsidRPr="000A3C73" w:rsidRDefault="00CC53A0" w:rsidP="00CC53A0">
            <w:pPr>
              <w:pStyle w:val="BodyText"/>
              <w:numPr>
                <w:ilvl w:val="0"/>
                <w:numId w:val="0"/>
              </w:numPr>
              <w:rPr>
                <w:sz w:val="22"/>
              </w:rPr>
            </w:pPr>
            <w:r w:rsidRPr="000A3C73">
              <w:rPr>
                <w:sz w:val="22"/>
              </w:rPr>
              <w:t>WWF-GR has funded an activity for establishing a tri-lateral protocol for recognition of Prespa Park products. Complete for beans in GR, but applicability to MK and AL extremely limited both legally and practically.</w:t>
            </w:r>
          </w:p>
          <w:p w:rsidR="00CC53A0" w:rsidRPr="000A3C73" w:rsidRDefault="00CC53A0" w:rsidP="00CC53A0">
            <w:pPr>
              <w:pStyle w:val="BodyText"/>
              <w:numPr>
                <w:ilvl w:val="0"/>
                <w:numId w:val="0"/>
              </w:numPr>
              <w:rPr>
                <w:sz w:val="22"/>
              </w:rPr>
            </w:pPr>
            <w:r w:rsidRPr="000A3C73">
              <w:rPr>
                <w:sz w:val="22"/>
              </w:rPr>
              <w:t xml:space="preserve">The farmers are organized in associations and assisted with grants for improvement; by 2011 there are </w:t>
            </w:r>
            <w:r w:rsidR="00AF546F" w:rsidRPr="000A3C73">
              <w:rPr>
                <w:sz w:val="22"/>
              </w:rPr>
              <w:t>four</w:t>
            </w:r>
            <w:r w:rsidRPr="000A3C73">
              <w:rPr>
                <w:sz w:val="22"/>
              </w:rPr>
              <w:t xml:space="preserve"> new associations with 25-30 each </w:t>
            </w:r>
          </w:p>
          <w:p w:rsidR="00CC53A0" w:rsidRPr="000A3C73" w:rsidRDefault="00CC53A0" w:rsidP="00CC53A0">
            <w:pPr>
              <w:pStyle w:val="BodyText"/>
              <w:numPr>
                <w:ilvl w:val="0"/>
                <w:numId w:val="0"/>
              </w:numPr>
              <w:rPr>
                <w:sz w:val="22"/>
              </w:rPr>
            </w:pPr>
            <w:r w:rsidRPr="000A3C73">
              <w:rPr>
                <w:sz w:val="22"/>
              </w:rPr>
              <w:t xml:space="preserve">Training of 30-45 farmers on prognosis and early warning in the agriculture sector is accomplished; agromet stations set-up and operational. Close cooperation with the Directory of Agriculture of </w:t>
            </w:r>
            <w:r w:rsidR="00D4199C" w:rsidRPr="00D4199C">
              <w:rPr>
                <w:sz w:val="22"/>
              </w:rPr>
              <w:t xml:space="preserve">Korça </w:t>
            </w:r>
            <w:r w:rsidRPr="000A3C73">
              <w:rPr>
                <w:sz w:val="22"/>
              </w:rPr>
              <w:t xml:space="preserve">region. The experience of agromet stations is being expanded in other sites of </w:t>
            </w:r>
            <w:r w:rsidR="00D4199C" w:rsidRPr="00D4199C">
              <w:rPr>
                <w:sz w:val="22"/>
              </w:rPr>
              <w:t xml:space="preserve">Korça </w:t>
            </w:r>
            <w:r w:rsidRPr="000A3C73">
              <w:rPr>
                <w:sz w:val="22"/>
              </w:rPr>
              <w:t>region.</w:t>
            </w:r>
          </w:p>
          <w:p w:rsidR="00582FD5" w:rsidRPr="000A3C73" w:rsidRDefault="00CC53A0" w:rsidP="00CC53A0">
            <w:pPr>
              <w:pStyle w:val="BodyText"/>
              <w:numPr>
                <w:ilvl w:val="0"/>
                <w:numId w:val="0"/>
              </w:numPr>
              <w:rPr>
                <w:sz w:val="22"/>
              </w:rPr>
            </w:pPr>
            <w:r w:rsidRPr="000A3C73">
              <w:rPr>
                <w:sz w:val="22"/>
              </w:rPr>
              <w:t xml:space="preserve">Several activities are organized for exchange of experience among farmers’ associations, agricultural extension agencies, universities, </w:t>
            </w:r>
            <w:r w:rsidR="00D163CA" w:rsidRPr="000A3C73">
              <w:rPr>
                <w:sz w:val="22"/>
              </w:rPr>
              <w:t>etc.</w:t>
            </w:r>
            <w:r w:rsidRPr="000A3C73">
              <w:rPr>
                <w:sz w:val="22"/>
              </w:rPr>
              <w:t xml:space="preserve"> (study tour in MK and GR, training visits in MK on use of agromet stations). Networking of agriculture stakeholders encouraged through joint event exchange (</w:t>
            </w:r>
            <w:r w:rsidR="00F70931" w:rsidRPr="000A3C73">
              <w:rPr>
                <w:sz w:val="22"/>
              </w:rPr>
              <w:t>e.g. Apple F</w:t>
            </w:r>
            <w:r w:rsidRPr="000A3C73">
              <w:rPr>
                <w:sz w:val="22"/>
              </w:rPr>
              <w:t>estival)</w:t>
            </w:r>
          </w:p>
        </w:tc>
      </w:tr>
      <w:tr w:rsidR="00582FD5" w:rsidRPr="000A3C73" w:rsidTr="00582FD5">
        <w:tc>
          <w:tcPr>
            <w:tcW w:w="558" w:type="dxa"/>
          </w:tcPr>
          <w:p w:rsidR="00582FD5" w:rsidRPr="000A3C73" w:rsidRDefault="00582FD5" w:rsidP="00582FD5">
            <w:pPr>
              <w:pStyle w:val="BodyText"/>
              <w:numPr>
                <w:ilvl w:val="0"/>
                <w:numId w:val="0"/>
              </w:numPr>
              <w:rPr>
                <w:sz w:val="22"/>
              </w:rPr>
            </w:pPr>
            <w:r w:rsidRPr="000A3C73">
              <w:rPr>
                <w:sz w:val="22"/>
              </w:rPr>
              <w:t>FYR Macedonia</w:t>
            </w:r>
          </w:p>
        </w:tc>
        <w:tc>
          <w:tcPr>
            <w:tcW w:w="9018" w:type="dxa"/>
          </w:tcPr>
          <w:p w:rsidR="00582FD5" w:rsidRPr="000A3C73" w:rsidRDefault="00582FD5" w:rsidP="00582FD5">
            <w:pPr>
              <w:widowControl w:val="0"/>
              <w:overflowPunct w:val="0"/>
              <w:autoSpaceDE w:val="0"/>
              <w:autoSpaceDN w:val="0"/>
              <w:adjustRightInd w:val="0"/>
              <w:spacing w:after="60"/>
              <w:jc w:val="both"/>
              <w:textAlignment w:val="baseline"/>
              <w:rPr>
                <w:rFonts w:ascii="Calibri" w:hAnsi="Calibri" w:cs="Arial"/>
                <w:sz w:val="22"/>
                <w:szCs w:val="22"/>
              </w:rPr>
            </w:pPr>
            <w:r w:rsidRPr="000A3C73">
              <w:rPr>
                <w:rFonts w:ascii="Calibri" w:hAnsi="Calibri" w:cs="Arial"/>
                <w:sz w:val="22"/>
                <w:szCs w:val="22"/>
              </w:rPr>
              <w:t xml:space="preserve">The </w:t>
            </w:r>
            <w:r w:rsidR="00CC53A0" w:rsidRPr="000A3C73">
              <w:rPr>
                <w:rFonts w:ascii="Calibri" w:hAnsi="Calibri" w:cs="Arial"/>
                <w:sz w:val="22"/>
                <w:szCs w:val="22"/>
              </w:rPr>
              <w:t>Prespa IEM</w:t>
            </w:r>
            <w:r w:rsidR="007B0959" w:rsidRPr="000A3C73">
              <w:rPr>
                <w:rFonts w:ascii="Calibri" w:hAnsi="Calibri" w:cs="Arial"/>
                <w:sz w:val="22"/>
                <w:szCs w:val="22"/>
              </w:rPr>
              <w:t xml:space="preserve"> </w:t>
            </w:r>
            <w:r w:rsidR="00CC53A0" w:rsidRPr="000A3C73">
              <w:rPr>
                <w:rFonts w:ascii="Calibri" w:hAnsi="Calibri" w:cs="Arial"/>
                <w:sz w:val="22"/>
                <w:szCs w:val="22"/>
              </w:rPr>
              <w:t>project</w:t>
            </w:r>
            <w:r w:rsidRPr="000A3C73">
              <w:rPr>
                <w:rFonts w:ascii="Calibri" w:hAnsi="Calibri" w:cs="Arial"/>
                <w:sz w:val="22"/>
                <w:szCs w:val="22"/>
              </w:rPr>
              <w:t xml:space="preserve"> activities in the agriculture sector have been part of a longer-term activity for introduction of Good Agricultural Practices (GAP) in apple production, implemented by the UNDP. Besides the GEF, complementary funds to address the environmental impacts of agriculture in the Prespa Lakes Basin have also been provided by the UNDP through the Reducing Environmental Impacts of Agriculture in the Prespa Region project and the SDC through its Restoration of Golema Reka project and the Pilot Project on Biodegradable Waste Management in the Prespa Region.</w:t>
            </w:r>
          </w:p>
          <w:p w:rsidR="00582FD5" w:rsidRPr="000A3C73" w:rsidRDefault="00582FD5" w:rsidP="00582FD5">
            <w:pPr>
              <w:widowControl w:val="0"/>
              <w:spacing w:after="60"/>
              <w:jc w:val="both"/>
              <w:rPr>
                <w:rFonts w:ascii="Calibri" w:hAnsi="Calibri" w:cs="Arial"/>
                <w:sz w:val="22"/>
                <w:szCs w:val="22"/>
              </w:rPr>
            </w:pPr>
            <w:r w:rsidRPr="000A3C73">
              <w:rPr>
                <w:rFonts w:ascii="Calibri" w:hAnsi="Calibri" w:cs="Arial"/>
                <w:sz w:val="22"/>
                <w:szCs w:val="22"/>
              </w:rPr>
              <w:t>(1) The UNDP-funded Reducing Environmental Impacts of Agriculture in the Prespa Region project has resulted in the following key achievements:</w:t>
            </w:r>
          </w:p>
          <w:p w:rsidR="00582FD5" w:rsidRPr="000A3C73" w:rsidRDefault="00582FD5" w:rsidP="000A0F25">
            <w:pPr>
              <w:widowControl w:val="0"/>
              <w:numPr>
                <w:ilvl w:val="0"/>
                <w:numId w:val="15"/>
              </w:numPr>
              <w:spacing w:after="60"/>
              <w:jc w:val="both"/>
              <w:rPr>
                <w:rFonts w:ascii="Calibri" w:hAnsi="Calibri" w:cs="Arial"/>
                <w:sz w:val="22"/>
                <w:szCs w:val="22"/>
              </w:rPr>
            </w:pPr>
            <w:r w:rsidRPr="000A3C73">
              <w:rPr>
                <w:rFonts w:ascii="Calibri" w:hAnsi="Calibri" w:cs="Arial"/>
                <w:sz w:val="22"/>
                <w:szCs w:val="22"/>
              </w:rPr>
              <w:t xml:space="preserve">Established fully functional agrochemical laboratory </w:t>
            </w:r>
          </w:p>
          <w:p w:rsidR="00582FD5" w:rsidRPr="000A3C73" w:rsidRDefault="00582FD5" w:rsidP="000A0F25">
            <w:pPr>
              <w:widowControl w:val="0"/>
              <w:numPr>
                <w:ilvl w:val="0"/>
                <w:numId w:val="15"/>
              </w:numPr>
              <w:spacing w:after="60"/>
              <w:jc w:val="both"/>
              <w:rPr>
                <w:rFonts w:ascii="Calibri" w:hAnsi="Calibri" w:cs="Arial"/>
                <w:sz w:val="22"/>
                <w:szCs w:val="22"/>
              </w:rPr>
            </w:pPr>
            <w:r w:rsidRPr="000A3C73">
              <w:rPr>
                <w:rFonts w:ascii="Calibri" w:hAnsi="Calibri" w:cs="Arial"/>
                <w:sz w:val="22"/>
                <w:szCs w:val="22"/>
              </w:rPr>
              <w:t>Introduced pests and diseases monitoring system, i.e. an agro-meteorological monitoring system helping farmers to control the pesticide use in apple production, including information dissemination system</w:t>
            </w:r>
          </w:p>
          <w:p w:rsidR="00582FD5" w:rsidRPr="000A3C73" w:rsidRDefault="00582FD5" w:rsidP="000A0F25">
            <w:pPr>
              <w:widowControl w:val="0"/>
              <w:numPr>
                <w:ilvl w:val="0"/>
                <w:numId w:val="15"/>
              </w:numPr>
              <w:spacing w:after="60"/>
              <w:jc w:val="both"/>
              <w:rPr>
                <w:rFonts w:ascii="Calibri" w:hAnsi="Calibri" w:cs="Arial"/>
                <w:sz w:val="22"/>
                <w:szCs w:val="22"/>
              </w:rPr>
            </w:pPr>
            <w:r w:rsidRPr="000A3C73">
              <w:rPr>
                <w:rFonts w:ascii="Calibri" w:hAnsi="Calibri" w:cs="Arial"/>
                <w:sz w:val="22"/>
                <w:szCs w:val="22"/>
              </w:rPr>
              <w:t>Successfully implemented pilot projects on applying water saving irrigation techniques</w:t>
            </w:r>
          </w:p>
          <w:p w:rsidR="00582FD5" w:rsidRPr="000A3C73" w:rsidRDefault="00582FD5" w:rsidP="000A0F25">
            <w:pPr>
              <w:widowControl w:val="0"/>
              <w:numPr>
                <w:ilvl w:val="0"/>
                <w:numId w:val="15"/>
              </w:numPr>
              <w:spacing w:after="60"/>
              <w:jc w:val="both"/>
              <w:rPr>
                <w:rFonts w:ascii="Calibri" w:hAnsi="Calibri" w:cs="Arial"/>
                <w:sz w:val="22"/>
                <w:szCs w:val="22"/>
              </w:rPr>
            </w:pPr>
            <w:r w:rsidRPr="000A3C73">
              <w:rPr>
                <w:rFonts w:ascii="Calibri" w:hAnsi="Calibri" w:cs="Arial"/>
                <w:sz w:val="22"/>
                <w:szCs w:val="22"/>
              </w:rPr>
              <w:t>Strengthened capacity of agricultural associations</w:t>
            </w:r>
          </w:p>
          <w:p w:rsidR="00582FD5" w:rsidRPr="000A3C73" w:rsidRDefault="00582FD5" w:rsidP="000A0F25">
            <w:pPr>
              <w:widowControl w:val="0"/>
              <w:numPr>
                <w:ilvl w:val="0"/>
                <w:numId w:val="15"/>
              </w:numPr>
              <w:spacing w:after="60"/>
              <w:jc w:val="both"/>
              <w:rPr>
                <w:rFonts w:ascii="Calibri" w:hAnsi="Calibri" w:cs="Arial"/>
                <w:sz w:val="22"/>
                <w:szCs w:val="22"/>
              </w:rPr>
            </w:pPr>
            <w:r w:rsidRPr="000A3C73">
              <w:rPr>
                <w:rFonts w:ascii="Calibri" w:hAnsi="Calibri" w:cs="Arial"/>
                <w:sz w:val="22"/>
                <w:szCs w:val="22"/>
              </w:rPr>
              <w:t>Training of farmers</w:t>
            </w:r>
          </w:p>
          <w:p w:rsidR="00582FD5" w:rsidRPr="000A3C73" w:rsidRDefault="00582FD5" w:rsidP="000A0F25">
            <w:pPr>
              <w:widowControl w:val="0"/>
              <w:numPr>
                <w:ilvl w:val="0"/>
                <w:numId w:val="15"/>
              </w:numPr>
              <w:spacing w:after="60"/>
              <w:jc w:val="both"/>
              <w:rPr>
                <w:rFonts w:ascii="Calibri" w:hAnsi="Calibri" w:cs="Arial"/>
                <w:sz w:val="22"/>
                <w:szCs w:val="22"/>
              </w:rPr>
            </w:pPr>
            <w:r w:rsidRPr="000A3C73">
              <w:rPr>
                <w:rFonts w:ascii="Calibri" w:hAnsi="Calibri" w:cs="Arial"/>
                <w:sz w:val="22"/>
                <w:szCs w:val="22"/>
              </w:rPr>
              <w:t>Published, promoted and distributed several manuals/guidelines for farmers (2 manuals on GAP, manual on ‘</w:t>
            </w:r>
            <w:r w:rsidR="00D163CA" w:rsidRPr="000A3C73">
              <w:rPr>
                <w:rFonts w:ascii="Calibri" w:hAnsi="Calibri" w:cs="Arial"/>
                <w:sz w:val="22"/>
                <w:szCs w:val="22"/>
              </w:rPr>
              <w:t>fertilization</w:t>
            </w:r>
            <w:r w:rsidRPr="000A3C73">
              <w:rPr>
                <w:rFonts w:ascii="Calibri" w:hAnsi="Calibri" w:cs="Arial"/>
                <w:sz w:val="22"/>
                <w:szCs w:val="22"/>
              </w:rPr>
              <w:t>’, manual on agro-ecological measures in apple production and alike)</w:t>
            </w:r>
          </w:p>
          <w:p w:rsidR="00582FD5" w:rsidRPr="000A3C73" w:rsidRDefault="00582FD5" w:rsidP="000A0F25">
            <w:pPr>
              <w:widowControl w:val="0"/>
              <w:numPr>
                <w:ilvl w:val="0"/>
                <w:numId w:val="15"/>
              </w:numPr>
              <w:spacing w:after="60"/>
              <w:ind w:left="714" w:hanging="357"/>
              <w:jc w:val="both"/>
              <w:rPr>
                <w:rFonts w:ascii="Calibri" w:hAnsi="Calibri" w:cs="Arial"/>
                <w:sz w:val="22"/>
                <w:szCs w:val="22"/>
              </w:rPr>
            </w:pPr>
            <w:r w:rsidRPr="000A3C73">
              <w:rPr>
                <w:rFonts w:ascii="Calibri" w:hAnsi="Calibri" w:cs="Arial"/>
                <w:sz w:val="22"/>
                <w:szCs w:val="22"/>
              </w:rPr>
              <w:t>Provided support in raising additional funds from the GEF Small Grants Programme for complementary projects implemented by local NGOs.</w:t>
            </w:r>
          </w:p>
          <w:p w:rsidR="00582FD5" w:rsidRPr="000A3C73" w:rsidRDefault="00582FD5" w:rsidP="00582FD5">
            <w:pPr>
              <w:widowControl w:val="0"/>
              <w:spacing w:after="60" w:line="276" w:lineRule="auto"/>
              <w:jc w:val="both"/>
              <w:rPr>
                <w:rFonts w:ascii="Calibri" w:hAnsi="Calibri" w:cs="Arial"/>
                <w:sz w:val="22"/>
                <w:szCs w:val="22"/>
              </w:rPr>
            </w:pPr>
            <w:r w:rsidRPr="000A3C73">
              <w:rPr>
                <w:rFonts w:ascii="Calibri" w:hAnsi="Calibri" w:cs="Arial"/>
                <w:sz w:val="22"/>
                <w:szCs w:val="22"/>
              </w:rPr>
              <w:t>(2) Apart from introduction of GAP, series of project activities are being implemented by UNDP for which, besides the GEF, considerable funds have been secured by the SDC focused on establishment of an agricultural waste management system. Namely, a pesticide and fertilizer hazardous packaging waste management system has been introduced through a combined effort of the SDC (Golema Reka), GEF Prespa and GEF Small Grants Programme. The activity included construction of local collection sites in priority areas in Prespa, construction of a central hazardous waste disposal site, purchasing of waste collection vehicles, and community awareness campaign. While the GEF project supported the conceptualization and feasibility assessment of the system, the SDC funds were used to cover the capital investment costs.</w:t>
            </w:r>
          </w:p>
          <w:p w:rsidR="00582FD5" w:rsidRPr="000A3C73" w:rsidRDefault="00582FD5" w:rsidP="000E6BCC">
            <w:pPr>
              <w:pStyle w:val="BodyText"/>
              <w:numPr>
                <w:ilvl w:val="0"/>
                <w:numId w:val="0"/>
              </w:numPr>
              <w:rPr>
                <w:sz w:val="22"/>
              </w:rPr>
            </w:pPr>
            <w:r w:rsidRPr="000A3C73">
              <w:rPr>
                <w:rFonts w:cs="Arial"/>
                <w:sz w:val="22"/>
                <w:szCs w:val="22"/>
              </w:rPr>
              <w:t xml:space="preserve">(3) The introduction of the organic waste management system </w:t>
            </w:r>
            <w:r w:rsidR="001711BB" w:rsidRPr="000A3C73">
              <w:rPr>
                <w:rFonts w:cs="Arial"/>
                <w:sz w:val="22"/>
                <w:szCs w:val="22"/>
              </w:rPr>
              <w:t xml:space="preserve">(see </w:t>
            </w:r>
            <w:r w:rsidR="008269C6" w:rsidRPr="00206E7A">
              <w:rPr>
                <w:rFonts w:cs="Arial"/>
                <w:sz w:val="22"/>
                <w:szCs w:val="22"/>
              </w:rPr>
              <w:fldChar w:fldCharType="begin"/>
            </w:r>
            <w:r w:rsidR="007D61D8" w:rsidRPr="000A3C73">
              <w:rPr>
                <w:rFonts w:cs="Arial"/>
                <w:sz w:val="22"/>
                <w:szCs w:val="22"/>
              </w:rPr>
              <w:instrText xml:space="preserve"> REF _Ref209757678 \h </w:instrText>
            </w:r>
            <w:r w:rsidR="008269C6" w:rsidRPr="00206E7A">
              <w:rPr>
                <w:rFonts w:cs="Arial"/>
                <w:sz w:val="22"/>
                <w:szCs w:val="22"/>
              </w:rPr>
            </w:r>
            <w:r w:rsidR="008269C6" w:rsidRPr="00206E7A">
              <w:rPr>
                <w:rFonts w:cs="Arial"/>
                <w:sz w:val="22"/>
                <w:szCs w:val="22"/>
              </w:rPr>
              <w:fldChar w:fldCharType="separate"/>
            </w:r>
            <w:r w:rsidR="006E18A7" w:rsidRPr="000A3C73">
              <w:t xml:space="preserve">Box </w:t>
            </w:r>
            <w:r w:rsidR="006E18A7" w:rsidRPr="000A3C73">
              <w:rPr>
                <w:noProof/>
              </w:rPr>
              <w:t>2</w:t>
            </w:r>
            <w:r w:rsidR="008269C6" w:rsidRPr="00206E7A">
              <w:rPr>
                <w:rFonts w:cs="Arial"/>
                <w:sz w:val="22"/>
                <w:szCs w:val="22"/>
              </w:rPr>
              <w:fldChar w:fldCharType="end"/>
            </w:r>
            <w:r w:rsidR="001711BB" w:rsidRPr="000A3C73">
              <w:rPr>
                <w:rFonts w:cs="Arial"/>
                <w:sz w:val="22"/>
                <w:szCs w:val="22"/>
              </w:rPr>
              <w:t xml:space="preserve">) </w:t>
            </w:r>
            <w:r w:rsidRPr="000A3C73">
              <w:rPr>
                <w:rFonts w:cs="Arial"/>
                <w:sz w:val="22"/>
                <w:szCs w:val="22"/>
              </w:rPr>
              <w:t>has been supported by a separate SDC-funded project. The project aimed at piloting centralized organic waste management system within the Golema Reka basin. It included construction of local collection sites, central composting facility</w:t>
            </w:r>
            <w:r w:rsidR="00690E5C" w:rsidRPr="000A3C73">
              <w:rPr>
                <w:rFonts w:cs="Arial"/>
                <w:sz w:val="22"/>
                <w:szCs w:val="22"/>
              </w:rPr>
              <w:t xml:space="preserve"> (see </w:t>
            </w:r>
            <w:r w:rsidR="008269C6" w:rsidRPr="00206E7A">
              <w:rPr>
                <w:rFonts w:cs="Arial"/>
                <w:sz w:val="22"/>
                <w:szCs w:val="22"/>
              </w:rPr>
              <w:fldChar w:fldCharType="begin"/>
            </w:r>
            <w:r w:rsidR="000E6BCC" w:rsidRPr="000A3C73">
              <w:rPr>
                <w:rFonts w:cs="Arial"/>
                <w:sz w:val="22"/>
                <w:szCs w:val="22"/>
              </w:rPr>
              <w:instrText xml:space="preserve"> REF _Ref213128262 \h </w:instrText>
            </w:r>
            <w:r w:rsidR="008269C6" w:rsidRPr="00206E7A">
              <w:rPr>
                <w:rFonts w:cs="Arial"/>
                <w:sz w:val="22"/>
                <w:szCs w:val="22"/>
              </w:rPr>
            </w:r>
            <w:r w:rsidR="008269C6" w:rsidRPr="00206E7A">
              <w:rPr>
                <w:rFonts w:cs="Arial"/>
                <w:sz w:val="22"/>
                <w:szCs w:val="22"/>
              </w:rPr>
              <w:fldChar w:fldCharType="separate"/>
            </w:r>
            <w:r w:rsidR="006E18A7" w:rsidRPr="000A3C73">
              <w:t xml:space="preserve">Photo </w:t>
            </w:r>
            <w:r w:rsidR="006E18A7" w:rsidRPr="000A3C73">
              <w:rPr>
                <w:noProof/>
              </w:rPr>
              <w:t>1</w:t>
            </w:r>
            <w:r w:rsidR="008269C6" w:rsidRPr="00206E7A">
              <w:rPr>
                <w:rFonts w:cs="Arial"/>
                <w:sz w:val="22"/>
                <w:szCs w:val="22"/>
              </w:rPr>
              <w:fldChar w:fldCharType="end"/>
            </w:r>
            <w:r w:rsidR="00690E5C" w:rsidRPr="000A3C73">
              <w:rPr>
                <w:rFonts w:cs="Arial"/>
                <w:sz w:val="22"/>
                <w:szCs w:val="22"/>
              </w:rPr>
              <w:t>)</w:t>
            </w:r>
            <w:r w:rsidRPr="000A3C73">
              <w:rPr>
                <w:rFonts w:cs="Arial"/>
                <w:sz w:val="22"/>
                <w:szCs w:val="22"/>
              </w:rPr>
              <w:t>, and other technical support to the Municipality of Resen and its public enterprise responsible for waste management.</w:t>
            </w:r>
          </w:p>
        </w:tc>
      </w:tr>
    </w:tbl>
    <w:p w:rsidR="00582FD5" w:rsidRPr="000A3C73" w:rsidRDefault="00582FD5" w:rsidP="00582FD5">
      <w:pPr>
        <w:pStyle w:val="BodyText"/>
        <w:numPr>
          <w:ilvl w:val="0"/>
          <w:numId w:val="0"/>
        </w:numPr>
        <w:rPr>
          <w:i/>
          <w:u w:val="single"/>
        </w:rPr>
      </w:pPr>
    </w:p>
    <w:p w:rsidR="00690E5C" w:rsidRPr="000A3C73" w:rsidRDefault="00690E5C" w:rsidP="00690E5C">
      <w:pPr>
        <w:pStyle w:val="Caption"/>
        <w:jc w:val="both"/>
      </w:pPr>
      <w:bookmarkStart w:id="109" w:name="_Ref213128262"/>
      <w:r w:rsidRPr="000A3C73">
        <w:t xml:space="preserve">Photo </w:t>
      </w:r>
      <w:r w:rsidR="008269C6" w:rsidRPr="00552EEF">
        <w:fldChar w:fldCharType="begin"/>
      </w:r>
      <w:r w:rsidR="00CF23E9" w:rsidRPr="000A3C73">
        <w:instrText xml:space="preserve"> SEQ Photo \* ARABIC </w:instrText>
      </w:r>
      <w:r w:rsidR="008269C6" w:rsidRPr="00552EEF">
        <w:fldChar w:fldCharType="separate"/>
      </w:r>
      <w:r w:rsidR="006E18A7" w:rsidRPr="000A3C73">
        <w:rPr>
          <w:noProof/>
        </w:rPr>
        <w:t>1</w:t>
      </w:r>
      <w:r w:rsidR="008269C6" w:rsidRPr="00552EEF">
        <w:rPr>
          <w:noProof/>
        </w:rPr>
        <w:fldChar w:fldCharType="end"/>
      </w:r>
      <w:bookmarkEnd w:id="109"/>
      <w:r w:rsidRPr="000A3C73">
        <w:t xml:space="preserve"> Ongoing Construction of Organic Waste Composting Facility</w:t>
      </w:r>
    </w:p>
    <w:p w:rsidR="00690E5C" w:rsidRPr="000A3C73" w:rsidRDefault="00690E5C" w:rsidP="00582FD5">
      <w:pPr>
        <w:pStyle w:val="BodyText"/>
        <w:numPr>
          <w:ilvl w:val="0"/>
          <w:numId w:val="0"/>
        </w:numPr>
      </w:pPr>
      <w:r w:rsidRPr="00F92C45">
        <w:rPr>
          <w:noProof/>
        </w:rPr>
        <w:drawing>
          <wp:inline distT="0" distB="0" distL="0" distR="0">
            <wp:extent cx="4957454" cy="2997200"/>
            <wp:effectExtent l="25400" t="25400" r="20955" b="254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190_MK_compostingfacility.jpg"/>
                    <pic:cNvPicPr/>
                  </pic:nvPicPr>
                  <pic:blipFill rotWithShape="1">
                    <a:blip r:embed="rId3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pic:blipFill>
                  <pic:spPr bwMode="auto">
                    <a:xfrm>
                      <a:off x="0" y="0"/>
                      <a:ext cx="4958456" cy="2997806"/>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1711BB" w:rsidRPr="000A3C73" w:rsidRDefault="001711BB" w:rsidP="001711BB">
      <w:pPr>
        <w:pStyle w:val="Caption"/>
        <w:jc w:val="both"/>
      </w:pPr>
      <w:bookmarkStart w:id="110" w:name="_Ref209757678"/>
      <w:r w:rsidRPr="000A3C73">
        <w:t xml:space="preserve">Box </w:t>
      </w:r>
      <w:r w:rsidR="008269C6" w:rsidRPr="00552EEF">
        <w:fldChar w:fldCharType="begin"/>
      </w:r>
      <w:r w:rsidR="00CF23E9" w:rsidRPr="000A3C73">
        <w:instrText xml:space="preserve"> SEQ Box \* ARABIC </w:instrText>
      </w:r>
      <w:r w:rsidR="008269C6" w:rsidRPr="00552EEF">
        <w:fldChar w:fldCharType="separate"/>
      </w:r>
      <w:r w:rsidR="006E18A7" w:rsidRPr="000A3C73">
        <w:rPr>
          <w:noProof/>
        </w:rPr>
        <w:t>2</w:t>
      </w:r>
      <w:r w:rsidR="008269C6" w:rsidRPr="00552EEF">
        <w:rPr>
          <w:noProof/>
        </w:rPr>
        <w:fldChar w:fldCharType="end"/>
      </w:r>
      <w:bookmarkEnd w:id="110"/>
      <w:r w:rsidRPr="000A3C73">
        <w:t xml:space="preserve"> Biodegradable Waste Management in Macedonian Prespa</w:t>
      </w:r>
    </w:p>
    <w:p w:rsidR="001711BB" w:rsidRPr="005E69C8" w:rsidRDefault="008269C6" w:rsidP="00582FD5">
      <w:pPr>
        <w:pStyle w:val="BodyText"/>
        <w:numPr>
          <w:ilvl w:val="0"/>
          <w:numId w:val="0"/>
        </w:numPr>
      </w:pPr>
      <w:r w:rsidRPr="008269C6">
        <w:rPr>
          <w:noProof/>
          <w:sz w:val="20"/>
          <w:szCs w:val="20"/>
        </w:rPr>
      </w:r>
      <w:r w:rsidRPr="008269C6">
        <w:rPr>
          <w:noProof/>
          <w:sz w:val="20"/>
          <w:szCs w:val="20"/>
        </w:rPr>
        <w:pict>
          <v:shape id="Text Box 10" o:spid="_x0000_s1030" type="#_x0000_t202" style="width:468pt;height:573.2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" fillcolor="#bfbfbf">
            <v:path arrowok="t"/>
            <v:textbox>
              <w:txbxContent>
                <w:p w:rsidR="00B43AFE" w:rsidRPr="001711BB" w:rsidRDefault="00B43AFE" w:rsidP="001711BB">
                  <w:pPr>
                    <w:autoSpaceDE w:val="0"/>
                    <w:autoSpaceDN w:val="0"/>
                    <w:adjustRightInd w:val="0"/>
                    <w:spacing w:after="60" w:line="276" w:lineRule="auto"/>
                    <w:jc w:val="both"/>
                    <w:rPr>
                      <w:rFonts w:ascii="Calibri" w:hAnsi="Calibri"/>
                      <w:sz w:val="20"/>
                      <w:szCs w:val="20"/>
                    </w:rPr>
                  </w:pPr>
                  <w:r w:rsidRPr="001711BB">
                    <w:rPr>
                      <w:rFonts w:ascii="Calibri" w:hAnsi="Calibri"/>
                      <w:sz w:val="20"/>
                      <w:szCs w:val="20"/>
                    </w:rPr>
                    <w:t>For an extended period of time, the Prespa Lakes Basin faced a serious waste management problem related to lack of a solution for adequate disposal and/or treatment of biodegradable wastes (BW) which are result of agriculture, industrial production and forest management activities. The problem has been specifically relevant for the Macedonian part of the Basin where agriculture is among the main economic/income generation sectors, with apples being the primary crop.</w:t>
                  </w:r>
                </w:p>
                <w:p w:rsidR="00B43AFE" w:rsidRPr="001711BB" w:rsidRDefault="00B43AFE" w:rsidP="001711BB">
                  <w:pPr>
                    <w:autoSpaceDE w:val="0"/>
                    <w:autoSpaceDN w:val="0"/>
                    <w:adjustRightInd w:val="0"/>
                    <w:spacing w:after="60" w:line="276" w:lineRule="auto"/>
                    <w:jc w:val="both"/>
                    <w:rPr>
                      <w:rFonts w:ascii="Calibri" w:hAnsi="Calibri"/>
                      <w:sz w:val="20"/>
                      <w:szCs w:val="20"/>
                    </w:rPr>
                  </w:pPr>
                  <w:r w:rsidRPr="001711BB">
                    <w:rPr>
                      <w:rFonts w:ascii="Calibri" w:hAnsi="Calibri"/>
                      <w:sz w:val="20"/>
                      <w:szCs w:val="20"/>
                    </w:rPr>
                    <w:t>In 2009/2010 the SDC-funded Restoration of Golema Reka (Phase 2) project financed the preparation of a comprehensive Feasibility Study on Biodegradable Waste Management in Prespa. The Study analyzed the overall feasibility for establishment of a centralized system for BW management in the Municipality of Resen. Most important analyzed concern were the massive quantities of BW from agriculture activities, estimated to range between 8,000 to 20,000 tons/year, and specifically the volume of waste apples that made roughly 80% of this amount (7,000 to 18,000 tons/year). Additional source of BW generated in the region are wood residues (wastes) resulting from orchard pruning and post-harvest wood residues from commercial forest exploitation, estimated to range altogether from 15,000 to 20,000 m3/year.</w:t>
                  </w:r>
                </w:p>
                <w:p w:rsidR="00B43AFE" w:rsidRPr="001711BB" w:rsidRDefault="00B43AFE" w:rsidP="001711BB">
                  <w:pPr>
                    <w:autoSpaceDE w:val="0"/>
                    <w:autoSpaceDN w:val="0"/>
                    <w:adjustRightInd w:val="0"/>
                    <w:spacing w:after="60" w:line="276" w:lineRule="auto"/>
                    <w:jc w:val="both"/>
                    <w:rPr>
                      <w:rFonts w:ascii="Calibri" w:hAnsi="Calibri"/>
                      <w:sz w:val="20"/>
                      <w:szCs w:val="20"/>
                    </w:rPr>
                  </w:pPr>
                  <w:r w:rsidRPr="001711BB">
                    <w:rPr>
                      <w:rFonts w:ascii="Calibri" w:hAnsi="Calibri"/>
                      <w:sz w:val="20"/>
                      <w:szCs w:val="20"/>
                    </w:rPr>
                    <w:t>Based on comparative analysis, it has been concluded that establishing a central composting plant (compared to anaerobic digestion) for treatment of BW from agriculture activities and industrial production is the most practical and feasible solution to the stated problem. Recommended composting plant would convert the agriculture and industrial BW into compost using the open windrow method. The open windrow composting method is a low-tech and low-cost solution, yet enabling production of organic fertilizer – compost – that can be straightforwardly placed (sold) on the local market, thus securing operating cost recovery and consequently a long-term sustainability of the system. The plant would have a total capacity for production of 8,000 to 10,000 tons of matured comport annually. Furthermore, based on comparative analysis of several possible solutions and optimization of the planned BW transport and logistics system on several levels, it has been concluded that collection of the BW from agricultural activities should be made on a total of 26 waste collection stations located in vicinity of the settlements in Resen Municipality. The total investment costs of the system have been estimated at approximately €2.5 million.</w:t>
                  </w:r>
                </w:p>
                <w:p w:rsidR="00B43AFE" w:rsidRPr="001711BB" w:rsidRDefault="00B43AFE" w:rsidP="001711BB">
                  <w:pPr>
                    <w:autoSpaceDE w:val="0"/>
                    <w:autoSpaceDN w:val="0"/>
                    <w:adjustRightInd w:val="0"/>
                    <w:spacing w:after="60" w:line="276" w:lineRule="auto"/>
                    <w:jc w:val="both"/>
                    <w:rPr>
                      <w:rFonts w:ascii="Calibri" w:hAnsi="Calibri"/>
                      <w:sz w:val="20"/>
                      <w:szCs w:val="20"/>
                    </w:rPr>
                  </w:pPr>
                  <w:r w:rsidRPr="001711BB">
                    <w:rPr>
                      <w:rFonts w:ascii="Calibri" w:hAnsi="Calibri"/>
                      <w:sz w:val="20"/>
                      <w:szCs w:val="20"/>
                    </w:rPr>
                    <w:t xml:space="preserve">Following the recommendations from the Study, in 2011 the SDC had decided to fully finance the development and construction of a centralized </w:t>
                  </w:r>
                  <w:r w:rsidRPr="001711BB">
                    <w:rPr>
                      <w:rFonts w:ascii="Calibri" w:hAnsi="Calibri"/>
                      <w:i/>
                      <w:sz w:val="20"/>
                      <w:szCs w:val="20"/>
                    </w:rPr>
                    <w:t>pilot</w:t>
                  </w:r>
                  <w:r w:rsidRPr="001711BB">
                    <w:rPr>
                      <w:rFonts w:ascii="Calibri" w:hAnsi="Calibri"/>
                      <w:sz w:val="20"/>
                      <w:szCs w:val="20"/>
                    </w:rPr>
                    <w:t xml:space="preserve"> composting facility with an annual capacity of 1,</w:t>
                  </w:r>
                  <w:r>
                    <w:rPr>
                      <w:rFonts w:ascii="Calibri" w:hAnsi="Calibri"/>
                      <w:sz w:val="20"/>
                      <w:szCs w:val="20"/>
                    </w:rPr>
                    <w:t>600 m</w:t>
                  </w:r>
                  <w:r w:rsidRPr="00CB65DB">
                    <w:rPr>
                      <w:rFonts w:ascii="Calibri" w:hAnsi="Calibri"/>
                      <w:sz w:val="20"/>
                      <w:szCs w:val="20"/>
                      <w:vertAlign w:val="superscript"/>
                    </w:rPr>
                    <w:t>3</w:t>
                  </w:r>
                  <w:r>
                    <w:rPr>
                      <w:rFonts w:ascii="Calibri" w:hAnsi="Calibri"/>
                      <w:sz w:val="20"/>
                      <w:szCs w:val="20"/>
                    </w:rPr>
                    <w:t xml:space="preserve"> ready made compost, and fourBW</w:t>
                  </w:r>
                  <w:r w:rsidRPr="001711BB">
                    <w:rPr>
                      <w:rFonts w:ascii="Calibri" w:hAnsi="Calibri"/>
                      <w:sz w:val="20"/>
                      <w:szCs w:val="20"/>
                    </w:rPr>
                    <w:t xml:space="preserve"> collection stations that will cover the area around the town of Resen and Jankovec village. Main objective of this pilot activity is to field-test all the numerous assumptions based on which the feasibility of BW treatment for the entire Prespa region has been assessed, such as the quantities of generated BW, the efficiency of proposed transport and logistics system for inflow of BW into a centralized facility, the market prices for sale of produced compost in the wider region, etc. In addition, the pilot composting plant should in a way introduce in the Prespa region the use of compost as a fertilizer for agriculture production on a larger – than own-yard-based composting – scale. The pilot facility is expected to be fully operational in the second half of 2012. </w:t>
                  </w:r>
                </w:p>
                <w:p w:rsidR="00B43AFE" w:rsidRPr="001711BB" w:rsidRDefault="00B43AFE" w:rsidP="001711BB">
                  <w:pPr>
                    <w:autoSpaceDE w:val="0"/>
                    <w:autoSpaceDN w:val="0"/>
                    <w:adjustRightInd w:val="0"/>
                    <w:spacing w:after="60" w:line="276" w:lineRule="auto"/>
                    <w:jc w:val="both"/>
                    <w:rPr>
                      <w:rFonts w:ascii="Calibri" w:hAnsi="Calibri"/>
                      <w:sz w:val="20"/>
                      <w:szCs w:val="20"/>
                    </w:rPr>
                  </w:pPr>
                  <w:r w:rsidRPr="001711BB">
                    <w:rPr>
                      <w:rFonts w:ascii="Calibri" w:hAnsi="Calibri"/>
                      <w:sz w:val="20"/>
                      <w:szCs w:val="20"/>
                    </w:rPr>
                    <w:t>Certainly, for the Prespa region as a whole, these BW management activities represent an innovative, market-based solution to a long-lasting environmental problem. Furthermore, these activities are expected to produce among the Programme’s most tangible results and be replicated in other parts of the Prespa Lakes Basin (e.g. Albania) in the future.</w:t>
                  </w:r>
                </w:p>
              </w:txbxContent>
            </v:textbox>
            <w10:anchorlock/>
          </v:shape>
        </w:pict>
      </w:r>
    </w:p>
    <w:p w:rsidR="001711BB" w:rsidRPr="00850A96" w:rsidRDefault="001711BB" w:rsidP="00582FD5">
      <w:pPr>
        <w:pStyle w:val="BodyText"/>
        <w:numPr>
          <w:ilvl w:val="0"/>
          <w:numId w:val="0"/>
        </w:numPr>
        <w:rPr>
          <w:i/>
          <w:u w:val="single"/>
        </w:rPr>
      </w:pPr>
    </w:p>
    <w:p w:rsidR="001711BB" w:rsidRPr="008B7E9A" w:rsidRDefault="001711BB" w:rsidP="00582FD5">
      <w:pPr>
        <w:pStyle w:val="BodyText"/>
        <w:numPr>
          <w:ilvl w:val="0"/>
          <w:numId w:val="0"/>
        </w:numPr>
        <w:rPr>
          <w:i/>
          <w:u w:val="single"/>
        </w:rPr>
      </w:pPr>
    </w:p>
    <w:p w:rsidR="005F6CA2" w:rsidRPr="00FC657B" w:rsidRDefault="005F6CA2" w:rsidP="00930211">
      <w:pPr>
        <w:pStyle w:val="BodyText"/>
        <w:rPr>
          <w:i/>
          <w:u w:val="single"/>
        </w:rPr>
      </w:pPr>
      <w:r w:rsidRPr="0089284E">
        <w:rPr>
          <w:b/>
          <w:bCs/>
          <w:i/>
          <w:u w:val="single"/>
        </w:rPr>
        <w:t xml:space="preserve">Output 2.2 </w:t>
      </w:r>
      <w:r w:rsidRPr="0089284E">
        <w:rPr>
          <w:i/>
          <w:u w:val="single"/>
        </w:rPr>
        <w:t>Forest managed for native species composition and forest stand he</w:t>
      </w:r>
      <w:r w:rsidR="009920D4" w:rsidRPr="0089284E">
        <w:rPr>
          <w:i/>
          <w:u w:val="single"/>
        </w:rPr>
        <w:t>terogeneity in AL and MK Prespa</w:t>
      </w:r>
    </w:p>
    <w:tbl>
      <w:tblPr>
        <w:tblStyle w:val="TableGrid"/>
        <w:tblW w:w="0" w:type="auto"/>
        <w:tblLook w:val="04A0"/>
      </w:tblPr>
      <w:tblGrid>
        <w:gridCol w:w="1567"/>
        <w:gridCol w:w="8009"/>
      </w:tblGrid>
      <w:tr w:rsidR="00582FD5" w:rsidRPr="000A3C73" w:rsidTr="00582FD5">
        <w:tc>
          <w:tcPr>
            <w:tcW w:w="558" w:type="dxa"/>
          </w:tcPr>
          <w:p w:rsidR="00582FD5" w:rsidRPr="00FC657B" w:rsidRDefault="00582FD5" w:rsidP="00582FD5">
            <w:pPr>
              <w:pStyle w:val="BodyText"/>
              <w:numPr>
                <w:ilvl w:val="0"/>
                <w:numId w:val="0"/>
              </w:numPr>
              <w:rPr>
                <w:sz w:val="22"/>
              </w:rPr>
            </w:pPr>
            <w:r w:rsidRPr="00FC657B">
              <w:rPr>
                <w:sz w:val="22"/>
              </w:rPr>
              <w:t>Transboundary</w:t>
            </w:r>
          </w:p>
        </w:tc>
        <w:tc>
          <w:tcPr>
            <w:tcW w:w="9018" w:type="dxa"/>
          </w:tcPr>
          <w:p w:rsidR="00582FD5" w:rsidRPr="00CD42DE" w:rsidRDefault="001C6EBB" w:rsidP="00582FD5">
            <w:pPr>
              <w:pStyle w:val="BodyText"/>
              <w:numPr>
                <w:ilvl w:val="0"/>
                <w:numId w:val="0"/>
              </w:numPr>
              <w:rPr>
                <w:sz w:val="22"/>
              </w:rPr>
            </w:pPr>
            <w:r w:rsidRPr="00D77DF1">
              <w:rPr>
                <w:sz w:val="22"/>
              </w:rPr>
              <w:t>N/A</w:t>
            </w:r>
          </w:p>
        </w:tc>
      </w:tr>
      <w:tr w:rsidR="00582FD5" w:rsidRPr="000A3C73" w:rsidTr="00582FD5">
        <w:tc>
          <w:tcPr>
            <w:tcW w:w="558" w:type="dxa"/>
          </w:tcPr>
          <w:p w:rsidR="00582FD5" w:rsidRPr="000A3C73" w:rsidRDefault="00582FD5" w:rsidP="00582FD5">
            <w:pPr>
              <w:pStyle w:val="BodyText"/>
              <w:numPr>
                <w:ilvl w:val="0"/>
                <w:numId w:val="0"/>
              </w:numPr>
              <w:rPr>
                <w:sz w:val="22"/>
              </w:rPr>
            </w:pPr>
            <w:r w:rsidRPr="000A3C73">
              <w:rPr>
                <w:sz w:val="22"/>
              </w:rPr>
              <w:t>Albania</w:t>
            </w:r>
          </w:p>
        </w:tc>
        <w:tc>
          <w:tcPr>
            <w:tcW w:w="9018" w:type="dxa"/>
          </w:tcPr>
          <w:p w:rsidR="00CC53A0" w:rsidRPr="000A3C73" w:rsidRDefault="00CC53A0" w:rsidP="00CC53A0">
            <w:pPr>
              <w:pStyle w:val="BodyText"/>
              <w:numPr>
                <w:ilvl w:val="0"/>
                <w:numId w:val="0"/>
              </w:numPr>
              <w:rPr>
                <w:sz w:val="22"/>
              </w:rPr>
            </w:pPr>
            <w:r w:rsidRPr="000A3C73">
              <w:rPr>
                <w:sz w:val="22"/>
              </w:rPr>
              <w:t>Biodiversity-or</w:t>
            </w:r>
            <w:r w:rsidR="00B70474" w:rsidRPr="000A3C73">
              <w:rPr>
                <w:sz w:val="22"/>
              </w:rPr>
              <w:t xml:space="preserve">iented management of forests was </w:t>
            </w:r>
            <w:r w:rsidRPr="000A3C73">
              <w:rPr>
                <w:sz w:val="22"/>
              </w:rPr>
              <w:t>introduced with KfW project (since mid-2011)</w:t>
            </w:r>
            <w:r w:rsidR="00815FBE" w:rsidRPr="000A3C73">
              <w:rPr>
                <w:sz w:val="22"/>
              </w:rPr>
              <w:t>,</w:t>
            </w:r>
            <w:r w:rsidRPr="000A3C73">
              <w:rPr>
                <w:sz w:val="22"/>
              </w:rPr>
              <w:t xml:space="preserve"> which is also preparing the management plan for </w:t>
            </w:r>
            <w:r w:rsidR="00A62B1D" w:rsidRPr="000A3C73">
              <w:rPr>
                <w:sz w:val="22"/>
              </w:rPr>
              <w:t>Prespa National Park,</w:t>
            </w:r>
            <w:r w:rsidRPr="000A3C73">
              <w:rPr>
                <w:sz w:val="22"/>
              </w:rPr>
              <w:t xml:space="preserve"> and</w:t>
            </w:r>
            <w:r w:rsidR="00A62B1D" w:rsidRPr="000A3C73">
              <w:rPr>
                <w:sz w:val="22"/>
              </w:rPr>
              <w:t xml:space="preserve"> the</w:t>
            </w:r>
            <w:r w:rsidRPr="000A3C73">
              <w:rPr>
                <w:sz w:val="22"/>
              </w:rPr>
              <w:t xml:space="preserve"> UNDP project is contri</w:t>
            </w:r>
            <w:r w:rsidR="00A62B1D" w:rsidRPr="000A3C73">
              <w:rPr>
                <w:sz w:val="22"/>
              </w:rPr>
              <w:t xml:space="preserve">buting with collected expertise. </w:t>
            </w:r>
          </w:p>
          <w:p w:rsidR="00582FD5" w:rsidRPr="000A3C73" w:rsidRDefault="00CC53A0" w:rsidP="00A62B1D">
            <w:pPr>
              <w:pStyle w:val="BodyText"/>
              <w:numPr>
                <w:ilvl w:val="0"/>
                <w:numId w:val="0"/>
              </w:numPr>
              <w:rPr>
                <w:sz w:val="22"/>
              </w:rPr>
            </w:pPr>
            <w:r w:rsidRPr="000A3C73">
              <w:rPr>
                <w:sz w:val="22"/>
              </w:rPr>
              <w:t xml:space="preserve">Study tour organized in Durmitor and Mljet National Parks for </w:t>
            </w:r>
            <w:r w:rsidR="00A62B1D" w:rsidRPr="000A3C73">
              <w:rPr>
                <w:sz w:val="22"/>
              </w:rPr>
              <w:t>Prespa National Park</w:t>
            </w:r>
            <w:r w:rsidRPr="000A3C73">
              <w:rPr>
                <w:sz w:val="22"/>
              </w:rPr>
              <w:t xml:space="preserve">, LG and NGOs for exchanging experience on </w:t>
            </w:r>
            <w:r w:rsidR="00A62B1D" w:rsidRPr="000A3C73">
              <w:rPr>
                <w:sz w:val="22"/>
              </w:rPr>
              <w:t>protected area</w:t>
            </w:r>
            <w:r w:rsidRPr="000A3C73">
              <w:rPr>
                <w:sz w:val="22"/>
              </w:rPr>
              <w:t xml:space="preserve"> management and related issues.</w:t>
            </w:r>
          </w:p>
        </w:tc>
      </w:tr>
      <w:tr w:rsidR="00582FD5" w:rsidRPr="000A3C73" w:rsidTr="00582FD5">
        <w:tc>
          <w:tcPr>
            <w:tcW w:w="558" w:type="dxa"/>
          </w:tcPr>
          <w:p w:rsidR="00582FD5" w:rsidRPr="000A3C73" w:rsidRDefault="00582FD5" w:rsidP="00582FD5">
            <w:pPr>
              <w:pStyle w:val="BodyText"/>
              <w:numPr>
                <w:ilvl w:val="0"/>
                <w:numId w:val="0"/>
              </w:numPr>
              <w:rPr>
                <w:sz w:val="22"/>
              </w:rPr>
            </w:pPr>
            <w:r w:rsidRPr="000A3C73">
              <w:rPr>
                <w:sz w:val="22"/>
              </w:rPr>
              <w:t>FYR Macedonia</w:t>
            </w:r>
          </w:p>
        </w:tc>
        <w:tc>
          <w:tcPr>
            <w:tcW w:w="9018" w:type="dxa"/>
          </w:tcPr>
          <w:p w:rsidR="00582FD5" w:rsidRPr="000A3C73" w:rsidRDefault="00CC53A0" w:rsidP="00CC53A0">
            <w:pPr>
              <w:pStyle w:val="BodyText"/>
              <w:numPr>
                <w:ilvl w:val="0"/>
                <w:numId w:val="0"/>
              </w:numPr>
              <w:rPr>
                <w:sz w:val="22"/>
              </w:rPr>
            </w:pPr>
            <w:r w:rsidRPr="000A3C73">
              <w:rPr>
                <w:sz w:val="22"/>
                <w:szCs w:val="22"/>
              </w:rPr>
              <w:t>Project’s</w:t>
            </w:r>
            <w:r w:rsidR="00582FD5" w:rsidRPr="000A3C73">
              <w:rPr>
                <w:sz w:val="22"/>
                <w:szCs w:val="22"/>
              </w:rPr>
              <w:t xml:space="preserve"> support to the forestry sector has been designed around the concept of sustainable, ecosystem-oriented forest management at the lake basin scale. At the early stages the </w:t>
            </w:r>
            <w:r w:rsidRPr="000A3C73">
              <w:rPr>
                <w:sz w:val="22"/>
                <w:szCs w:val="22"/>
              </w:rPr>
              <w:t>project</w:t>
            </w:r>
            <w:r w:rsidR="00582FD5" w:rsidRPr="000A3C73">
              <w:rPr>
                <w:sz w:val="22"/>
                <w:szCs w:val="22"/>
              </w:rPr>
              <w:t xml:space="preserve"> provided expert input in the process of preparation of a forest management plan for one forest management unit in Prespa, in accordance to international best practices and models.</w:t>
            </w:r>
            <w:r w:rsidR="007B0959" w:rsidRPr="000A3C73">
              <w:rPr>
                <w:sz w:val="22"/>
                <w:szCs w:val="22"/>
              </w:rPr>
              <w:t xml:space="preserve"> </w:t>
            </w:r>
            <w:r w:rsidR="00582FD5" w:rsidRPr="000A3C73">
              <w:rPr>
                <w:rFonts w:cs="Arial"/>
                <w:sz w:val="22"/>
                <w:szCs w:val="22"/>
              </w:rPr>
              <w:t xml:space="preserve">In order to increase </w:t>
            </w:r>
            <w:r w:rsidR="00582FD5" w:rsidRPr="000A3C73">
              <w:rPr>
                <w:sz w:val="22"/>
                <w:szCs w:val="22"/>
              </w:rPr>
              <w:t xml:space="preserve">the productivity of the existing nursery owned by the Forest PE “Makedonski Sumi”, the project has provided </w:t>
            </w:r>
            <w:r w:rsidR="00582FD5" w:rsidRPr="000A3C73">
              <w:rPr>
                <w:rFonts w:cs="Arial"/>
                <w:sz w:val="22"/>
                <w:szCs w:val="22"/>
              </w:rPr>
              <w:t xml:space="preserve">the basic machinery/equipment. The modernized nursery has doubled the number of seedlings of native tree species produced each year. These seedlings are used for the ongoing </w:t>
            </w:r>
            <w:r w:rsidR="00582FD5" w:rsidRPr="000A3C73">
              <w:rPr>
                <w:sz w:val="22"/>
                <w:szCs w:val="22"/>
              </w:rPr>
              <w:t>afforestation efforts.</w:t>
            </w:r>
            <w:r w:rsidR="007B0959" w:rsidRPr="000A3C73">
              <w:rPr>
                <w:sz w:val="22"/>
                <w:szCs w:val="22"/>
              </w:rPr>
              <w:t xml:space="preserve"> </w:t>
            </w:r>
            <w:r w:rsidR="00582FD5" w:rsidRPr="000A3C73">
              <w:rPr>
                <w:rFonts w:cs="Arial"/>
                <w:sz w:val="22"/>
                <w:szCs w:val="22"/>
              </w:rPr>
              <w:t>The improvement of the forest management practices has been supported through provision of basic monitoring and other equipment (e.g. GPS devices, hypsometers, and etc.), which are currently being used by the PE “Makedonski Sumi”. In addition, the capacities of the forest management authorities have been continuously developed through their involvement in various national and trans-boundary level activities, such as: participation in the Watershed Management Council, trans-boundary monitoring system, work on Ezerani protected area, and other.</w:t>
            </w:r>
          </w:p>
        </w:tc>
      </w:tr>
    </w:tbl>
    <w:p w:rsidR="00582FD5" w:rsidRPr="000A3C73" w:rsidRDefault="00582FD5" w:rsidP="00582FD5">
      <w:pPr>
        <w:pStyle w:val="BodyText"/>
        <w:numPr>
          <w:ilvl w:val="0"/>
          <w:numId w:val="0"/>
        </w:numPr>
        <w:rPr>
          <w:i/>
          <w:u w:val="single"/>
        </w:rPr>
      </w:pPr>
    </w:p>
    <w:p w:rsidR="005F6CA2" w:rsidRPr="00FC657B" w:rsidRDefault="005F6CA2" w:rsidP="00930211">
      <w:pPr>
        <w:pStyle w:val="BodyText"/>
        <w:rPr>
          <w:i/>
          <w:u w:val="single"/>
        </w:rPr>
      </w:pPr>
      <w:r w:rsidRPr="0089284E">
        <w:rPr>
          <w:b/>
          <w:i/>
          <w:u w:val="single"/>
        </w:rPr>
        <w:t>Output 2.3</w:t>
      </w:r>
      <w:r w:rsidRPr="0089284E">
        <w:rPr>
          <w:i/>
          <w:u w:val="single"/>
        </w:rPr>
        <w:t xml:space="preserve"> Restoration/reforestation of degraded forest in Albanian Pre</w:t>
      </w:r>
      <w:r w:rsidR="009920D4" w:rsidRPr="0089284E">
        <w:rPr>
          <w:i/>
          <w:u w:val="single"/>
        </w:rPr>
        <w:t>spa National Park (KfW)</w:t>
      </w:r>
    </w:p>
    <w:tbl>
      <w:tblPr>
        <w:tblStyle w:val="TableGrid"/>
        <w:tblW w:w="0" w:type="auto"/>
        <w:tblLook w:val="04A0"/>
      </w:tblPr>
      <w:tblGrid>
        <w:gridCol w:w="1567"/>
        <w:gridCol w:w="8009"/>
      </w:tblGrid>
      <w:tr w:rsidR="00582FD5" w:rsidRPr="000A3C73" w:rsidTr="00582FD5">
        <w:tc>
          <w:tcPr>
            <w:tcW w:w="558" w:type="dxa"/>
          </w:tcPr>
          <w:p w:rsidR="00582FD5" w:rsidRPr="00FC657B" w:rsidRDefault="00582FD5" w:rsidP="00582FD5">
            <w:pPr>
              <w:pStyle w:val="BodyText"/>
              <w:numPr>
                <w:ilvl w:val="0"/>
                <w:numId w:val="0"/>
              </w:numPr>
              <w:rPr>
                <w:sz w:val="22"/>
              </w:rPr>
            </w:pPr>
            <w:r w:rsidRPr="00FC657B">
              <w:rPr>
                <w:sz w:val="22"/>
              </w:rPr>
              <w:t>Transboundary</w:t>
            </w:r>
          </w:p>
        </w:tc>
        <w:tc>
          <w:tcPr>
            <w:tcW w:w="9018" w:type="dxa"/>
          </w:tcPr>
          <w:p w:rsidR="00582FD5" w:rsidRPr="00CD42DE" w:rsidRDefault="00DB40FD" w:rsidP="00582FD5">
            <w:pPr>
              <w:pStyle w:val="BodyText"/>
              <w:numPr>
                <w:ilvl w:val="0"/>
                <w:numId w:val="0"/>
              </w:numPr>
              <w:rPr>
                <w:sz w:val="22"/>
              </w:rPr>
            </w:pPr>
            <w:r w:rsidRPr="00D77DF1">
              <w:rPr>
                <w:sz w:val="22"/>
              </w:rPr>
              <w:t>N/A</w:t>
            </w:r>
          </w:p>
        </w:tc>
      </w:tr>
      <w:tr w:rsidR="00582FD5" w:rsidRPr="000A3C73" w:rsidTr="00582FD5">
        <w:tc>
          <w:tcPr>
            <w:tcW w:w="558" w:type="dxa"/>
          </w:tcPr>
          <w:p w:rsidR="00582FD5" w:rsidRPr="000A3C73" w:rsidRDefault="00582FD5" w:rsidP="00582FD5">
            <w:pPr>
              <w:pStyle w:val="BodyText"/>
              <w:numPr>
                <w:ilvl w:val="0"/>
                <w:numId w:val="0"/>
              </w:numPr>
              <w:rPr>
                <w:sz w:val="22"/>
              </w:rPr>
            </w:pPr>
            <w:r w:rsidRPr="000A3C73">
              <w:rPr>
                <w:sz w:val="22"/>
              </w:rPr>
              <w:t>Albania</w:t>
            </w:r>
          </w:p>
        </w:tc>
        <w:tc>
          <w:tcPr>
            <w:tcW w:w="9018" w:type="dxa"/>
          </w:tcPr>
          <w:p w:rsidR="00582FD5" w:rsidRPr="000A3C73" w:rsidRDefault="003955C6" w:rsidP="003955C6">
            <w:pPr>
              <w:pStyle w:val="BodyText"/>
              <w:numPr>
                <w:ilvl w:val="0"/>
                <w:numId w:val="0"/>
              </w:numPr>
              <w:rPr>
                <w:sz w:val="22"/>
              </w:rPr>
            </w:pPr>
            <w:r w:rsidRPr="000A3C73">
              <w:rPr>
                <w:sz w:val="22"/>
              </w:rPr>
              <w:t xml:space="preserve">In actuality little was done on this Output before the end of the project, as it was to be financed by the KfW activities in Prespa National Park in Albanian, which only commenced in October 2011, approximately six months before the end of the GEF-funded Albanian component of the Prespa IEM project. </w:t>
            </w:r>
            <w:r w:rsidR="00CC53A0" w:rsidRPr="000A3C73">
              <w:rPr>
                <w:sz w:val="22"/>
              </w:rPr>
              <w:t xml:space="preserve">4500 ha of forest and 300 ha of pastures are </w:t>
            </w:r>
            <w:r w:rsidR="00D47187" w:rsidRPr="000A3C73">
              <w:rPr>
                <w:sz w:val="22"/>
              </w:rPr>
              <w:t xml:space="preserve">under communal management, which </w:t>
            </w:r>
            <w:r w:rsidR="00CC53A0" w:rsidRPr="000A3C73">
              <w:rPr>
                <w:sz w:val="22"/>
              </w:rPr>
              <w:t>is</w:t>
            </w:r>
            <w:r w:rsidR="00D47187" w:rsidRPr="000A3C73">
              <w:rPr>
                <w:sz w:val="22"/>
              </w:rPr>
              <w:t xml:space="preserve"> about40% of the total forest cover of Prespa National Park</w:t>
            </w:r>
            <w:r w:rsidR="00CC53A0" w:rsidRPr="000A3C73">
              <w:rPr>
                <w:sz w:val="22"/>
              </w:rPr>
              <w:t xml:space="preserve">. </w:t>
            </w:r>
            <w:r w:rsidR="00D47187" w:rsidRPr="000A3C73">
              <w:rPr>
                <w:sz w:val="22"/>
              </w:rPr>
              <w:t>This</w:t>
            </w:r>
            <w:r w:rsidR="00CC53A0" w:rsidRPr="000A3C73">
              <w:rPr>
                <w:sz w:val="22"/>
              </w:rPr>
              <w:t xml:space="preserve"> fulfills about 40% of the population needs for fodder and fuel wood in Prespa area</w:t>
            </w:r>
            <w:r w:rsidR="00D9116E" w:rsidRPr="000A3C73">
              <w:rPr>
                <w:sz w:val="22"/>
              </w:rPr>
              <w:t>.</w:t>
            </w:r>
          </w:p>
        </w:tc>
      </w:tr>
      <w:tr w:rsidR="00582FD5" w:rsidRPr="000A3C73" w:rsidTr="00582FD5">
        <w:tc>
          <w:tcPr>
            <w:tcW w:w="558" w:type="dxa"/>
          </w:tcPr>
          <w:p w:rsidR="00582FD5" w:rsidRPr="000A3C73" w:rsidRDefault="00582FD5" w:rsidP="00582FD5">
            <w:pPr>
              <w:pStyle w:val="BodyText"/>
              <w:numPr>
                <w:ilvl w:val="0"/>
                <w:numId w:val="0"/>
              </w:numPr>
              <w:rPr>
                <w:sz w:val="22"/>
              </w:rPr>
            </w:pPr>
            <w:r w:rsidRPr="000A3C73">
              <w:rPr>
                <w:sz w:val="22"/>
              </w:rPr>
              <w:t>FYR Macedonia</w:t>
            </w:r>
          </w:p>
        </w:tc>
        <w:tc>
          <w:tcPr>
            <w:tcW w:w="9018" w:type="dxa"/>
          </w:tcPr>
          <w:p w:rsidR="00582FD5" w:rsidRPr="000A3C73" w:rsidRDefault="00DB40FD" w:rsidP="00582FD5">
            <w:pPr>
              <w:pStyle w:val="BodyText"/>
              <w:numPr>
                <w:ilvl w:val="0"/>
                <w:numId w:val="0"/>
              </w:numPr>
              <w:rPr>
                <w:sz w:val="22"/>
              </w:rPr>
            </w:pPr>
            <w:r w:rsidRPr="000A3C73">
              <w:rPr>
                <w:sz w:val="22"/>
              </w:rPr>
              <w:t>N/A</w:t>
            </w:r>
          </w:p>
        </w:tc>
      </w:tr>
    </w:tbl>
    <w:p w:rsidR="00582FD5" w:rsidRPr="000A3C73" w:rsidRDefault="00582FD5" w:rsidP="00582FD5">
      <w:pPr>
        <w:pStyle w:val="BodyText"/>
        <w:numPr>
          <w:ilvl w:val="0"/>
          <w:numId w:val="0"/>
        </w:numPr>
        <w:rPr>
          <w:i/>
          <w:u w:val="single"/>
        </w:rPr>
      </w:pPr>
    </w:p>
    <w:p w:rsidR="009920D4" w:rsidRPr="00FC657B" w:rsidRDefault="009920D4" w:rsidP="00930211">
      <w:pPr>
        <w:pStyle w:val="BodyText"/>
        <w:rPr>
          <w:i/>
          <w:u w:val="single"/>
        </w:rPr>
      </w:pPr>
      <w:r w:rsidRPr="0089284E">
        <w:rPr>
          <w:b/>
          <w:bCs/>
          <w:i/>
          <w:u w:val="single"/>
        </w:rPr>
        <w:t>Output 2.4</w:t>
      </w:r>
      <w:r w:rsidRPr="0089284E">
        <w:rPr>
          <w:i/>
          <w:u w:val="single"/>
        </w:rPr>
        <w:t xml:space="preserve"> Appropriate small-scale wastewater treatment facilities measurably reduce eutrophying inputs to Lakes Prespa</w:t>
      </w:r>
    </w:p>
    <w:tbl>
      <w:tblPr>
        <w:tblStyle w:val="TableGrid"/>
        <w:tblW w:w="0" w:type="auto"/>
        <w:tblLook w:val="04A0"/>
      </w:tblPr>
      <w:tblGrid>
        <w:gridCol w:w="1567"/>
        <w:gridCol w:w="8009"/>
      </w:tblGrid>
      <w:tr w:rsidR="00582FD5" w:rsidRPr="000A3C73" w:rsidTr="00582FD5">
        <w:tc>
          <w:tcPr>
            <w:tcW w:w="558" w:type="dxa"/>
          </w:tcPr>
          <w:p w:rsidR="00582FD5" w:rsidRPr="00FC657B" w:rsidRDefault="00582FD5" w:rsidP="00582FD5">
            <w:pPr>
              <w:pStyle w:val="BodyText"/>
              <w:numPr>
                <w:ilvl w:val="0"/>
                <w:numId w:val="0"/>
              </w:numPr>
              <w:rPr>
                <w:sz w:val="22"/>
              </w:rPr>
            </w:pPr>
            <w:r w:rsidRPr="00FC657B">
              <w:rPr>
                <w:sz w:val="22"/>
              </w:rPr>
              <w:t>Transboundary</w:t>
            </w:r>
          </w:p>
        </w:tc>
        <w:tc>
          <w:tcPr>
            <w:tcW w:w="9018" w:type="dxa"/>
          </w:tcPr>
          <w:p w:rsidR="00582FD5" w:rsidRPr="00CD42DE" w:rsidRDefault="001C6EBB" w:rsidP="00582FD5">
            <w:pPr>
              <w:pStyle w:val="BodyText"/>
              <w:numPr>
                <w:ilvl w:val="0"/>
                <w:numId w:val="0"/>
              </w:numPr>
              <w:rPr>
                <w:sz w:val="22"/>
              </w:rPr>
            </w:pPr>
            <w:r w:rsidRPr="00D77DF1">
              <w:rPr>
                <w:sz w:val="22"/>
              </w:rPr>
              <w:t>N/A</w:t>
            </w:r>
          </w:p>
        </w:tc>
      </w:tr>
      <w:tr w:rsidR="00582FD5" w:rsidRPr="000A3C73" w:rsidTr="00582FD5">
        <w:tc>
          <w:tcPr>
            <w:tcW w:w="558" w:type="dxa"/>
          </w:tcPr>
          <w:p w:rsidR="00582FD5" w:rsidRPr="000A3C73" w:rsidRDefault="00582FD5" w:rsidP="00582FD5">
            <w:pPr>
              <w:pStyle w:val="BodyText"/>
              <w:numPr>
                <w:ilvl w:val="0"/>
                <w:numId w:val="0"/>
              </w:numPr>
              <w:rPr>
                <w:sz w:val="22"/>
              </w:rPr>
            </w:pPr>
            <w:r w:rsidRPr="000A3C73">
              <w:rPr>
                <w:sz w:val="22"/>
              </w:rPr>
              <w:t>Albania</w:t>
            </w:r>
          </w:p>
        </w:tc>
        <w:tc>
          <w:tcPr>
            <w:tcW w:w="9018" w:type="dxa"/>
          </w:tcPr>
          <w:p w:rsidR="00D9116E" w:rsidRPr="000A3C73" w:rsidRDefault="00D9116E" w:rsidP="00D9116E">
            <w:pPr>
              <w:pStyle w:val="BodyText"/>
              <w:numPr>
                <w:ilvl w:val="0"/>
                <w:numId w:val="0"/>
              </w:numPr>
              <w:rPr>
                <w:sz w:val="22"/>
              </w:rPr>
            </w:pPr>
            <w:r w:rsidRPr="000A3C73">
              <w:rPr>
                <w:sz w:val="22"/>
              </w:rPr>
              <w:t>No village near lakes is large enough to take a wastewater plant. However, solid waste disposal in tr</w:t>
            </w:r>
            <w:r w:rsidR="00AF546F" w:rsidRPr="000A3C73">
              <w:rPr>
                <w:sz w:val="22"/>
              </w:rPr>
              <w:t>ibutary streams provides eutroph</w:t>
            </w:r>
            <w:r w:rsidRPr="000A3C73">
              <w:rPr>
                <w:sz w:val="22"/>
              </w:rPr>
              <w:t xml:space="preserve">ying inputs to lake. An important activity is the improvement of existing wastewater system in Proger through REC grant. Additionally, 30% solid waste reduction (weight) was achieved due to improved management system in Liqenas and Proger communes. </w:t>
            </w:r>
            <w:r w:rsidRPr="000A3C73">
              <w:rPr>
                <w:bCs/>
                <w:iCs/>
                <w:sz w:val="22"/>
              </w:rPr>
              <w:t xml:space="preserve">Due to the delays on the implementation of the Regional Waste Treatment Scheme which will provide a permanent solution for Prespa as well, currently solid waste is only dumped in three different sites located in Zaroshka, Liqenas and Gorica e Vogel. Still the situation is significantly improved due to the provision of two collection trucks and the technical assistance for the construction of dumpsites provided by SIDA funds and facilitated by UNDP/GEF project. </w:t>
            </w:r>
            <w:r w:rsidRPr="000A3C73">
              <w:rPr>
                <w:sz w:val="22"/>
              </w:rPr>
              <w:t xml:space="preserve">NGOs have also taken actions to clean the tributary streams beds from waste. </w:t>
            </w:r>
          </w:p>
          <w:p w:rsidR="00582FD5" w:rsidRPr="000A3C73" w:rsidRDefault="00D9116E" w:rsidP="00D9116E">
            <w:pPr>
              <w:pStyle w:val="BodyText"/>
              <w:numPr>
                <w:ilvl w:val="0"/>
                <w:numId w:val="0"/>
              </w:numPr>
              <w:rPr>
                <w:sz w:val="22"/>
              </w:rPr>
            </w:pPr>
            <w:r w:rsidRPr="000A3C73">
              <w:rPr>
                <w:sz w:val="22"/>
              </w:rPr>
              <w:t>Constructed wetland facility was thought as an alternative solution in Gorica/ Liqenas, in cooperation with UNDP ArtGold programme and government structure, but not done due to lack of budget</w:t>
            </w:r>
            <w:r w:rsidR="009A1E6F" w:rsidRPr="000A3C73">
              <w:rPr>
                <w:sz w:val="22"/>
              </w:rPr>
              <w:t>.</w:t>
            </w:r>
          </w:p>
        </w:tc>
      </w:tr>
      <w:tr w:rsidR="00582FD5" w:rsidRPr="000A3C73" w:rsidTr="00582FD5">
        <w:tc>
          <w:tcPr>
            <w:tcW w:w="558" w:type="dxa"/>
          </w:tcPr>
          <w:p w:rsidR="00582FD5" w:rsidRPr="000A3C73" w:rsidRDefault="00582FD5" w:rsidP="00582FD5">
            <w:pPr>
              <w:pStyle w:val="BodyText"/>
              <w:numPr>
                <w:ilvl w:val="0"/>
                <w:numId w:val="0"/>
              </w:numPr>
              <w:rPr>
                <w:sz w:val="22"/>
              </w:rPr>
            </w:pPr>
            <w:r w:rsidRPr="000A3C73">
              <w:rPr>
                <w:sz w:val="22"/>
              </w:rPr>
              <w:t>FYR Macedonia</w:t>
            </w:r>
          </w:p>
        </w:tc>
        <w:tc>
          <w:tcPr>
            <w:tcW w:w="9018" w:type="dxa"/>
          </w:tcPr>
          <w:p w:rsidR="00DB40FD" w:rsidRPr="000A3C73" w:rsidRDefault="00DB40FD" w:rsidP="00DB40FD">
            <w:pPr>
              <w:widowControl w:val="0"/>
              <w:overflowPunct w:val="0"/>
              <w:autoSpaceDE w:val="0"/>
              <w:autoSpaceDN w:val="0"/>
              <w:adjustRightInd w:val="0"/>
              <w:spacing w:after="60"/>
              <w:jc w:val="both"/>
              <w:textAlignment w:val="baseline"/>
              <w:rPr>
                <w:rFonts w:ascii="Calibri" w:hAnsi="Calibri" w:cs="Arial"/>
                <w:sz w:val="22"/>
                <w:szCs w:val="22"/>
              </w:rPr>
            </w:pPr>
            <w:r w:rsidRPr="000A3C73">
              <w:rPr>
                <w:rFonts w:ascii="Calibri" w:hAnsi="Calibri" w:cs="Arial"/>
                <w:sz w:val="22"/>
                <w:szCs w:val="22"/>
              </w:rPr>
              <w:t>The construction of the wastewater management system in the village of Nakolec is considered to be one of the most important, but also complex and financially demanding project activities. This activity has been planned to be implemented in partnership between the MoEPP, UNDP, Municipality of Resen and the local community of Nakolec. For that purpose a Memorandum of Understanding (MoU) had been signed by all four parties, whereas the UNDP has been responsible for the construction of the wastewater treatment plant (WWTP), the MoEPP and the local community of Nakolec have taken on the responsibility for building the wastewater collection system (WWCS), and the Resen Municipality has been responsible for pursuing the administrative procedures, permitting and licensing.</w:t>
            </w:r>
          </w:p>
          <w:p w:rsidR="00582FD5" w:rsidRPr="000A3C73" w:rsidRDefault="00DB40FD" w:rsidP="00DB40FD">
            <w:pPr>
              <w:pStyle w:val="BodyText"/>
              <w:numPr>
                <w:ilvl w:val="0"/>
                <w:numId w:val="0"/>
              </w:numPr>
              <w:rPr>
                <w:sz w:val="22"/>
              </w:rPr>
            </w:pPr>
            <w:r w:rsidRPr="000A3C73">
              <w:rPr>
                <w:rFonts w:cs="Arial"/>
                <w:sz w:val="22"/>
                <w:szCs w:val="22"/>
              </w:rPr>
              <w:t xml:space="preserve">Although the actual construction of the WWTP has been completed by May 2009, the whole system has not been made operational, as the construction of the WWCS has been considerably delayed. Namely, significant co-financing for construction of the WWCS has been initially provided by the local community of Nakolec. However, the MoEPP has requested the MoU to be amended so that the responsibilities of the local community could have been taken on by the Ministry itself. Further on the UNDP has committed to allocating additional funds for completion of the WWCS, conditioned on: (1) signed annex to the contract between the MoEPP and the contractor responsible for construction of the WWCS, and (2) demonstration of progress in the construction of the WWCS. Although the annex was signed, no progress in the construction works had </w:t>
            </w:r>
            <w:r w:rsidR="00D163CA" w:rsidRPr="000A3C73">
              <w:rPr>
                <w:rFonts w:cs="Arial"/>
                <w:sz w:val="22"/>
                <w:szCs w:val="22"/>
              </w:rPr>
              <w:t>occurred. The</w:t>
            </w:r>
            <w:r w:rsidRPr="000A3C73">
              <w:rPr>
                <w:rFonts w:cs="Arial"/>
                <w:sz w:val="22"/>
                <w:szCs w:val="22"/>
              </w:rPr>
              <w:t xml:space="preserve"> issue of the Nakolec WWTP had been raised in discussions between the UNDP and the MoEPP at highest level and at several occasions. It is expected that the WWCS will be </w:t>
            </w:r>
            <w:r w:rsidR="00D9116E" w:rsidRPr="000A3C73">
              <w:rPr>
                <w:rFonts w:cs="Arial"/>
                <w:sz w:val="22"/>
                <w:szCs w:val="22"/>
              </w:rPr>
              <w:t>completed</w:t>
            </w:r>
            <w:r w:rsidRPr="000A3C73">
              <w:rPr>
                <w:rFonts w:cs="Arial"/>
                <w:sz w:val="22"/>
                <w:szCs w:val="22"/>
              </w:rPr>
              <w:t xml:space="preserve"> and the entire system will be fully functional by the end of 2012.</w:t>
            </w:r>
          </w:p>
        </w:tc>
      </w:tr>
    </w:tbl>
    <w:p w:rsidR="00582FD5" w:rsidRPr="000A3C73" w:rsidRDefault="00582FD5" w:rsidP="00582FD5">
      <w:pPr>
        <w:pStyle w:val="BodyText"/>
        <w:numPr>
          <w:ilvl w:val="0"/>
          <w:numId w:val="0"/>
        </w:numPr>
        <w:rPr>
          <w:i/>
          <w:u w:val="single"/>
        </w:rPr>
      </w:pPr>
    </w:p>
    <w:p w:rsidR="009920D4" w:rsidRPr="00FC657B" w:rsidRDefault="009920D4" w:rsidP="00930211">
      <w:pPr>
        <w:pStyle w:val="BodyText"/>
        <w:rPr>
          <w:i/>
          <w:u w:val="single"/>
        </w:rPr>
      </w:pPr>
      <w:r w:rsidRPr="0089284E">
        <w:rPr>
          <w:b/>
          <w:bCs/>
          <w:i/>
          <w:u w:val="single"/>
        </w:rPr>
        <w:t xml:space="preserve">Output 2.5 </w:t>
      </w:r>
      <w:r w:rsidRPr="0089284E">
        <w:rPr>
          <w:bCs/>
          <w:i/>
          <w:u w:val="single"/>
        </w:rPr>
        <w:t>Strengthened civil society partners for ecosystem-oriented fishery management in AL and MK Prespa</w:t>
      </w:r>
    </w:p>
    <w:tbl>
      <w:tblPr>
        <w:tblStyle w:val="TableGrid"/>
        <w:tblW w:w="0" w:type="auto"/>
        <w:tblLook w:val="04A0"/>
      </w:tblPr>
      <w:tblGrid>
        <w:gridCol w:w="1567"/>
        <w:gridCol w:w="8009"/>
      </w:tblGrid>
      <w:tr w:rsidR="00582FD5" w:rsidRPr="000A3C73" w:rsidTr="00582FD5">
        <w:tc>
          <w:tcPr>
            <w:tcW w:w="558" w:type="dxa"/>
          </w:tcPr>
          <w:p w:rsidR="00582FD5" w:rsidRPr="00FC657B" w:rsidRDefault="00582FD5" w:rsidP="00582FD5">
            <w:pPr>
              <w:pStyle w:val="BodyText"/>
              <w:numPr>
                <w:ilvl w:val="0"/>
                <w:numId w:val="0"/>
              </w:numPr>
              <w:rPr>
                <w:sz w:val="22"/>
              </w:rPr>
            </w:pPr>
            <w:r w:rsidRPr="00FC657B">
              <w:rPr>
                <w:sz w:val="22"/>
              </w:rPr>
              <w:t>Transboundary</w:t>
            </w:r>
          </w:p>
        </w:tc>
        <w:tc>
          <w:tcPr>
            <w:tcW w:w="9018" w:type="dxa"/>
          </w:tcPr>
          <w:p w:rsidR="00582FD5" w:rsidRPr="00CD42DE" w:rsidRDefault="001C6EBB" w:rsidP="00582FD5">
            <w:pPr>
              <w:pStyle w:val="BodyText"/>
              <w:numPr>
                <w:ilvl w:val="0"/>
                <w:numId w:val="0"/>
              </w:numPr>
              <w:rPr>
                <w:sz w:val="22"/>
              </w:rPr>
            </w:pPr>
            <w:r w:rsidRPr="00D77DF1">
              <w:rPr>
                <w:sz w:val="22"/>
              </w:rPr>
              <w:t>N/A</w:t>
            </w:r>
          </w:p>
        </w:tc>
      </w:tr>
      <w:tr w:rsidR="00582FD5" w:rsidRPr="000A3C73" w:rsidTr="00582FD5">
        <w:tc>
          <w:tcPr>
            <w:tcW w:w="558" w:type="dxa"/>
          </w:tcPr>
          <w:p w:rsidR="00582FD5" w:rsidRPr="000A3C73" w:rsidRDefault="00582FD5" w:rsidP="00582FD5">
            <w:pPr>
              <w:pStyle w:val="BodyText"/>
              <w:numPr>
                <w:ilvl w:val="0"/>
                <w:numId w:val="0"/>
              </w:numPr>
              <w:rPr>
                <w:sz w:val="22"/>
              </w:rPr>
            </w:pPr>
            <w:r w:rsidRPr="000A3C73">
              <w:rPr>
                <w:sz w:val="22"/>
              </w:rPr>
              <w:t>Albania</w:t>
            </w:r>
          </w:p>
        </w:tc>
        <w:tc>
          <w:tcPr>
            <w:tcW w:w="9018" w:type="dxa"/>
          </w:tcPr>
          <w:p w:rsidR="00D9116E" w:rsidRPr="000A3C73" w:rsidRDefault="00D9116E" w:rsidP="00D9116E">
            <w:pPr>
              <w:pStyle w:val="BodyText"/>
              <w:numPr>
                <w:ilvl w:val="0"/>
                <w:numId w:val="0"/>
              </w:numPr>
              <w:rPr>
                <w:sz w:val="22"/>
              </w:rPr>
            </w:pPr>
            <w:r w:rsidRPr="000A3C73">
              <w:rPr>
                <w:sz w:val="22"/>
              </w:rPr>
              <w:t xml:space="preserve">A </w:t>
            </w:r>
            <w:r w:rsidR="00DD7077" w:rsidRPr="000A3C73">
              <w:rPr>
                <w:sz w:val="22"/>
              </w:rPr>
              <w:t>Fishermen’s</w:t>
            </w:r>
            <w:r w:rsidRPr="000A3C73">
              <w:rPr>
                <w:sz w:val="22"/>
              </w:rPr>
              <w:t xml:space="preserve"> Association is formed by the Project. Together with strengthening of the existing OFM this led to improved fisheries data. Available information shared within sector within country; trans-boundary Fisheries Management Plan prepared and addressed by the three countries in a TB workshop late 2011. However, there is no limit on fish catch yet. Actual annual catch is 200-250 tons of fish in both Prespa lakes. The cooperation is actually limited to determining close-season for various species. Cooperation is expected to improve with the implementation of the Fisheries Plan(s). </w:t>
            </w:r>
          </w:p>
          <w:p w:rsidR="00D9116E" w:rsidRPr="000A3C73" w:rsidRDefault="00D9116E" w:rsidP="00D9116E">
            <w:pPr>
              <w:pStyle w:val="BodyText"/>
              <w:numPr>
                <w:ilvl w:val="0"/>
                <w:numId w:val="0"/>
              </w:numPr>
              <w:rPr>
                <w:sz w:val="22"/>
              </w:rPr>
            </w:pPr>
            <w:r w:rsidRPr="000A3C73">
              <w:rPr>
                <w:bCs/>
                <w:iCs/>
                <w:sz w:val="22"/>
              </w:rPr>
              <w:t xml:space="preserve">Priority species are defined and three states are working focusing on fish conservation priorities. Both fishermen associations in Albania are very well organized and work together with State Inspectorate for establishing a management regime which reflects the ecosystem objectives but these efforts remain local and are not yet coordinated in three states. Banning of fishing during spawning season is not TB coordinated but regulated on country bases during the last three years and that's mainly due to the political disputes between </w:t>
            </w:r>
            <w:r w:rsidR="00C978C8" w:rsidRPr="000A3C73">
              <w:rPr>
                <w:bCs/>
                <w:iCs/>
                <w:sz w:val="22"/>
              </w:rPr>
              <w:t>Greece</w:t>
            </w:r>
            <w:r w:rsidRPr="000A3C73">
              <w:rPr>
                <w:bCs/>
                <w:iCs/>
                <w:sz w:val="22"/>
              </w:rPr>
              <w:t xml:space="preserve"> and </w:t>
            </w:r>
            <w:r w:rsidR="00C978C8" w:rsidRPr="000A3C73">
              <w:rPr>
                <w:bCs/>
                <w:iCs/>
                <w:sz w:val="22"/>
              </w:rPr>
              <w:t>Macedonia</w:t>
            </w:r>
            <w:r w:rsidRPr="000A3C73">
              <w:rPr>
                <w:bCs/>
                <w:iCs/>
                <w:sz w:val="22"/>
              </w:rPr>
              <w:t>.</w:t>
            </w:r>
          </w:p>
          <w:p w:rsidR="00582FD5" w:rsidRPr="000A3C73" w:rsidRDefault="00D9116E" w:rsidP="00D9116E">
            <w:pPr>
              <w:pStyle w:val="BodyText"/>
              <w:numPr>
                <w:ilvl w:val="0"/>
                <w:numId w:val="0"/>
              </w:numPr>
              <w:rPr>
                <w:sz w:val="22"/>
              </w:rPr>
            </w:pPr>
            <w:r w:rsidRPr="000A3C73">
              <w:rPr>
                <w:bCs/>
                <w:iCs/>
                <w:sz w:val="22"/>
              </w:rPr>
              <w:t>Endemic fish species are known and the threats to them are well understood among fishermen groups and rest of community. No alien or predatory fish species introduced in Al</w:t>
            </w:r>
            <w:r w:rsidR="00907A73" w:rsidRPr="000A3C73">
              <w:rPr>
                <w:bCs/>
                <w:iCs/>
                <w:sz w:val="22"/>
              </w:rPr>
              <w:t>bania</w:t>
            </w:r>
            <w:r w:rsidRPr="000A3C73">
              <w:rPr>
                <w:bCs/>
                <w:iCs/>
                <w:sz w:val="22"/>
              </w:rPr>
              <w:t>. The only fingerlings supplying source, Zvezda fish farm is under management by Fishery Inspectorate. For more, fishermen are encouraged to catch and trade more alien species thus contributing in decreasing their population on the lake.</w:t>
            </w:r>
          </w:p>
        </w:tc>
      </w:tr>
      <w:tr w:rsidR="00582FD5" w:rsidRPr="000A3C73" w:rsidTr="00582FD5">
        <w:tc>
          <w:tcPr>
            <w:tcW w:w="558" w:type="dxa"/>
          </w:tcPr>
          <w:p w:rsidR="00582FD5" w:rsidRPr="000A3C73" w:rsidRDefault="00582FD5" w:rsidP="00582FD5">
            <w:pPr>
              <w:pStyle w:val="BodyText"/>
              <w:numPr>
                <w:ilvl w:val="0"/>
                <w:numId w:val="0"/>
              </w:numPr>
              <w:rPr>
                <w:sz w:val="22"/>
              </w:rPr>
            </w:pPr>
            <w:r w:rsidRPr="000A3C73">
              <w:rPr>
                <w:sz w:val="22"/>
              </w:rPr>
              <w:t>FYR Macedonia</w:t>
            </w:r>
          </w:p>
        </w:tc>
        <w:tc>
          <w:tcPr>
            <w:tcW w:w="9018" w:type="dxa"/>
          </w:tcPr>
          <w:p w:rsidR="00DB40FD" w:rsidRPr="000A3C73" w:rsidRDefault="00DB40FD" w:rsidP="00DB40FD">
            <w:pPr>
              <w:widowControl w:val="0"/>
              <w:overflowPunct w:val="0"/>
              <w:autoSpaceDE w:val="0"/>
              <w:autoSpaceDN w:val="0"/>
              <w:adjustRightInd w:val="0"/>
              <w:spacing w:after="60"/>
              <w:jc w:val="both"/>
              <w:textAlignment w:val="baseline"/>
              <w:rPr>
                <w:rFonts w:ascii="Calibri" w:hAnsi="Calibri" w:cs="Arial"/>
                <w:sz w:val="22"/>
                <w:szCs w:val="22"/>
              </w:rPr>
            </w:pPr>
            <w:r w:rsidRPr="000A3C73">
              <w:rPr>
                <w:rFonts w:ascii="Calibri" w:hAnsi="Calibri" w:cs="Arial"/>
                <w:sz w:val="22"/>
                <w:szCs w:val="22"/>
              </w:rPr>
              <w:t xml:space="preserve">In its efforts to instigate more proactive participation of the local civil society organizations in the fish and fisheries management at national and trans-boundary level, the </w:t>
            </w:r>
            <w:r w:rsidR="00907A73" w:rsidRPr="000A3C73">
              <w:rPr>
                <w:rFonts w:ascii="Calibri" w:hAnsi="Calibri" w:cs="Arial"/>
                <w:sz w:val="22"/>
                <w:szCs w:val="22"/>
              </w:rPr>
              <w:t>project</w:t>
            </w:r>
            <w:r w:rsidRPr="000A3C73">
              <w:rPr>
                <w:rFonts w:ascii="Calibri" w:hAnsi="Calibri" w:cs="Arial"/>
                <w:sz w:val="22"/>
                <w:szCs w:val="22"/>
              </w:rPr>
              <w:t xml:space="preserve"> supported </w:t>
            </w:r>
            <w:r w:rsidR="00907A73" w:rsidRPr="000A3C73">
              <w:rPr>
                <w:rFonts w:ascii="Calibri" w:hAnsi="Calibri" w:cs="Arial"/>
                <w:sz w:val="22"/>
                <w:szCs w:val="22"/>
              </w:rPr>
              <w:t>the establishment of the first a</w:t>
            </w:r>
            <w:r w:rsidRPr="000A3C73">
              <w:rPr>
                <w:rFonts w:ascii="Calibri" w:hAnsi="Calibri" w:cs="Arial"/>
                <w:sz w:val="22"/>
                <w:szCs w:val="22"/>
              </w:rPr>
              <w:t xml:space="preserve">ssociation of professional fishermen from Prespa. Approximately 80 fishermen from </w:t>
            </w:r>
            <w:r w:rsidR="00907A73" w:rsidRPr="000A3C73">
              <w:rPr>
                <w:rFonts w:ascii="Calibri" w:hAnsi="Calibri" w:cs="Arial"/>
                <w:sz w:val="22"/>
                <w:szCs w:val="22"/>
              </w:rPr>
              <w:t>seven</w:t>
            </w:r>
            <w:r w:rsidRPr="000A3C73">
              <w:rPr>
                <w:rFonts w:ascii="Calibri" w:hAnsi="Calibri" w:cs="Arial"/>
                <w:sz w:val="22"/>
                <w:szCs w:val="22"/>
              </w:rPr>
              <w:t xml:space="preserve"> villages situated along the Macedonian shoreline of the Macro Prespa Lake for which fisheries are the principal source of income are members of the Association. Their focus is on proactive participation in the overall fisheries management system in the region, especially given the circumstances imposed by the newly enacted Law on Fisheries and the other accompanying regulations.</w:t>
            </w:r>
          </w:p>
          <w:p w:rsidR="00582FD5" w:rsidRPr="000A3C73" w:rsidRDefault="00DB40FD" w:rsidP="00907A73">
            <w:pPr>
              <w:pStyle w:val="BodyText"/>
              <w:numPr>
                <w:ilvl w:val="0"/>
                <w:numId w:val="0"/>
              </w:numPr>
              <w:rPr>
                <w:sz w:val="22"/>
              </w:rPr>
            </w:pPr>
            <w:r w:rsidRPr="000A3C73">
              <w:rPr>
                <w:rFonts w:cs="Arial"/>
                <w:sz w:val="22"/>
                <w:szCs w:val="22"/>
              </w:rPr>
              <w:t xml:space="preserve">The Association has been recognized by the </w:t>
            </w:r>
            <w:r w:rsidR="00907A73" w:rsidRPr="000A3C73">
              <w:rPr>
                <w:rFonts w:cs="Arial"/>
                <w:sz w:val="22"/>
                <w:szCs w:val="22"/>
              </w:rPr>
              <w:t>project</w:t>
            </w:r>
            <w:r w:rsidRPr="000A3C73">
              <w:rPr>
                <w:rFonts w:cs="Arial"/>
                <w:sz w:val="22"/>
                <w:szCs w:val="22"/>
              </w:rPr>
              <w:t xml:space="preserve"> as an excellent partner in the introduction of a more sustainable, ecosystem-oriented fisheries management in Prespa. Therefore, the </w:t>
            </w:r>
            <w:r w:rsidR="00907A73" w:rsidRPr="000A3C73">
              <w:rPr>
                <w:rFonts w:cs="Arial"/>
                <w:sz w:val="22"/>
                <w:szCs w:val="22"/>
              </w:rPr>
              <w:t>project</w:t>
            </w:r>
            <w:r w:rsidRPr="000A3C73">
              <w:rPr>
                <w:rFonts w:cs="Arial"/>
                <w:sz w:val="22"/>
                <w:szCs w:val="22"/>
              </w:rPr>
              <w:t xml:space="preserve"> has provided continuous support in the strengthening the Association’s capacity. As part of the capacity development support to the newly established Association, the </w:t>
            </w:r>
            <w:r w:rsidR="00907A73" w:rsidRPr="000A3C73">
              <w:rPr>
                <w:rFonts w:cs="Arial"/>
                <w:sz w:val="22"/>
                <w:szCs w:val="22"/>
              </w:rPr>
              <w:t>project</w:t>
            </w:r>
            <w:r w:rsidRPr="000A3C73">
              <w:rPr>
                <w:rFonts w:cs="Arial"/>
                <w:sz w:val="22"/>
                <w:szCs w:val="22"/>
              </w:rPr>
              <w:t xml:space="preserve"> facilitated the involvement of the Association in all relevant activities, such as: trans-boundary fish and fisheries management planning process; national consultations for fisheries management plan; trans-boundary monitoring of fish; Watershed Management Council’s work on Ezerani protected area, and similar. The </w:t>
            </w:r>
            <w:r w:rsidR="00907A73" w:rsidRPr="000A3C73">
              <w:rPr>
                <w:rFonts w:cs="Arial"/>
                <w:sz w:val="22"/>
                <w:szCs w:val="22"/>
              </w:rPr>
              <w:t>project</w:t>
            </w:r>
            <w:r w:rsidRPr="000A3C73">
              <w:rPr>
                <w:rFonts w:cs="Arial"/>
                <w:sz w:val="22"/>
                <w:szCs w:val="22"/>
              </w:rPr>
              <w:t xml:space="preserve"> also provided support in renovating and office space for the Association and purchasing necessary equipment.</w:t>
            </w:r>
          </w:p>
        </w:tc>
      </w:tr>
    </w:tbl>
    <w:p w:rsidR="00582FD5" w:rsidRPr="000A3C73" w:rsidRDefault="00582FD5" w:rsidP="00582FD5">
      <w:pPr>
        <w:pStyle w:val="BodyText"/>
        <w:numPr>
          <w:ilvl w:val="0"/>
          <w:numId w:val="0"/>
        </w:numPr>
        <w:rPr>
          <w:i/>
          <w:u w:val="single"/>
        </w:rPr>
      </w:pPr>
    </w:p>
    <w:p w:rsidR="00B81F08" w:rsidRPr="000A3C73" w:rsidRDefault="00B81F08" w:rsidP="00930211">
      <w:pPr>
        <w:pStyle w:val="BodyText"/>
        <w:rPr>
          <w:i/>
          <w:u w:val="single"/>
        </w:rPr>
      </w:pPr>
      <w:r w:rsidRPr="000A3C73">
        <w:rPr>
          <w:b/>
          <w:i/>
          <w:u w:val="single"/>
        </w:rPr>
        <w:t>Output 2.6.</w:t>
      </w:r>
      <w:r w:rsidRPr="000A3C73">
        <w:rPr>
          <w:i/>
          <w:u w:val="single"/>
        </w:rPr>
        <w:t xml:space="preserve"> A marketplace to foster the knowledge, goods and services of a conservation economy</w:t>
      </w:r>
    </w:p>
    <w:tbl>
      <w:tblPr>
        <w:tblStyle w:val="TableGrid"/>
        <w:tblW w:w="0" w:type="auto"/>
        <w:tblLook w:val="04A0"/>
      </w:tblPr>
      <w:tblGrid>
        <w:gridCol w:w="1567"/>
        <w:gridCol w:w="8009"/>
      </w:tblGrid>
      <w:tr w:rsidR="00582FD5" w:rsidRPr="000A3C73" w:rsidTr="00582FD5">
        <w:tc>
          <w:tcPr>
            <w:tcW w:w="558" w:type="dxa"/>
          </w:tcPr>
          <w:p w:rsidR="00582FD5" w:rsidRPr="000A3C73" w:rsidRDefault="00582FD5" w:rsidP="00582FD5">
            <w:pPr>
              <w:pStyle w:val="BodyText"/>
              <w:numPr>
                <w:ilvl w:val="0"/>
                <w:numId w:val="0"/>
              </w:numPr>
              <w:rPr>
                <w:sz w:val="22"/>
              </w:rPr>
            </w:pPr>
            <w:r w:rsidRPr="000A3C73">
              <w:rPr>
                <w:sz w:val="22"/>
              </w:rPr>
              <w:t>Transboundary</w:t>
            </w:r>
          </w:p>
        </w:tc>
        <w:tc>
          <w:tcPr>
            <w:tcW w:w="9018" w:type="dxa"/>
          </w:tcPr>
          <w:p w:rsidR="00582FD5" w:rsidRPr="000A3C73" w:rsidRDefault="001C6EBB" w:rsidP="00582FD5">
            <w:pPr>
              <w:pStyle w:val="BodyText"/>
              <w:numPr>
                <w:ilvl w:val="0"/>
                <w:numId w:val="0"/>
              </w:numPr>
              <w:rPr>
                <w:sz w:val="22"/>
              </w:rPr>
            </w:pPr>
            <w:r w:rsidRPr="000A3C73">
              <w:rPr>
                <w:sz w:val="22"/>
              </w:rPr>
              <w:t>N/A</w:t>
            </w:r>
          </w:p>
        </w:tc>
      </w:tr>
      <w:tr w:rsidR="00582FD5" w:rsidRPr="000A3C73" w:rsidTr="00582FD5">
        <w:tc>
          <w:tcPr>
            <w:tcW w:w="558" w:type="dxa"/>
          </w:tcPr>
          <w:p w:rsidR="00582FD5" w:rsidRPr="000A3C73" w:rsidRDefault="00582FD5" w:rsidP="00582FD5">
            <w:pPr>
              <w:pStyle w:val="BodyText"/>
              <w:numPr>
                <w:ilvl w:val="0"/>
                <w:numId w:val="0"/>
              </w:numPr>
              <w:rPr>
                <w:sz w:val="22"/>
              </w:rPr>
            </w:pPr>
            <w:r w:rsidRPr="000A3C73">
              <w:rPr>
                <w:sz w:val="22"/>
              </w:rPr>
              <w:t>Albania</w:t>
            </w:r>
          </w:p>
        </w:tc>
        <w:tc>
          <w:tcPr>
            <w:tcW w:w="9018" w:type="dxa"/>
          </w:tcPr>
          <w:p w:rsidR="000C43AF" w:rsidRPr="000A3C73" w:rsidRDefault="000C43AF" w:rsidP="000C43AF">
            <w:pPr>
              <w:pStyle w:val="BodyText"/>
              <w:numPr>
                <w:ilvl w:val="0"/>
                <w:numId w:val="0"/>
              </w:numPr>
              <w:rPr>
                <w:sz w:val="22"/>
              </w:rPr>
            </w:pPr>
            <w:r w:rsidRPr="000A3C73">
              <w:rPr>
                <w:sz w:val="22"/>
              </w:rPr>
              <w:t>Project newsletter issued monthly; several environmental celebrations, branding materials for Prespa as well as wine day, agro–fairs, etc. Local media broadcasts programs on Prespa area; 4th issue of IUCN SE Europe e-bulletin published information on the progress of project and events related to nature conservation</w:t>
            </w:r>
            <w:r w:rsidRPr="000A3C73">
              <w:rPr>
                <w:sz w:val="22"/>
                <w:vertAlign w:val="superscript"/>
              </w:rPr>
              <w:footnoteReference w:id="20"/>
            </w:r>
            <w:r w:rsidRPr="000A3C73">
              <w:rPr>
                <w:sz w:val="22"/>
              </w:rPr>
              <w:t xml:space="preserve">; capacity and material support to the information centers in Zagradec and Gorica; educational programs, brochures, newspaper articles and school books. </w:t>
            </w:r>
          </w:p>
          <w:p w:rsidR="00582FD5" w:rsidRPr="000A3C73" w:rsidRDefault="000C43AF" w:rsidP="000C43AF">
            <w:pPr>
              <w:pStyle w:val="BodyText"/>
              <w:numPr>
                <w:ilvl w:val="0"/>
                <w:numId w:val="0"/>
              </w:numPr>
              <w:rPr>
                <w:sz w:val="22"/>
              </w:rPr>
            </w:pPr>
            <w:r w:rsidRPr="000A3C73">
              <w:rPr>
                <w:bCs/>
                <w:iCs/>
                <w:sz w:val="22"/>
              </w:rPr>
              <w:t>Project is very popular among citizens and stakeholder due to the wide involvement of farmers, users groups and NGOs into project activities. Further contributing to this is the establishment of ILIC in Gorica, which offers a range of communication and exchange opportunities for civil society and stakeholders.</w:t>
            </w:r>
          </w:p>
        </w:tc>
      </w:tr>
      <w:tr w:rsidR="00582FD5" w:rsidRPr="000A3C73" w:rsidTr="00582FD5">
        <w:tc>
          <w:tcPr>
            <w:tcW w:w="558" w:type="dxa"/>
          </w:tcPr>
          <w:p w:rsidR="00582FD5" w:rsidRPr="000A3C73" w:rsidRDefault="00582FD5" w:rsidP="00582FD5">
            <w:pPr>
              <w:pStyle w:val="BodyText"/>
              <w:numPr>
                <w:ilvl w:val="0"/>
                <w:numId w:val="0"/>
              </w:numPr>
              <w:rPr>
                <w:sz w:val="22"/>
              </w:rPr>
            </w:pPr>
            <w:r w:rsidRPr="000A3C73">
              <w:rPr>
                <w:sz w:val="22"/>
              </w:rPr>
              <w:t>FYR Macedonia</w:t>
            </w:r>
          </w:p>
        </w:tc>
        <w:tc>
          <w:tcPr>
            <w:tcW w:w="9018" w:type="dxa"/>
          </w:tcPr>
          <w:p w:rsidR="00582FD5" w:rsidRPr="000A3C73" w:rsidRDefault="00DB40FD" w:rsidP="00582FD5">
            <w:pPr>
              <w:pStyle w:val="BodyText"/>
              <w:numPr>
                <w:ilvl w:val="0"/>
                <w:numId w:val="0"/>
              </w:numPr>
              <w:rPr>
                <w:sz w:val="22"/>
              </w:rPr>
            </w:pPr>
            <w:r w:rsidRPr="000A3C73">
              <w:rPr>
                <w:sz w:val="22"/>
                <w:szCs w:val="22"/>
              </w:rPr>
              <w:t xml:space="preserve">To provide possibility for permanent improvement of the knowledge and awareness on ecosystem management among the main stakeholders, as well as to provide access to discussions, seminars and relevant reference materials, the Programme has supported the establishment of a Natural Capital Resource Center (NCRC). The NCRC serves as a hub for information dissemination, as well as organization of seminars and workshops. In addition, it serves as a visitor information center. For the needs of NCRC valuable space has been provided by the Municipality of Resen and the relevant national institutions in the House of Culture in Resen. </w:t>
            </w:r>
            <w:r w:rsidRPr="000A3C73">
              <w:rPr>
                <w:rFonts w:cs="Arial"/>
                <w:sz w:val="22"/>
                <w:szCs w:val="22"/>
              </w:rPr>
              <w:t>The NCRC is currently operating with the support provided by both the UNDP projects, and the Municipality of Resen, but in due time it will be fully integrated into the municipal structures. The new SDC funded project on Prespa foresees active role of NCRC in its implementation, including its upgrade (with other personnel with the necessary qualifications).</w:t>
            </w:r>
          </w:p>
        </w:tc>
      </w:tr>
    </w:tbl>
    <w:p w:rsidR="00582FD5" w:rsidRPr="000A3C73" w:rsidRDefault="00582FD5" w:rsidP="00582FD5">
      <w:pPr>
        <w:pStyle w:val="BodyText"/>
        <w:numPr>
          <w:ilvl w:val="0"/>
          <w:numId w:val="0"/>
        </w:numPr>
        <w:rPr>
          <w:i/>
          <w:u w:val="single"/>
        </w:rPr>
      </w:pPr>
    </w:p>
    <w:p w:rsidR="0000699F" w:rsidRPr="00FC657B" w:rsidRDefault="0000699F" w:rsidP="0000699F">
      <w:pPr>
        <w:pStyle w:val="Heading3"/>
        <w:ind w:left="1440"/>
      </w:pPr>
      <w:bookmarkStart w:id="111" w:name="_Ref209518142"/>
      <w:bookmarkStart w:id="112" w:name="_Toc238551074"/>
      <w:r w:rsidRPr="000A3C73">
        <w:t xml:space="preserve">Outcome 3: </w:t>
      </w:r>
      <w:r w:rsidR="00B81F08" w:rsidRPr="0089284E">
        <w:t>Stakeholders conserve priority biological diversity across the Prespa Basin and make key protected areas in Prespa Basin (PNP, GNP, ENR, and PPA-GR) fully operational</w:t>
      </w:r>
      <w:bookmarkEnd w:id="111"/>
      <w:bookmarkEnd w:id="112"/>
    </w:p>
    <w:p w:rsidR="008A0886" w:rsidRPr="00B71D27" w:rsidRDefault="006B11BB" w:rsidP="008A0886">
      <w:pPr>
        <w:pStyle w:val="BodyText"/>
      </w:pPr>
      <w:r w:rsidRPr="00FC657B">
        <w:t xml:space="preserve">Overall, achievement of </w:t>
      </w:r>
      <w:r w:rsidR="00E45BF5" w:rsidRPr="00D77DF1">
        <w:t>O</w:t>
      </w:r>
      <w:r w:rsidRPr="00CD42DE">
        <w:t xml:space="preserve">utcome </w:t>
      </w:r>
      <w:r w:rsidR="00E45BF5" w:rsidRPr="00AA7D1F">
        <w:t xml:space="preserve">3 </w:t>
      </w:r>
      <w:r w:rsidRPr="005E69C8">
        <w:t xml:space="preserve">is rated </w:t>
      </w:r>
      <w:r w:rsidR="00686FAB" w:rsidRPr="00850A96">
        <w:rPr>
          <w:b/>
          <w:i/>
          <w:u w:val="single"/>
        </w:rPr>
        <w:t>moderately s</w:t>
      </w:r>
      <w:r w:rsidRPr="008B7E9A">
        <w:rPr>
          <w:b/>
          <w:i/>
          <w:u w:val="single"/>
        </w:rPr>
        <w:t>atisfactory</w:t>
      </w:r>
      <w:r w:rsidRPr="000126EE">
        <w:t xml:space="preserve">. </w:t>
      </w:r>
    </w:p>
    <w:p w:rsidR="00B81F08" w:rsidRPr="00FC657B" w:rsidRDefault="00F15933" w:rsidP="008A0886">
      <w:pPr>
        <w:pStyle w:val="BodyText"/>
      </w:pPr>
      <w:r w:rsidRPr="0089284E">
        <w:rPr>
          <w:b/>
          <w:i/>
          <w:u w:val="single"/>
        </w:rPr>
        <w:t>Output 3.1</w:t>
      </w:r>
      <w:r w:rsidR="00B81F08" w:rsidRPr="0089284E">
        <w:rPr>
          <w:i/>
          <w:u w:val="single"/>
        </w:rPr>
        <w:t>Monitoring of ecosystem health (biotic and abiotic) parameters strengthens information baseline for adaptive management in all three littoral states</w:t>
      </w:r>
    </w:p>
    <w:tbl>
      <w:tblPr>
        <w:tblStyle w:val="TableGrid"/>
        <w:tblW w:w="0" w:type="auto"/>
        <w:tblLook w:val="04A0"/>
      </w:tblPr>
      <w:tblGrid>
        <w:gridCol w:w="1567"/>
        <w:gridCol w:w="8009"/>
      </w:tblGrid>
      <w:tr w:rsidR="00582FD5" w:rsidRPr="000A3C73" w:rsidTr="00582FD5">
        <w:tc>
          <w:tcPr>
            <w:tcW w:w="558" w:type="dxa"/>
          </w:tcPr>
          <w:p w:rsidR="00582FD5" w:rsidRPr="00FC657B" w:rsidRDefault="00582FD5" w:rsidP="00582FD5">
            <w:pPr>
              <w:pStyle w:val="BodyText"/>
              <w:numPr>
                <w:ilvl w:val="0"/>
                <w:numId w:val="0"/>
              </w:numPr>
              <w:rPr>
                <w:sz w:val="22"/>
              </w:rPr>
            </w:pPr>
            <w:r w:rsidRPr="00FC657B">
              <w:rPr>
                <w:sz w:val="22"/>
              </w:rPr>
              <w:t>Transboundary</w:t>
            </w:r>
          </w:p>
        </w:tc>
        <w:tc>
          <w:tcPr>
            <w:tcW w:w="9018" w:type="dxa"/>
          </w:tcPr>
          <w:p w:rsidR="00582FD5" w:rsidRPr="000A3C73" w:rsidRDefault="0089161D" w:rsidP="001A5082">
            <w:pPr>
              <w:pStyle w:val="BodyText"/>
              <w:numPr>
                <w:ilvl w:val="0"/>
                <w:numId w:val="0"/>
              </w:numPr>
              <w:rPr>
                <w:rFonts w:cs="Arial"/>
                <w:snapToGrid w:val="0"/>
                <w:sz w:val="22"/>
                <w:szCs w:val="22"/>
              </w:rPr>
            </w:pPr>
            <w:r w:rsidRPr="00D77DF1">
              <w:rPr>
                <w:rFonts w:cs="Arial"/>
                <w:snapToGrid w:val="0"/>
                <w:sz w:val="22"/>
                <w:szCs w:val="22"/>
              </w:rPr>
              <w:t>As high</w:t>
            </w:r>
            <w:r w:rsidRPr="00CD42DE">
              <w:rPr>
                <w:rFonts w:cs="Arial"/>
                <w:snapToGrid w:val="0"/>
                <w:sz w:val="22"/>
                <w:szCs w:val="22"/>
              </w:rPr>
              <w:t xml:space="preserve">lighted at the beginning of </w:t>
            </w:r>
            <w:r w:rsidR="00604448" w:rsidRPr="00AA7D1F">
              <w:rPr>
                <w:rFonts w:cs="Arial"/>
                <w:snapToGrid w:val="0"/>
                <w:sz w:val="22"/>
                <w:szCs w:val="22"/>
              </w:rPr>
              <w:t>the results</w:t>
            </w:r>
            <w:r w:rsidRPr="005E69C8">
              <w:rPr>
                <w:rFonts w:cs="Arial"/>
                <w:snapToGrid w:val="0"/>
                <w:sz w:val="22"/>
                <w:szCs w:val="22"/>
              </w:rPr>
              <w:t xml:space="preserve"> section, the process for agreeing on and designing</w:t>
            </w:r>
            <w:r w:rsidRPr="00850A96">
              <w:rPr>
                <w:rFonts w:cs="Arial"/>
                <w:snapToGrid w:val="0"/>
                <w:sz w:val="22"/>
                <w:szCs w:val="22"/>
              </w:rPr>
              <w:t xml:space="preserve"> a Prespa basin-wide monitoring system, and the resulting outputs, are one of the highlights of the project results. Multiple stakeholders interviewed in all three countries during the terminal evaluation mentioned the monitoring system as an important ach</w:t>
            </w:r>
            <w:r w:rsidRPr="008B7E9A">
              <w:rPr>
                <w:rFonts w:cs="Arial"/>
                <w:snapToGrid w:val="0"/>
                <w:sz w:val="22"/>
                <w:szCs w:val="22"/>
              </w:rPr>
              <w:t xml:space="preserve">ievement resulting from the project. </w:t>
            </w:r>
            <w:r w:rsidR="0037342E" w:rsidRPr="000126EE">
              <w:rPr>
                <w:rFonts w:cs="Arial"/>
                <w:snapToGrid w:val="0"/>
                <w:sz w:val="22"/>
                <w:szCs w:val="22"/>
              </w:rPr>
              <w:t xml:space="preserve">An environmental monitoring system for the full Prespa basin was recognized in the 2001 PPCC-produced Strategic Action Plan as critical for informed decision-making for the protection, development and management of the </w:t>
            </w:r>
            <w:r w:rsidR="0037342E" w:rsidRPr="00B71D27">
              <w:rPr>
                <w:rFonts w:cs="Arial"/>
                <w:snapToGrid w:val="0"/>
                <w:sz w:val="22"/>
                <w:szCs w:val="22"/>
              </w:rPr>
              <w:t xml:space="preserve">basin. </w:t>
            </w:r>
            <w:r w:rsidRPr="00595792">
              <w:rPr>
                <w:rFonts w:cs="Arial"/>
                <w:snapToGrid w:val="0"/>
                <w:sz w:val="22"/>
                <w:szCs w:val="22"/>
              </w:rPr>
              <w:t xml:space="preserve">There is no question that </w:t>
            </w:r>
            <w:r w:rsidR="0037342E" w:rsidRPr="00602E30">
              <w:rPr>
                <w:rFonts w:cs="Arial"/>
                <w:snapToGrid w:val="0"/>
                <w:sz w:val="22"/>
                <w:szCs w:val="22"/>
              </w:rPr>
              <w:t>with support of th</w:t>
            </w:r>
            <w:r w:rsidR="0037342E" w:rsidRPr="002A69B7">
              <w:rPr>
                <w:rFonts w:cs="Arial"/>
                <w:snapToGrid w:val="0"/>
                <w:sz w:val="22"/>
                <w:szCs w:val="22"/>
              </w:rPr>
              <w:t xml:space="preserve">e project </w:t>
            </w:r>
            <w:r w:rsidRPr="002C744B">
              <w:rPr>
                <w:rFonts w:cs="Arial"/>
                <w:snapToGrid w:val="0"/>
                <w:sz w:val="22"/>
                <w:szCs w:val="22"/>
              </w:rPr>
              <w:t>a</w:t>
            </w:r>
            <w:r w:rsidRPr="00C56966">
              <w:rPr>
                <w:rFonts w:cs="Arial"/>
                <w:snapToGrid w:val="0"/>
                <w:sz w:val="22"/>
                <w:szCs w:val="22"/>
              </w:rPr>
              <w:t xml:space="preserve"> significant amount of hard work and technical expertise were employed to develop and design the proposed comprehensive monitoring system. </w:t>
            </w:r>
            <w:r w:rsidR="00635497" w:rsidRPr="002D3949">
              <w:rPr>
                <w:rFonts w:cs="Arial"/>
                <w:snapToGrid w:val="0"/>
                <w:sz w:val="22"/>
                <w:szCs w:val="22"/>
              </w:rPr>
              <w:t>This complex activity was implemented coopera</w:t>
            </w:r>
            <w:r w:rsidR="00635497" w:rsidRPr="000A3C73">
              <w:rPr>
                <w:rFonts w:cs="Arial"/>
                <w:snapToGrid w:val="0"/>
                <w:sz w:val="22"/>
                <w:szCs w:val="22"/>
              </w:rPr>
              <w:t xml:space="preserve">tively between SPP (with financial support from WWF-Greece) and the Prespa IEM project. </w:t>
            </w:r>
            <w:r w:rsidR="0037342E" w:rsidRPr="000A3C73">
              <w:rPr>
                <w:rFonts w:cs="Arial"/>
                <w:snapToGrid w:val="0"/>
                <w:sz w:val="22"/>
                <w:szCs w:val="22"/>
              </w:rPr>
              <w:t>A transboundary Monitoring and Conservation Working Group (MCWG) w</w:t>
            </w:r>
            <w:r w:rsidR="0006652D" w:rsidRPr="000A3C73">
              <w:rPr>
                <w:rFonts w:cs="Arial"/>
                <w:snapToGrid w:val="0"/>
                <w:sz w:val="22"/>
                <w:szCs w:val="22"/>
              </w:rPr>
              <w:t>as established in October 2007 based on nominations from the Ministries of Environment in the respective countries, and this group was instrumental in the development and establishment of the system, as well as the development of the conservation plans. W</w:t>
            </w:r>
            <w:r w:rsidR="0037342E" w:rsidRPr="000A3C73">
              <w:rPr>
                <w:rFonts w:cs="Arial"/>
                <w:snapToGrid w:val="0"/>
                <w:sz w:val="22"/>
                <w:szCs w:val="22"/>
              </w:rPr>
              <w:t>ith support from the Tour du Val</w:t>
            </w:r>
            <w:r w:rsidR="0006652D" w:rsidRPr="000A3C73">
              <w:rPr>
                <w:rFonts w:cs="Arial"/>
                <w:snapToGrid w:val="0"/>
                <w:sz w:val="22"/>
                <w:szCs w:val="22"/>
              </w:rPr>
              <w:t>at biological station (from France)</w:t>
            </w:r>
            <w:r w:rsidR="0037342E" w:rsidRPr="000A3C73">
              <w:rPr>
                <w:rFonts w:cs="Arial"/>
                <w:snapToGrid w:val="0"/>
                <w:sz w:val="22"/>
                <w:szCs w:val="22"/>
              </w:rPr>
              <w:t xml:space="preserve"> t</w:t>
            </w:r>
            <w:r w:rsidR="00604448" w:rsidRPr="000A3C73">
              <w:rPr>
                <w:rFonts w:cs="Arial"/>
                <w:snapToGrid w:val="0"/>
                <w:sz w:val="22"/>
                <w:szCs w:val="22"/>
              </w:rPr>
              <w:t xml:space="preserve">he project coordinated a series of meetings of technical experts from all three countries, with working groups established for </w:t>
            </w:r>
            <w:r w:rsidR="00635497" w:rsidRPr="000A3C73">
              <w:rPr>
                <w:rFonts w:cs="Arial"/>
                <w:snapToGrid w:val="0"/>
                <w:sz w:val="22"/>
                <w:szCs w:val="22"/>
              </w:rPr>
              <w:t>seven</w:t>
            </w:r>
            <w:r w:rsidR="00604448" w:rsidRPr="000A3C73">
              <w:rPr>
                <w:rFonts w:cs="Arial"/>
                <w:snapToGrid w:val="0"/>
                <w:sz w:val="22"/>
                <w:szCs w:val="22"/>
              </w:rPr>
              <w:t xml:space="preserve"> thematic areas</w:t>
            </w:r>
            <w:r w:rsidR="00B43E7E" w:rsidRPr="000A3C73">
              <w:rPr>
                <w:rFonts w:cs="Arial"/>
                <w:snapToGrid w:val="0"/>
                <w:sz w:val="22"/>
                <w:szCs w:val="22"/>
              </w:rPr>
              <w:t xml:space="preserve"> (water, aquatic vegetation, forests and terrestrial habitats, fish and fisheries, birds and other biodiversity, socio-economy, and land-use)</w:t>
            </w:r>
            <w:r w:rsidR="00604448" w:rsidRPr="000A3C73">
              <w:rPr>
                <w:rFonts w:cs="Arial"/>
                <w:snapToGrid w:val="0"/>
                <w:sz w:val="22"/>
                <w:szCs w:val="22"/>
              </w:rPr>
              <w:t xml:space="preserve">. </w:t>
            </w:r>
            <w:r w:rsidR="00635497" w:rsidRPr="000A3C73">
              <w:rPr>
                <w:rFonts w:cs="Arial"/>
                <w:snapToGrid w:val="0"/>
                <w:sz w:val="22"/>
                <w:szCs w:val="22"/>
              </w:rPr>
              <w:t xml:space="preserve">The development of the monitoring system was planned with six steps: 1. Preparatory stage; 2. Expert study on the transboundary monitoring system; 3. Purchase and installation of equipment; 4. Pilot application of the transboundary monitoring system; 5. Adjustment of the system; 6 Final approval of the system (by the PPCC). </w:t>
            </w:r>
            <w:r w:rsidR="001657BB" w:rsidRPr="000A3C73">
              <w:rPr>
                <w:rFonts w:cs="Arial"/>
                <w:snapToGrid w:val="0"/>
                <w:sz w:val="22"/>
                <w:szCs w:val="22"/>
              </w:rPr>
              <w:t xml:space="preserve">The feasibility assessment stage of the process </w:t>
            </w:r>
            <w:r w:rsidR="001A5082" w:rsidRPr="000A3C73">
              <w:rPr>
                <w:rFonts w:cs="Arial"/>
                <w:snapToGrid w:val="0"/>
                <w:sz w:val="22"/>
                <w:szCs w:val="22"/>
              </w:rPr>
              <w:t>was</w:t>
            </w:r>
            <w:r w:rsidR="002C7CB7" w:rsidRPr="000A3C73">
              <w:rPr>
                <w:rFonts w:cs="Arial"/>
                <w:snapToGrid w:val="0"/>
                <w:sz w:val="22"/>
                <w:szCs w:val="22"/>
              </w:rPr>
              <w:t xml:space="preserve"> followed by piloting the</w:t>
            </w:r>
            <w:r w:rsidR="001657BB" w:rsidRPr="000A3C73">
              <w:rPr>
                <w:rFonts w:cs="Arial"/>
                <w:snapToGrid w:val="0"/>
                <w:sz w:val="22"/>
                <w:szCs w:val="22"/>
              </w:rPr>
              <w:t xml:space="preserve"> monitoring system in </w:t>
            </w:r>
            <w:r w:rsidR="009D5FFE" w:rsidRPr="000A3C73">
              <w:rPr>
                <w:rFonts w:cs="Arial"/>
                <w:snapToGrid w:val="0"/>
                <w:sz w:val="22"/>
                <w:szCs w:val="22"/>
              </w:rPr>
              <w:t>the seven thematic areas; t</w:t>
            </w:r>
            <w:r w:rsidRPr="000A3C73">
              <w:rPr>
                <w:rFonts w:cs="Arial"/>
                <w:snapToGrid w:val="0"/>
                <w:sz w:val="22"/>
                <w:szCs w:val="22"/>
              </w:rPr>
              <w:t>he pilot phase ended in December 2010.</w:t>
            </w:r>
            <w:r w:rsidR="009D5FFE" w:rsidRPr="000A3C73">
              <w:rPr>
                <w:rFonts w:cs="Arial"/>
                <w:snapToGrid w:val="0"/>
                <w:sz w:val="22"/>
                <w:szCs w:val="22"/>
              </w:rPr>
              <w:t xml:space="preserve"> T</w:t>
            </w:r>
            <w:r w:rsidR="001657BB" w:rsidRPr="000A3C73">
              <w:rPr>
                <w:rFonts w:cs="Arial"/>
                <w:snapToGrid w:val="0"/>
                <w:sz w:val="22"/>
                <w:szCs w:val="22"/>
              </w:rPr>
              <w:t xml:space="preserve">he </w:t>
            </w:r>
            <w:r w:rsidR="0006652D" w:rsidRPr="000A3C73">
              <w:rPr>
                <w:rFonts w:cs="Arial"/>
                <w:snapToGrid w:val="0"/>
                <w:sz w:val="22"/>
                <w:szCs w:val="22"/>
              </w:rPr>
              <w:t xml:space="preserve">transboundary </w:t>
            </w:r>
            <w:r w:rsidR="001657BB" w:rsidRPr="000A3C73">
              <w:rPr>
                <w:rFonts w:cs="Arial"/>
                <w:snapToGrid w:val="0"/>
                <w:sz w:val="22"/>
                <w:szCs w:val="22"/>
              </w:rPr>
              <w:t>component provided equipment for institutions in M</w:t>
            </w:r>
            <w:r w:rsidR="0006652D" w:rsidRPr="000A3C73">
              <w:rPr>
                <w:rFonts w:cs="Arial"/>
                <w:snapToGrid w:val="0"/>
                <w:sz w:val="22"/>
                <w:szCs w:val="22"/>
              </w:rPr>
              <w:t>K and AL to support the pilot</w:t>
            </w:r>
            <w:r w:rsidR="001657BB" w:rsidRPr="000A3C73">
              <w:rPr>
                <w:rFonts w:cs="Arial"/>
                <w:snapToGrid w:val="0"/>
                <w:sz w:val="22"/>
                <w:szCs w:val="22"/>
              </w:rPr>
              <w:t xml:space="preserve"> phase of the monitoring system. </w:t>
            </w:r>
            <w:r w:rsidR="00524277" w:rsidRPr="000A3C73">
              <w:rPr>
                <w:rFonts w:cs="Arial"/>
                <w:snapToGrid w:val="0"/>
                <w:sz w:val="22"/>
                <w:szCs w:val="22"/>
              </w:rPr>
              <w:t xml:space="preserve">Following the pilot phase, reports were produced including data collected in each thematic area during the pilot phase, and a proposal for revision of the system was prepared, including subjecting the system to a reality check, and considering questions of its manageability and cost-effectiveness. </w:t>
            </w:r>
          </w:p>
          <w:p w:rsidR="00342647" w:rsidRPr="000A3C73" w:rsidRDefault="007C2496" w:rsidP="007C2496">
            <w:pPr>
              <w:pStyle w:val="BodyText"/>
              <w:numPr>
                <w:ilvl w:val="0"/>
                <w:numId w:val="0"/>
              </w:numPr>
              <w:rPr>
                <w:rFonts w:cs="Arial"/>
                <w:snapToGrid w:val="0"/>
                <w:sz w:val="22"/>
                <w:szCs w:val="22"/>
              </w:rPr>
            </w:pPr>
            <w:r w:rsidRPr="000A3C73">
              <w:rPr>
                <w:rFonts w:cs="Arial"/>
                <w:snapToGrid w:val="0"/>
                <w:sz w:val="22"/>
                <w:szCs w:val="22"/>
              </w:rPr>
              <w:t xml:space="preserve">Although the respective stakeholders in the three countries (particularly the protected area authorities in Albania and Greece) continue carrying out some monitoring activities, there is no coordinated approach or system in place, including no centralized database with information accessible by environmental managers in all three countries. </w:t>
            </w:r>
            <w:r w:rsidR="00524277" w:rsidRPr="000A3C73">
              <w:rPr>
                <w:rFonts w:cs="Arial"/>
                <w:snapToGrid w:val="0"/>
                <w:sz w:val="22"/>
                <w:szCs w:val="22"/>
              </w:rPr>
              <w:t xml:space="preserve">The project document and workplan only envisioned that the Prespa IEM project would get the monitoring system through the pilot and adjustment phase, and not to actual implementation of the full system – but the proposed system needs to be implementable. </w:t>
            </w:r>
            <w:r w:rsidR="00342647" w:rsidRPr="000A3C73">
              <w:rPr>
                <w:rFonts w:cs="Arial"/>
                <w:snapToGrid w:val="0"/>
                <w:sz w:val="22"/>
                <w:szCs w:val="22"/>
              </w:rPr>
              <w:t xml:space="preserve">While the work </w:t>
            </w:r>
            <w:r w:rsidR="00524277" w:rsidRPr="000A3C73">
              <w:rPr>
                <w:rFonts w:cs="Arial"/>
                <w:snapToGrid w:val="0"/>
                <w:sz w:val="22"/>
                <w:szCs w:val="22"/>
              </w:rPr>
              <w:t>to develop the monitoring system</w:t>
            </w:r>
            <w:r w:rsidR="00342647" w:rsidRPr="000A3C73">
              <w:rPr>
                <w:rFonts w:cs="Arial"/>
                <w:snapToGrid w:val="0"/>
                <w:sz w:val="22"/>
                <w:szCs w:val="22"/>
              </w:rPr>
              <w:t xml:space="preserve"> under this output is critically important,</w:t>
            </w:r>
            <w:r w:rsidR="007B0959" w:rsidRPr="000A3C73">
              <w:rPr>
                <w:rFonts w:cs="Arial"/>
                <w:snapToGrid w:val="0"/>
                <w:sz w:val="22"/>
                <w:szCs w:val="22"/>
              </w:rPr>
              <w:t xml:space="preserve"> </w:t>
            </w:r>
            <w:r w:rsidR="00342647" w:rsidRPr="000A3C73">
              <w:rPr>
                <w:rFonts w:cs="Arial"/>
                <w:snapToGrid w:val="0"/>
                <w:sz w:val="22"/>
                <w:szCs w:val="22"/>
              </w:rPr>
              <w:t>there is now a question of resources</w:t>
            </w:r>
            <w:r w:rsidR="00524277" w:rsidRPr="000A3C73">
              <w:rPr>
                <w:rFonts w:cs="Arial"/>
                <w:snapToGrid w:val="0"/>
                <w:sz w:val="22"/>
                <w:szCs w:val="22"/>
              </w:rPr>
              <w:t xml:space="preserve"> available</w:t>
            </w:r>
            <w:r w:rsidR="00342647" w:rsidRPr="000A3C73">
              <w:rPr>
                <w:rFonts w:cs="Arial"/>
                <w:snapToGrid w:val="0"/>
                <w:sz w:val="22"/>
                <w:szCs w:val="22"/>
              </w:rPr>
              <w:t xml:space="preserve"> for implemen</w:t>
            </w:r>
            <w:r w:rsidR="00B97990" w:rsidRPr="000A3C73">
              <w:rPr>
                <w:rFonts w:cs="Arial"/>
                <w:snapToGrid w:val="0"/>
                <w:sz w:val="22"/>
                <w:szCs w:val="22"/>
              </w:rPr>
              <w:t xml:space="preserve">tation of </w:t>
            </w:r>
            <w:r w:rsidR="00524277" w:rsidRPr="000A3C73">
              <w:rPr>
                <w:rFonts w:cs="Arial"/>
                <w:snapToGrid w:val="0"/>
                <w:sz w:val="22"/>
                <w:szCs w:val="22"/>
              </w:rPr>
              <w:t xml:space="preserve">such an ambitious </w:t>
            </w:r>
            <w:r w:rsidR="00B97990" w:rsidRPr="000A3C73">
              <w:rPr>
                <w:rFonts w:cs="Arial"/>
                <w:snapToGrid w:val="0"/>
                <w:sz w:val="22"/>
                <w:szCs w:val="22"/>
              </w:rPr>
              <w:t xml:space="preserve">monitoring </w:t>
            </w:r>
            <w:r w:rsidR="00524277" w:rsidRPr="000A3C73">
              <w:rPr>
                <w:rFonts w:cs="Arial"/>
                <w:snapToGrid w:val="0"/>
                <w:sz w:val="22"/>
                <w:szCs w:val="22"/>
              </w:rPr>
              <w:t>system</w:t>
            </w:r>
            <w:r w:rsidR="00B97990" w:rsidRPr="000A3C73">
              <w:rPr>
                <w:rFonts w:cs="Arial"/>
                <w:snapToGrid w:val="0"/>
                <w:sz w:val="22"/>
                <w:szCs w:val="22"/>
              </w:rPr>
              <w:t>.</w:t>
            </w:r>
            <w:r w:rsidR="00342647" w:rsidRPr="000A3C73">
              <w:rPr>
                <w:rFonts w:cs="Arial"/>
                <w:snapToGrid w:val="0"/>
                <w:sz w:val="22"/>
                <w:szCs w:val="22"/>
              </w:rPr>
              <w:t xml:space="preserve"> This is further highlighted in Section </w:t>
            </w:r>
            <w:r w:rsidR="008269C6" w:rsidRPr="00206E7A">
              <w:rPr>
                <w:rFonts w:cs="Arial"/>
                <w:snapToGrid w:val="0"/>
                <w:sz w:val="22"/>
                <w:szCs w:val="22"/>
              </w:rPr>
              <w:fldChar w:fldCharType="begin"/>
            </w:r>
            <w:r w:rsidR="00342647" w:rsidRPr="000A3C73">
              <w:rPr>
                <w:rFonts w:cs="Arial"/>
                <w:snapToGrid w:val="0"/>
                <w:sz w:val="22"/>
                <w:szCs w:val="22"/>
              </w:rPr>
              <w:instrText xml:space="preserve"> REF _Ref209513313 \w \h </w:instrText>
            </w:r>
            <w:r w:rsidR="008269C6" w:rsidRPr="00206E7A">
              <w:rPr>
                <w:rFonts w:cs="Arial"/>
                <w:snapToGrid w:val="0"/>
                <w:sz w:val="22"/>
                <w:szCs w:val="22"/>
              </w:rPr>
            </w:r>
            <w:r w:rsidR="008269C6" w:rsidRPr="00206E7A">
              <w:rPr>
                <w:rFonts w:cs="Arial"/>
                <w:snapToGrid w:val="0"/>
                <w:sz w:val="22"/>
                <w:szCs w:val="22"/>
              </w:rPr>
              <w:fldChar w:fldCharType="separate"/>
            </w:r>
            <w:r w:rsidR="006E18A7" w:rsidRPr="000A3C73">
              <w:rPr>
                <w:rFonts w:cs="Arial"/>
                <w:snapToGrid w:val="0"/>
                <w:sz w:val="22"/>
                <w:szCs w:val="22"/>
              </w:rPr>
              <w:t>VI.A.i</w:t>
            </w:r>
            <w:r w:rsidR="008269C6" w:rsidRPr="00206E7A">
              <w:rPr>
                <w:rFonts w:cs="Arial"/>
                <w:snapToGrid w:val="0"/>
                <w:sz w:val="22"/>
                <w:szCs w:val="22"/>
              </w:rPr>
              <w:fldChar w:fldCharType="end"/>
            </w:r>
            <w:r w:rsidR="00342647" w:rsidRPr="000A3C73">
              <w:rPr>
                <w:rFonts w:cs="Arial"/>
                <w:snapToGrid w:val="0"/>
                <w:sz w:val="22"/>
                <w:szCs w:val="22"/>
              </w:rPr>
              <w:t xml:space="preserve"> on financial sustainability. </w:t>
            </w:r>
            <w:r w:rsidR="0063499C" w:rsidRPr="000A3C73">
              <w:rPr>
                <w:rFonts w:cs="Arial"/>
                <w:snapToGrid w:val="0"/>
                <w:sz w:val="22"/>
                <w:szCs w:val="22"/>
              </w:rPr>
              <w:t xml:space="preserve">Without additional substantive meetings of the PPMC (formerly PPCC) there has not been additional high level support or decisions taken regarding the monitoring system. </w:t>
            </w:r>
          </w:p>
        </w:tc>
      </w:tr>
      <w:tr w:rsidR="00582FD5" w:rsidRPr="000A3C73" w:rsidTr="00582FD5">
        <w:tc>
          <w:tcPr>
            <w:tcW w:w="558" w:type="dxa"/>
          </w:tcPr>
          <w:p w:rsidR="00582FD5" w:rsidRPr="000A3C73" w:rsidRDefault="00582FD5" w:rsidP="00582FD5">
            <w:pPr>
              <w:pStyle w:val="BodyText"/>
              <w:numPr>
                <w:ilvl w:val="0"/>
                <w:numId w:val="0"/>
              </w:numPr>
              <w:rPr>
                <w:sz w:val="22"/>
              </w:rPr>
            </w:pPr>
            <w:r w:rsidRPr="000A3C73">
              <w:rPr>
                <w:sz w:val="22"/>
              </w:rPr>
              <w:t>Albania</w:t>
            </w:r>
          </w:p>
        </w:tc>
        <w:tc>
          <w:tcPr>
            <w:tcW w:w="9018" w:type="dxa"/>
          </w:tcPr>
          <w:p w:rsidR="0072651D" w:rsidRPr="000A3C73" w:rsidRDefault="0072651D" w:rsidP="0072651D">
            <w:pPr>
              <w:pStyle w:val="BodyText"/>
              <w:numPr>
                <w:ilvl w:val="0"/>
                <w:numId w:val="0"/>
              </w:numPr>
              <w:rPr>
                <w:sz w:val="22"/>
              </w:rPr>
            </w:pPr>
            <w:r w:rsidRPr="000A3C73">
              <w:rPr>
                <w:sz w:val="22"/>
              </w:rPr>
              <w:t xml:space="preserve">National monitoring activities are implemented through local NGO during 2010-2011 and Park Administration and local community has been fully involved. The monitoring report is delivered to Park administration and ministry; </w:t>
            </w:r>
          </w:p>
          <w:p w:rsidR="0072651D" w:rsidRPr="000A3C73" w:rsidRDefault="0072651D" w:rsidP="0072651D">
            <w:pPr>
              <w:pStyle w:val="BodyText"/>
              <w:numPr>
                <w:ilvl w:val="0"/>
                <w:numId w:val="0"/>
              </w:numPr>
              <w:rPr>
                <w:sz w:val="22"/>
              </w:rPr>
            </w:pPr>
            <w:r w:rsidRPr="000A3C73">
              <w:rPr>
                <w:sz w:val="22"/>
              </w:rPr>
              <w:t xml:space="preserve">The expert study on assessment of terrestrial &amp; aquatic habitats for priority bird and mammal species is prepared and system is under pilot monitoring. Monitoring process has been associated with training sessions Several training </w:t>
            </w:r>
            <w:r w:rsidR="00D163CA" w:rsidRPr="000A3C73">
              <w:rPr>
                <w:sz w:val="22"/>
              </w:rPr>
              <w:t>organized</w:t>
            </w:r>
            <w:r w:rsidRPr="000A3C73">
              <w:rPr>
                <w:sz w:val="22"/>
              </w:rPr>
              <w:t xml:space="preserve"> and accomplished for the local stakeholder and resource users (ECAT + USFS + RCRD and TB /TDA) </w:t>
            </w:r>
          </w:p>
          <w:p w:rsidR="0072651D" w:rsidRPr="000A3C73" w:rsidRDefault="0072651D" w:rsidP="0072651D">
            <w:pPr>
              <w:pStyle w:val="BodyText"/>
              <w:numPr>
                <w:ilvl w:val="0"/>
                <w:numId w:val="0"/>
              </w:numPr>
              <w:rPr>
                <w:sz w:val="22"/>
              </w:rPr>
            </w:pPr>
            <w:r w:rsidRPr="000A3C73">
              <w:rPr>
                <w:bCs/>
                <w:iCs/>
                <w:sz w:val="22"/>
              </w:rPr>
              <w:t xml:space="preserve">The KfW project will follow up the monitoring scheme implemented in Albania by UNDP project  </w:t>
            </w:r>
          </w:p>
          <w:p w:rsidR="0072651D" w:rsidRPr="000A3C73" w:rsidRDefault="0072651D" w:rsidP="0072651D">
            <w:pPr>
              <w:pStyle w:val="BodyText"/>
              <w:numPr>
                <w:ilvl w:val="0"/>
                <w:numId w:val="0"/>
              </w:numPr>
              <w:rPr>
                <w:sz w:val="22"/>
              </w:rPr>
            </w:pPr>
            <w:r w:rsidRPr="000A3C73">
              <w:rPr>
                <w:sz w:val="22"/>
              </w:rPr>
              <w:t xml:space="preserve">Several monitoring report are prepared and made available to project partners. 108 species of trees/bushes identified and catalogued through project SGP, and deposited with Prespa National Park Administration, but no info on distribution, abundance, or condition. Species action plans are developed and preparing for implementing </w:t>
            </w:r>
          </w:p>
          <w:p w:rsidR="0072651D" w:rsidRPr="000A3C73" w:rsidRDefault="0072651D" w:rsidP="0072651D">
            <w:pPr>
              <w:pStyle w:val="BodyText"/>
              <w:numPr>
                <w:ilvl w:val="0"/>
                <w:numId w:val="0"/>
              </w:numPr>
              <w:rPr>
                <w:sz w:val="22"/>
              </w:rPr>
            </w:pPr>
            <w:r w:rsidRPr="000A3C73">
              <w:rPr>
                <w:bCs/>
                <w:iCs/>
                <w:sz w:val="22"/>
              </w:rPr>
              <w:t>Priority bat colonies are protected and monitored at Treni (</w:t>
            </w:r>
            <w:r w:rsidRPr="000A3C73">
              <w:rPr>
                <w:sz w:val="22"/>
              </w:rPr>
              <w:t>there are 4,000-5,000 individuals under protection in Treni Cave, 90% of which are Schreibers's long-fingered bat (</w:t>
            </w:r>
            <w:r w:rsidRPr="000A3C73">
              <w:rPr>
                <w:i/>
                <w:sz w:val="22"/>
              </w:rPr>
              <w:t>Minioptrus schreibersi</w:t>
            </w:r>
            <w:r w:rsidRPr="000A3C73">
              <w:rPr>
                <w:sz w:val="22"/>
              </w:rPr>
              <w:t xml:space="preserve">) </w:t>
            </w:r>
            <w:r w:rsidRPr="000A3C73">
              <w:rPr>
                <w:bCs/>
                <w:iCs/>
                <w:sz w:val="22"/>
              </w:rPr>
              <w:t xml:space="preserve">and Spille caves. Due to the potential risk by villagers and shepherds, the entrance of Treni cave is secured by a gate of iron </w:t>
            </w:r>
            <w:r w:rsidR="000465FE" w:rsidRPr="000A3C73">
              <w:rPr>
                <w:bCs/>
                <w:iCs/>
                <w:sz w:val="22"/>
              </w:rPr>
              <w:t>bars that</w:t>
            </w:r>
            <w:r w:rsidRPr="000A3C73">
              <w:rPr>
                <w:bCs/>
                <w:iCs/>
                <w:sz w:val="22"/>
              </w:rPr>
              <w:t xml:space="preserve"> allows bats in and out. Spille cave is naturally protected due to its almost unreachable location but is still under the attention of PNP rangers. A new considerable colony is di</w:t>
            </w:r>
            <w:r w:rsidR="000465FE" w:rsidRPr="000A3C73">
              <w:rPr>
                <w:bCs/>
                <w:iCs/>
                <w:sz w:val="22"/>
              </w:rPr>
              <w:t>scovered recently in Golemgrad I</w:t>
            </w:r>
            <w:r w:rsidRPr="000A3C73">
              <w:rPr>
                <w:bCs/>
                <w:iCs/>
                <w:sz w:val="22"/>
              </w:rPr>
              <w:t>sland (</w:t>
            </w:r>
            <w:r w:rsidR="000465FE" w:rsidRPr="000A3C73">
              <w:rPr>
                <w:bCs/>
                <w:iCs/>
                <w:sz w:val="22"/>
              </w:rPr>
              <w:t>Macedonia</w:t>
            </w:r>
            <w:r w:rsidRPr="000A3C73">
              <w:rPr>
                <w:bCs/>
                <w:iCs/>
                <w:sz w:val="22"/>
              </w:rPr>
              <w:t>) and smaller one in Maligrad (</w:t>
            </w:r>
            <w:r w:rsidR="000465FE" w:rsidRPr="000A3C73">
              <w:rPr>
                <w:bCs/>
                <w:iCs/>
                <w:sz w:val="22"/>
              </w:rPr>
              <w:t>Albania</w:t>
            </w:r>
            <w:r w:rsidRPr="000A3C73">
              <w:rPr>
                <w:bCs/>
                <w:iCs/>
                <w:sz w:val="22"/>
              </w:rPr>
              <w:t>).</w:t>
            </w:r>
          </w:p>
          <w:p w:rsidR="00582FD5" w:rsidRPr="000A3C73" w:rsidRDefault="0072651D" w:rsidP="0072651D">
            <w:pPr>
              <w:pStyle w:val="BodyText"/>
              <w:numPr>
                <w:ilvl w:val="0"/>
                <w:numId w:val="0"/>
              </w:numPr>
              <w:rPr>
                <w:sz w:val="22"/>
              </w:rPr>
            </w:pPr>
            <w:r w:rsidRPr="000A3C73">
              <w:rPr>
                <w:sz w:val="22"/>
              </w:rPr>
              <w:t xml:space="preserve">Wetlands vegetation are managed through the 'llovizhda' project in Great Prespa and two projects in Small Prespa, one implemented by the fishermen organization and the other by the Women Association of Zagradec (supported by GEF/SGP). </w:t>
            </w:r>
            <w:r w:rsidRPr="000A3C73">
              <w:rPr>
                <w:bCs/>
                <w:iCs/>
                <w:sz w:val="22"/>
              </w:rPr>
              <w:t xml:space="preserve">150 ha of wet meadows and shoreline </w:t>
            </w:r>
            <w:r w:rsidR="000465FE" w:rsidRPr="000A3C73">
              <w:rPr>
                <w:bCs/>
                <w:iCs/>
                <w:sz w:val="22"/>
              </w:rPr>
              <w:t>habitat managed in Small Prespa</w:t>
            </w:r>
            <w:r w:rsidRPr="000A3C73">
              <w:rPr>
                <w:bCs/>
                <w:iCs/>
                <w:sz w:val="22"/>
              </w:rPr>
              <w:t xml:space="preserve"> through a project facilitated by GEF SG</w:t>
            </w:r>
            <w:r w:rsidR="000465FE" w:rsidRPr="000A3C73">
              <w:rPr>
                <w:bCs/>
                <w:iCs/>
                <w:sz w:val="22"/>
              </w:rPr>
              <w:t>P</w:t>
            </w:r>
            <w:r w:rsidRPr="000A3C73">
              <w:rPr>
                <w:bCs/>
                <w:iCs/>
                <w:sz w:val="22"/>
              </w:rPr>
              <w:t>. KfW is also working on using reed for production of pellets for wider use.</w:t>
            </w:r>
          </w:p>
        </w:tc>
      </w:tr>
      <w:tr w:rsidR="00582FD5" w:rsidRPr="000A3C73" w:rsidTr="00582FD5">
        <w:tc>
          <w:tcPr>
            <w:tcW w:w="558" w:type="dxa"/>
          </w:tcPr>
          <w:p w:rsidR="00582FD5" w:rsidRPr="000A3C73" w:rsidRDefault="00582FD5" w:rsidP="00582FD5">
            <w:pPr>
              <w:pStyle w:val="BodyText"/>
              <w:numPr>
                <w:ilvl w:val="0"/>
                <w:numId w:val="0"/>
              </w:numPr>
              <w:rPr>
                <w:sz w:val="22"/>
              </w:rPr>
            </w:pPr>
            <w:r w:rsidRPr="000A3C73">
              <w:rPr>
                <w:sz w:val="22"/>
              </w:rPr>
              <w:t>FYR Macedonia</w:t>
            </w:r>
          </w:p>
        </w:tc>
        <w:tc>
          <w:tcPr>
            <w:tcW w:w="9018" w:type="dxa"/>
          </w:tcPr>
          <w:p w:rsidR="001657BB" w:rsidRPr="000A3C73" w:rsidRDefault="001657BB" w:rsidP="00582FD5">
            <w:pPr>
              <w:pStyle w:val="BodyText"/>
              <w:numPr>
                <w:ilvl w:val="0"/>
                <w:numId w:val="0"/>
              </w:numPr>
              <w:rPr>
                <w:sz w:val="22"/>
              </w:rPr>
            </w:pPr>
            <w:r w:rsidRPr="000A3C73">
              <w:rPr>
                <w:rFonts w:cs="Arial"/>
                <w:snapToGrid w:val="0"/>
                <w:sz w:val="22"/>
                <w:szCs w:val="22"/>
              </w:rPr>
              <w:t>The national input for Macedonia and Albania has been provided through the Trans-boundary component via working groups and workshops. The MK national component of the Programme has provided continuous support to the activity, starting from the feasibility assessment stages, through the entire pilot stage by ensuring adequate participation and input of many relevant national stakeholders through organizing meetings, participation in trans-boundary consultations/workshops, communication of the comments by the national experts, support in implementation of the field work, etc.</w:t>
            </w:r>
          </w:p>
        </w:tc>
      </w:tr>
    </w:tbl>
    <w:p w:rsidR="00582FD5" w:rsidRPr="000A3C73" w:rsidRDefault="00582FD5" w:rsidP="00582FD5">
      <w:pPr>
        <w:pStyle w:val="BodyText"/>
        <w:numPr>
          <w:ilvl w:val="0"/>
          <w:numId w:val="0"/>
        </w:numPr>
      </w:pPr>
    </w:p>
    <w:p w:rsidR="00ED656A" w:rsidRPr="0089284E" w:rsidRDefault="00ED656A" w:rsidP="00ED656A">
      <w:pPr>
        <w:pStyle w:val="BodyText"/>
        <w:rPr>
          <w:i/>
          <w:u w:val="single"/>
        </w:rPr>
      </w:pPr>
      <w:r w:rsidRPr="0089284E">
        <w:rPr>
          <w:b/>
          <w:i/>
          <w:u w:val="single"/>
        </w:rPr>
        <w:t>Output 3.2</w:t>
      </w:r>
      <w:r w:rsidRPr="0089284E">
        <w:rPr>
          <w:i/>
          <w:u w:val="single"/>
        </w:rPr>
        <w:t xml:space="preserve"> Landscape-scale conservation planning and action across tri-national Prespa Basin</w:t>
      </w:r>
    </w:p>
    <w:tbl>
      <w:tblPr>
        <w:tblStyle w:val="TableGrid"/>
        <w:tblW w:w="0" w:type="auto"/>
        <w:tblLook w:val="04A0"/>
      </w:tblPr>
      <w:tblGrid>
        <w:gridCol w:w="1567"/>
        <w:gridCol w:w="8009"/>
      </w:tblGrid>
      <w:tr w:rsidR="00582FD5" w:rsidRPr="000A3C73" w:rsidTr="00582FD5">
        <w:tc>
          <w:tcPr>
            <w:tcW w:w="558" w:type="dxa"/>
          </w:tcPr>
          <w:p w:rsidR="00582FD5" w:rsidRPr="00FC657B" w:rsidRDefault="00582FD5" w:rsidP="00582FD5">
            <w:pPr>
              <w:pStyle w:val="BodyText"/>
              <w:numPr>
                <w:ilvl w:val="0"/>
                <w:numId w:val="0"/>
              </w:numPr>
              <w:rPr>
                <w:sz w:val="22"/>
              </w:rPr>
            </w:pPr>
            <w:r w:rsidRPr="00FC657B">
              <w:rPr>
                <w:sz w:val="22"/>
              </w:rPr>
              <w:t>Transboundary</w:t>
            </w:r>
          </w:p>
        </w:tc>
        <w:tc>
          <w:tcPr>
            <w:tcW w:w="9018" w:type="dxa"/>
          </w:tcPr>
          <w:p w:rsidR="00582FD5" w:rsidRPr="008B7E9A" w:rsidRDefault="00BB79B7" w:rsidP="00BB79B7">
            <w:pPr>
              <w:pStyle w:val="BodyText"/>
              <w:numPr>
                <w:ilvl w:val="0"/>
                <w:numId w:val="0"/>
              </w:numPr>
              <w:rPr>
                <w:sz w:val="22"/>
              </w:rPr>
            </w:pPr>
            <w:r w:rsidRPr="00FC657B">
              <w:rPr>
                <w:sz w:val="22"/>
              </w:rPr>
              <w:t>Based on the planned activities for Output 3.2 as outlined in the proje</w:t>
            </w:r>
            <w:r w:rsidRPr="00D77DF1">
              <w:rPr>
                <w:sz w:val="22"/>
              </w:rPr>
              <w:t>ct document, this output was not produced as originally envisioned, but multiple project activities contributed to broad results for landscape scale conservation planning. Specifically, the species and habitat conservation plans produced (see Output 4.4) c</w:t>
            </w:r>
            <w:r w:rsidRPr="00CD42DE">
              <w:rPr>
                <w:sz w:val="22"/>
              </w:rPr>
              <w:t>ould be considered tri</w:t>
            </w:r>
            <w:r w:rsidR="003A31B7" w:rsidRPr="00AA7D1F">
              <w:rPr>
                <w:sz w:val="22"/>
              </w:rPr>
              <w:t>-</w:t>
            </w:r>
            <w:r w:rsidRPr="005E69C8">
              <w:rPr>
                <w:sz w:val="22"/>
              </w:rPr>
              <w:t>national conservation planning. The SAP produced is also envisioned</w:t>
            </w:r>
            <w:r w:rsidRPr="00850A96">
              <w:rPr>
                <w:sz w:val="22"/>
              </w:rPr>
              <w:t xml:space="preserve"> to be the basic landscape scale conservation planning tool for the Prespa basin. The integrated watershed management plan being implemented in Macedonian Prespa also contributes to this overarching goal. </w:t>
            </w:r>
          </w:p>
        </w:tc>
      </w:tr>
      <w:tr w:rsidR="00582FD5" w:rsidRPr="000A3C73" w:rsidTr="00582FD5">
        <w:tc>
          <w:tcPr>
            <w:tcW w:w="558" w:type="dxa"/>
          </w:tcPr>
          <w:p w:rsidR="00582FD5" w:rsidRPr="000A3C73" w:rsidRDefault="00582FD5" w:rsidP="00582FD5">
            <w:pPr>
              <w:pStyle w:val="BodyText"/>
              <w:numPr>
                <w:ilvl w:val="0"/>
                <w:numId w:val="0"/>
              </w:numPr>
              <w:rPr>
                <w:sz w:val="22"/>
              </w:rPr>
            </w:pPr>
            <w:r w:rsidRPr="000A3C73">
              <w:rPr>
                <w:sz w:val="22"/>
              </w:rPr>
              <w:t>Albania</w:t>
            </w:r>
          </w:p>
        </w:tc>
        <w:tc>
          <w:tcPr>
            <w:tcW w:w="9018" w:type="dxa"/>
          </w:tcPr>
          <w:p w:rsidR="00582FD5" w:rsidRPr="000A3C73" w:rsidRDefault="003B5E64" w:rsidP="003B5E64">
            <w:pPr>
              <w:pStyle w:val="BodyText"/>
              <w:numPr>
                <w:ilvl w:val="0"/>
                <w:numId w:val="0"/>
              </w:numPr>
              <w:rPr>
                <w:sz w:val="22"/>
              </w:rPr>
            </w:pPr>
            <w:r w:rsidRPr="000A3C73">
              <w:rPr>
                <w:sz w:val="22"/>
              </w:rPr>
              <w:t>In Albania, b</w:t>
            </w:r>
            <w:r w:rsidR="00505D97" w:rsidRPr="000A3C73">
              <w:rPr>
                <w:sz w:val="22"/>
              </w:rPr>
              <w:t xml:space="preserve">y end of the project the number of hectares of forest under improved management reached 320 ha. By end of 2011, the surface of lake under biodiversity oriented management was extended to about 170 ha in </w:t>
            </w:r>
            <w:r w:rsidR="00BB79B7" w:rsidRPr="000A3C73">
              <w:rPr>
                <w:sz w:val="22"/>
              </w:rPr>
              <w:t>Macro</w:t>
            </w:r>
            <w:r w:rsidR="00505D97" w:rsidRPr="000A3C73">
              <w:rPr>
                <w:sz w:val="22"/>
              </w:rPr>
              <w:t xml:space="preserve"> Prespa consisting on the removal of the remaining of netting and trapping system, and </w:t>
            </w:r>
            <w:r w:rsidR="00BB79B7" w:rsidRPr="000A3C73">
              <w:rPr>
                <w:sz w:val="22"/>
              </w:rPr>
              <w:t>approximately</w:t>
            </w:r>
            <w:r w:rsidR="00505D97" w:rsidRPr="000A3C73">
              <w:rPr>
                <w:sz w:val="22"/>
              </w:rPr>
              <w:t xml:space="preserve"> 150 ha in </w:t>
            </w:r>
            <w:r w:rsidR="00BB79B7" w:rsidRPr="000A3C73">
              <w:rPr>
                <w:sz w:val="22"/>
              </w:rPr>
              <w:t>Micro</w:t>
            </w:r>
            <w:r w:rsidR="00505D97" w:rsidRPr="000A3C73">
              <w:rPr>
                <w:sz w:val="22"/>
              </w:rPr>
              <w:t xml:space="preserve"> Prespa</w:t>
            </w:r>
            <w:r w:rsidR="00BB79B7" w:rsidRPr="000A3C73">
              <w:rPr>
                <w:sz w:val="22"/>
              </w:rPr>
              <w:t>,</w:t>
            </w:r>
            <w:r w:rsidR="00505D97" w:rsidRPr="000A3C73">
              <w:rPr>
                <w:sz w:val="22"/>
              </w:rPr>
              <w:t xml:space="preserve"> mainly due to the biodiversity oriented management of shoreline habitats and wet meadows</w:t>
            </w:r>
            <w:r w:rsidRPr="000A3C73">
              <w:rPr>
                <w:sz w:val="22"/>
              </w:rPr>
              <w:t xml:space="preserve">. </w:t>
            </w:r>
          </w:p>
        </w:tc>
      </w:tr>
      <w:tr w:rsidR="00582FD5" w:rsidRPr="000A3C73" w:rsidTr="00582FD5">
        <w:tc>
          <w:tcPr>
            <w:tcW w:w="558" w:type="dxa"/>
          </w:tcPr>
          <w:p w:rsidR="00582FD5" w:rsidRPr="000A3C73" w:rsidRDefault="00582FD5" w:rsidP="00582FD5">
            <w:pPr>
              <w:pStyle w:val="BodyText"/>
              <w:numPr>
                <w:ilvl w:val="0"/>
                <w:numId w:val="0"/>
              </w:numPr>
              <w:rPr>
                <w:sz w:val="22"/>
              </w:rPr>
            </w:pPr>
            <w:r w:rsidRPr="000A3C73">
              <w:rPr>
                <w:sz w:val="22"/>
              </w:rPr>
              <w:t>FYR Macedonia</w:t>
            </w:r>
          </w:p>
        </w:tc>
        <w:tc>
          <w:tcPr>
            <w:tcW w:w="9018" w:type="dxa"/>
          </w:tcPr>
          <w:p w:rsidR="0039126C" w:rsidRPr="000A3C73" w:rsidRDefault="00C46130" w:rsidP="00582FD5">
            <w:pPr>
              <w:pStyle w:val="BodyText"/>
              <w:numPr>
                <w:ilvl w:val="0"/>
                <w:numId w:val="0"/>
              </w:numPr>
              <w:rPr>
                <w:sz w:val="22"/>
              </w:rPr>
            </w:pPr>
            <w:r w:rsidRPr="000A3C73">
              <w:rPr>
                <w:sz w:val="22"/>
              </w:rPr>
              <w:t xml:space="preserve">This output was primarily a transboundary activity, but </w:t>
            </w:r>
            <w:r w:rsidR="005C4832" w:rsidRPr="000A3C73">
              <w:rPr>
                <w:sz w:val="22"/>
              </w:rPr>
              <w:t xml:space="preserve">the integrated watershed management plan developed and now being implemented in Macedonian Prespa contributes to this overarching goal. </w:t>
            </w:r>
          </w:p>
        </w:tc>
      </w:tr>
    </w:tbl>
    <w:p w:rsidR="00582FD5" w:rsidRPr="0089284E" w:rsidRDefault="00582FD5" w:rsidP="00582FD5">
      <w:pPr>
        <w:pStyle w:val="BodyText"/>
        <w:numPr>
          <w:ilvl w:val="0"/>
          <w:numId w:val="0"/>
        </w:numPr>
        <w:rPr>
          <w:i/>
          <w:u w:val="single"/>
        </w:rPr>
      </w:pPr>
    </w:p>
    <w:p w:rsidR="00ED656A" w:rsidRPr="00FC657B" w:rsidRDefault="00ED656A" w:rsidP="008A0886">
      <w:pPr>
        <w:pStyle w:val="BodyText"/>
        <w:rPr>
          <w:i/>
          <w:u w:val="single"/>
        </w:rPr>
      </w:pPr>
      <w:r w:rsidRPr="0089284E">
        <w:rPr>
          <w:b/>
          <w:i/>
          <w:u w:val="single"/>
        </w:rPr>
        <w:t>Output 3</w:t>
      </w:r>
      <w:r w:rsidR="00F15933" w:rsidRPr="0089284E">
        <w:rPr>
          <w:b/>
          <w:i/>
          <w:u w:val="single"/>
        </w:rPr>
        <w:t>.3</w:t>
      </w:r>
      <w:r w:rsidR="007B0959" w:rsidRPr="0089284E">
        <w:rPr>
          <w:b/>
          <w:i/>
          <w:u w:val="single"/>
        </w:rPr>
        <w:t xml:space="preserve"> </w:t>
      </w:r>
      <w:r w:rsidRPr="0089284E">
        <w:rPr>
          <w:i/>
          <w:u w:val="single"/>
        </w:rPr>
        <w:t>Restoration of the Golema Reka</w:t>
      </w:r>
      <w:r w:rsidR="007B0959" w:rsidRPr="0089284E">
        <w:rPr>
          <w:i/>
          <w:u w:val="single"/>
        </w:rPr>
        <w:t xml:space="preserve"> </w:t>
      </w:r>
      <w:r w:rsidR="004B06BD" w:rsidRPr="0089284E">
        <w:rPr>
          <w:i/>
          <w:u w:val="single"/>
        </w:rPr>
        <w:t>(tributary in Macedonian Prespa)</w:t>
      </w:r>
    </w:p>
    <w:tbl>
      <w:tblPr>
        <w:tblStyle w:val="TableGrid"/>
        <w:tblW w:w="0" w:type="auto"/>
        <w:tblLook w:val="04A0"/>
      </w:tblPr>
      <w:tblGrid>
        <w:gridCol w:w="1567"/>
        <w:gridCol w:w="8009"/>
      </w:tblGrid>
      <w:tr w:rsidR="00582FD5" w:rsidRPr="000A3C73" w:rsidTr="00582FD5">
        <w:tc>
          <w:tcPr>
            <w:tcW w:w="558" w:type="dxa"/>
          </w:tcPr>
          <w:p w:rsidR="00582FD5" w:rsidRPr="00FC657B" w:rsidRDefault="00582FD5" w:rsidP="00582FD5">
            <w:pPr>
              <w:pStyle w:val="BodyText"/>
              <w:numPr>
                <w:ilvl w:val="0"/>
                <w:numId w:val="0"/>
              </w:numPr>
              <w:rPr>
                <w:sz w:val="22"/>
              </w:rPr>
            </w:pPr>
            <w:r w:rsidRPr="00FC657B">
              <w:rPr>
                <w:sz w:val="22"/>
              </w:rPr>
              <w:t>Transboundary</w:t>
            </w:r>
          </w:p>
        </w:tc>
        <w:tc>
          <w:tcPr>
            <w:tcW w:w="9018" w:type="dxa"/>
          </w:tcPr>
          <w:p w:rsidR="00582FD5" w:rsidRPr="00CD42DE" w:rsidRDefault="002F358D" w:rsidP="00582FD5">
            <w:pPr>
              <w:pStyle w:val="BodyText"/>
              <w:numPr>
                <w:ilvl w:val="0"/>
                <w:numId w:val="0"/>
              </w:numPr>
              <w:rPr>
                <w:sz w:val="22"/>
              </w:rPr>
            </w:pPr>
            <w:r w:rsidRPr="00D77DF1">
              <w:rPr>
                <w:sz w:val="22"/>
              </w:rPr>
              <w:t>N/A</w:t>
            </w:r>
          </w:p>
        </w:tc>
      </w:tr>
      <w:tr w:rsidR="00582FD5" w:rsidRPr="000A3C73" w:rsidTr="00582FD5">
        <w:tc>
          <w:tcPr>
            <w:tcW w:w="558" w:type="dxa"/>
          </w:tcPr>
          <w:p w:rsidR="00582FD5" w:rsidRPr="000A3C73" w:rsidRDefault="00582FD5" w:rsidP="00582FD5">
            <w:pPr>
              <w:pStyle w:val="BodyText"/>
              <w:numPr>
                <w:ilvl w:val="0"/>
                <w:numId w:val="0"/>
              </w:numPr>
              <w:rPr>
                <w:sz w:val="22"/>
              </w:rPr>
            </w:pPr>
            <w:r w:rsidRPr="000A3C73">
              <w:rPr>
                <w:sz w:val="22"/>
              </w:rPr>
              <w:t>Albania</w:t>
            </w:r>
          </w:p>
        </w:tc>
        <w:tc>
          <w:tcPr>
            <w:tcW w:w="9018" w:type="dxa"/>
          </w:tcPr>
          <w:p w:rsidR="00582FD5" w:rsidRPr="000A3C73" w:rsidRDefault="002F358D" w:rsidP="00582FD5">
            <w:pPr>
              <w:pStyle w:val="BodyText"/>
              <w:numPr>
                <w:ilvl w:val="0"/>
                <w:numId w:val="0"/>
              </w:numPr>
              <w:rPr>
                <w:sz w:val="22"/>
              </w:rPr>
            </w:pPr>
            <w:r w:rsidRPr="000A3C73">
              <w:rPr>
                <w:sz w:val="22"/>
              </w:rPr>
              <w:t>N/A</w:t>
            </w:r>
          </w:p>
        </w:tc>
      </w:tr>
      <w:tr w:rsidR="00582FD5" w:rsidRPr="000A3C73" w:rsidTr="00582FD5">
        <w:tc>
          <w:tcPr>
            <w:tcW w:w="558" w:type="dxa"/>
          </w:tcPr>
          <w:p w:rsidR="00582FD5" w:rsidRPr="000A3C73" w:rsidRDefault="00582FD5" w:rsidP="00582FD5">
            <w:pPr>
              <w:pStyle w:val="BodyText"/>
              <w:numPr>
                <w:ilvl w:val="0"/>
                <w:numId w:val="0"/>
              </w:numPr>
              <w:rPr>
                <w:sz w:val="22"/>
              </w:rPr>
            </w:pPr>
            <w:r w:rsidRPr="000A3C73">
              <w:rPr>
                <w:sz w:val="22"/>
              </w:rPr>
              <w:t>FYR Macedonia</w:t>
            </w:r>
          </w:p>
        </w:tc>
        <w:tc>
          <w:tcPr>
            <w:tcW w:w="9018" w:type="dxa"/>
          </w:tcPr>
          <w:p w:rsidR="00582FD5" w:rsidRPr="00CD42DE" w:rsidRDefault="00582FD5" w:rsidP="00582FD5">
            <w:pPr>
              <w:widowControl w:val="0"/>
              <w:overflowPunct w:val="0"/>
              <w:autoSpaceDE w:val="0"/>
              <w:autoSpaceDN w:val="0"/>
              <w:adjustRightInd w:val="0"/>
              <w:spacing w:after="60"/>
              <w:jc w:val="both"/>
              <w:textAlignment w:val="baseline"/>
              <w:rPr>
                <w:rFonts w:ascii="Calibri" w:hAnsi="Calibri" w:cs="Arial"/>
                <w:b/>
                <w:snapToGrid w:val="0"/>
                <w:sz w:val="22"/>
                <w:szCs w:val="22"/>
              </w:rPr>
            </w:pPr>
            <w:r w:rsidRPr="000A3C73">
              <w:rPr>
                <w:rFonts w:ascii="Calibri" w:hAnsi="Calibri" w:cs="Arial"/>
                <w:snapToGrid w:val="0"/>
                <w:sz w:val="22"/>
                <w:szCs w:val="22"/>
              </w:rPr>
              <w:t xml:space="preserve">Considerable river restoration works have been completed in Prespa through the SDC-funded </w:t>
            </w:r>
            <w:r w:rsidR="00B34617" w:rsidRPr="000A3C73">
              <w:rPr>
                <w:rFonts w:ascii="Calibri" w:hAnsi="Calibri" w:cs="Arial"/>
                <w:snapToGrid w:val="0"/>
                <w:sz w:val="22"/>
                <w:szCs w:val="22"/>
              </w:rPr>
              <w:t>“</w:t>
            </w:r>
            <w:r w:rsidRPr="000A3C73">
              <w:rPr>
                <w:rFonts w:ascii="Calibri" w:hAnsi="Calibri" w:cs="Arial"/>
                <w:snapToGrid w:val="0"/>
                <w:sz w:val="22"/>
                <w:szCs w:val="22"/>
              </w:rPr>
              <w:t>Restoration of Golema Reka</w:t>
            </w:r>
            <w:r w:rsidR="00B34617" w:rsidRPr="000A3C73">
              <w:rPr>
                <w:rFonts w:ascii="Calibri" w:hAnsi="Calibri" w:cs="Arial"/>
                <w:snapToGrid w:val="0"/>
                <w:sz w:val="22"/>
                <w:szCs w:val="22"/>
              </w:rPr>
              <w:t>”</w:t>
            </w:r>
            <w:r w:rsidRPr="000A3C73">
              <w:rPr>
                <w:rFonts w:ascii="Calibri" w:hAnsi="Calibri" w:cs="Arial"/>
                <w:snapToGrid w:val="0"/>
                <w:sz w:val="22"/>
                <w:szCs w:val="22"/>
              </w:rPr>
              <w:t xml:space="preserve"> project. Both urban and non-urban sections of Golema Reka, the largest and most degraded tributary of Prespa, have been restored</w:t>
            </w:r>
            <w:r w:rsidR="00B34617" w:rsidRPr="000A3C73">
              <w:rPr>
                <w:rFonts w:ascii="Calibri" w:hAnsi="Calibri" w:cs="Arial"/>
                <w:snapToGrid w:val="0"/>
                <w:sz w:val="22"/>
                <w:szCs w:val="22"/>
              </w:rPr>
              <w:t xml:space="preserve"> (see </w:t>
            </w:r>
            <w:r w:rsidR="008269C6" w:rsidRPr="00FC657B">
              <w:rPr>
                <w:rFonts w:ascii="Calibri" w:hAnsi="Calibri" w:cs="Arial"/>
                <w:snapToGrid w:val="0"/>
                <w:sz w:val="22"/>
                <w:szCs w:val="22"/>
              </w:rPr>
              <w:fldChar w:fldCharType="begin"/>
            </w:r>
            <w:r w:rsidR="007B6C85" w:rsidRPr="000A3C73">
              <w:rPr>
                <w:rFonts w:ascii="Calibri" w:hAnsi="Calibri" w:cs="Arial"/>
                <w:snapToGrid w:val="0"/>
                <w:sz w:val="22"/>
                <w:szCs w:val="22"/>
              </w:rPr>
              <w:instrText xml:space="preserve"> REF _Ref211350193 \h </w:instrText>
            </w:r>
            <w:r w:rsidR="008269C6" w:rsidRPr="00FC657B">
              <w:rPr>
                <w:rFonts w:ascii="Calibri" w:hAnsi="Calibri" w:cs="Arial"/>
                <w:snapToGrid w:val="0"/>
                <w:sz w:val="22"/>
                <w:szCs w:val="22"/>
              </w:rPr>
            </w:r>
            <w:r w:rsidR="008269C6" w:rsidRPr="00FC657B">
              <w:rPr>
                <w:rFonts w:ascii="Calibri" w:hAnsi="Calibri" w:cs="Arial"/>
                <w:snapToGrid w:val="0"/>
                <w:sz w:val="22"/>
                <w:szCs w:val="22"/>
              </w:rPr>
              <w:fldChar w:fldCharType="separate"/>
            </w:r>
            <w:r w:rsidR="006E18A7" w:rsidRPr="00FC657B">
              <w:t xml:space="preserve">Photo </w:t>
            </w:r>
            <w:r w:rsidR="006E18A7" w:rsidRPr="00D77DF1">
              <w:rPr>
                <w:noProof/>
              </w:rPr>
              <w:t>2</w:t>
            </w:r>
            <w:r w:rsidR="008269C6" w:rsidRPr="00FC657B">
              <w:rPr>
                <w:rFonts w:ascii="Calibri" w:hAnsi="Calibri" w:cs="Arial"/>
                <w:snapToGrid w:val="0"/>
                <w:sz w:val="22"/>
                <w:szCs w:val="22"/>
              </w:rPr>
              <w:fldChar w:fldCharType="end"/>
            </w:r>
            <w:r w:rsidR="00B34617" w:rsidRPr="00FC657B">
              <w:rPr>
                <w:rFonts w:ascii="Calibri" w:hAnsi="Calibri" w:cs="Arial"/>
                <w:snapToGrid w:val="0"/>
                <w:sz w:val="22"/>
                <w:szCs w:val="22"/>
              </w:rPr>
              <w:t>)</w:t>
            </w:r>
            <w:r w:rsidRPr="00FC657B">
              <w:rPr>
                <w:rFonts w:ascii="Calibri" w:hAnsi="Calibri" w:cs="Arial"/>
                <w:snapToGrid w:val="0"/>
                <w:sz w:val="22"/>
                <w:szCs w:val="22"/>
              </w:rPr>
              <w:t>, which involved construction of wastewater collection systems in industrial and residential areas located along the river. The SDC funds have also been used for improvement of</w:t>
            </w:r>
            <w:r w:rsidRPr="00D77DF1">
              <w:rPr>
                <w:rFonts w:ascii="Calibri" w:hAnsi="Calibri" w:cs="Arial"/>
                <w:snapToGrid w:val="0"/>
                <w:sz w:val="22"/>
                <w:szCs w:val="22"/>
              </w:rPr>
              <w:t xml:space="preserve"> the hydrological and meteorological monitoring of environmental parameters of Golema Reka.</w:t>
            </w:r>
          </w:p>
          <w:p w:rsidR="00582FD5" w:rsidRPr="000A3C73" w:rsidRDefault="00582FD5" w:rsidP="0039126C">
            <w:pPr>
              <w:pStyle w:val="BodyText"/>
              <w:numPr>
                <w:ilvl w:val="0"/>
                <w:numId w:val="0"/>
              </w:numPr>
              <w:rPr>
                <w:sz w:val="22"/>
              </w:rPr>
            </w:pPr>
            <w:r w:rsidRPr="00AA7D1F">
              <w:rPr>
                <w:rFonts w:cs="Arial"/>
                <w:snapToGrid w:val="0"/>
                <w:sz w:val="22"/>
                <w:szCs w:val="22"/>
              </w:rPr>
              <w:t xml:space="preserve">The support of the GEF </w:t>
            </w:r>
            <w:r w:rsidR="0039126C" w:rsidRPr="005E69C8">
              <w:rPr>
                <w:rFonts w:cs="Arial"/>
                <w:snapToGrid w:val="0"/>
                <w:sz w:val="22"/>
                <w:szCs w:val="22"/>
              </w:rPr>
              <w:t xml:space="preserve">project </w:t>
            </w:r>
            <w:r w:rsidRPr="00850A96">
              <w:rPr>
                <w:rFonts w:cs="Arial"/>
                <w:snapToGrid w:val="0"/>
                <w:sz w:val="22"/>
                <w:szCs w:val="22"/>
              </w:rPr>
              <w:t xml:space="preserve">to this initiative was mainly in providing technical and community outreach support, but also access to the latest ecosystem-based river restoration concepts and approaches. Based on the experience from the implementation of the Restoration of Golema Reka project, and the best international river restoration practices, the </w:t>
            </w:r>
            <w:r w:rsidR="002F358D" w:rsidRPr="008B7E9A">
              <w:rPr>
                <w:rFonts w:cs="Arial"/>
                <w:snapToGrid w:val="0"/>
                <w:sz w:val="22"/>
                <w:szCs w:val="22"/>
              </w:rPr>
              <w:t>project</w:t>
            </w:r>
            <w:r w:rsidRPr="000126EE">
              <w:rPr>
                <w:rFonts w:cs="Arial"/>
                <w:snapToGrid w:val="0"/>
                <w:sz w:val="22"/>
                <w:szCs w:val="22"/>
              </w:rPr>
              <w:t xml:space="preserve"> supported preparation of a</w:t>
            </w:r>
            <w:r w:rsidR="00B34617" w:rsidRPr="00B71D27">
              <w:rPr>
                <w:rFonts w:cs="Arial"/>
                <w:snapToGrid w:val="0"/>
                <w:sz w:val="22"/>
                <w:szCs w:val="22"/>
              </w:rPr>
              <w:t xml:space="preserve"> River Restoration Manual. The m</w:t>
            </w:r>
            <w:r w:rsidRPr="00595792">
              <w:rPr>
                <w:rFonts w:cs="Arial"/>
                <w:snapToGrid w:val="0"/>
                <w:sz w:val="22"/>
                <w:szCs w:val="22"/>
              </w:rPr>
              <w:t xml:space="preserve">anual </w:t>
            </w:r>
            <w:r w:rsidR="002F358D" w:rsidRPr="00602E30">
              <w:rPr>
                <w:rFonts w:cs="Arial"/>
                <w:snapToGrid w:val="0"/>
                <w:sz w:val="22"/>
                <w:szCs w:val="22"/>
              </w:rPr>
              <w:t>was</w:t>
            </w:r>
            <w:r w:rsidRPr="002A69B7">
              <w:rPr>
                <w:rFonts w:cs="Arial"/>
                <w:snapToGrid w:val="0"/>
                <w:sz w:val="22"/>
                <w:szCs w:val="22"/>
              </w:rPr>
              <w:t xml:space="preserve"> published, successfully promoted and widely distributed amongst the target audience </w:t>
            </w:r>
            <w:r w:rsidR="002F358D" w:rsidRPr="002C744B">
              <w:rPr>
                <w:rFonts w:cs="Arial"/>
                <w:snapToGrid w:val="0"/>
                <w:sz w:val="22"/>
                <w:szCs w:val="22"/>
              </w:rPr>
              <w:t>including</w:t>
            </w:r>
            <w:r w:rsidRPr="002C744B">
              <w:rPr>
                <w:rFonts w:cs="Arial"/>
                <w:snapToGrid w:val="0"/>
                <w:sz w:val="22"/>
                <w:szCs w:val="22"/>
              </w:rPr>
              <w:t xml:space="preserve"> experts, engineers, designers and practitioner</w:t>
            </w:r>
            <w:r w:rsidRPr="00C56966">
              <w:rPr>
                <w:rFonts w:cs="Arial"/>
                <w:snapToGrid w:val="0"/>
                <w:sz w:val="22"/>
                <w:szCs w:val="22"/>
              </w:rPr>
              <w:t xml:space="preserve">s, </w:t>
            </w:r>
            <w:r w:rsidR="002F358D" w:rsidRPr="002D3949">
              <w:rPr>
                <w:rFonts w:cs="Arial"/>
                <w:snapToGrid w:val="0"/>
                <w:sz w:val="22"/>
                <w:szCs w:val="22"/>
              </w:rPr>
              <w:t>and</w:t>
            </w:r>
            <w:r w:rsidRPr="000A3C73">
              <w:rPr>
                <w:rFonts w:cs="Arial"/>
                <w:snapToGrid w:val="0"/>
                <w:sz w:val="22"/>
                <w:szCs w:val="22"/>
              </w:rPr>
              <w:t xml:space="preserve"> relevant</w:t>
            </w:r>
            <w:r w:rsidR="00B34617" w:rsidRPr="000A3C73">
              <w:rPr>
                <w:rFonts w:cs="Arial"/>
                <w:snapToGrid w:val="0"/>
                <w:sz w:val="22"/>
                <w:szCs w:val="22"/>
              </w:rPr>
              <w:t xml:space="preserve"> authorities. In addition, the m</w:t>
            </w:r>
            <w:r w:rsidRPr="000A3C73">
              <w:rPr>
                <w:rFonts w:cs="Arial"/>
                <w:snapToGrid w:val="0"/>
                <w:sz w:val="22"/>
                <w:szCs w:val="22"/>
              </w:rPr>
              <w:t>anual is being used as a student textbook at the Faculty of Civil Engineering in Skopje, for the newly introduced course on river restoration.</w:t>
            </w:r>
          </w:p>
        </w:tc>
      </w:tr>
    </w:tbl>
    <w:p w:rsidR="00582FD5" w:rsidRPr="000A3C73" w:rsidRDefault="00582FD5" w:rsidP="00582FD5">
      <w:pPr>
        <w:pStyle w:val="BodyText"/>
        <w:numPr>
          <w:ilvl w:val="0"/>
          <w:numId w:val="0"/>
        </w:numPr>
        <w:rPr>
          <w:i/>
          <w:u w:val="single"/>
        </w:rPr>
      </w:pPr>
    </w:p>
    <w:p w:rsidR="00B34617" w:rsidRPr="000A3C73" w:rsidRDefault="00B34617" w:rsidP="00B34617">
      <w:pPr>
        <w:pStyle w:val="Caption"/>
        <w:jc w:val="both"/>
      </w:pPr>
      <w:bookmarkStart w:id="113" w:name="_Ref211350193"/>
      <w:r w:rsidRPr="000A3C73">
        <w:t xml:space="preserve">Photo </w:t>
      </w:r>
      <w:r w:rsidR="008269C6" w:rsidRPr="00552EEF">
        <w:fldChar w:fldCharType="begin"/>
      </w:r>
      <w:r w:rsidR="00CF23E9" w:rsidRPr="000A3C73">
        <w:instrText xml:space="preserve"> SEQ Photo \* ARABIC </w:instrText>
      </w:r>
      <w:r w:rsidR="008269C6" w:rsidRPr="00552EEF">
        <w:fldChar w:fldCharType="separate"/>
      </w:r>
      <w:r w:rsidR="006E18A7" w:rsidRPr="000A3C73">
        <w:rPr>
          <w:noProof/>
        </w:rPr>
        <w:t>2</w:t>
      </w:r>
      <w:r w:rsidR="008269C6" w:rsidRPr="00552EEF">
        <w:rPr>
          <w:noProof/>
        </w:rPr>
        <w:fldChar w:fldCharType="end"/>
      </w:r>
      <w:bookmarkEnd w:id="113"/>
      <w:r w:rsidRPr="000A3C73">
        <w:t xml:space="preserve"> Restored Industrial Portion of Golema Reka Tributary</w:t>
      </w:r>
      <w:r w:rsidR="005E50CE" w:rsidRPr="000A3C73">
        <w:t>, Resen, Macedonia</w:t>
      </w:r>
    </w:p>
    <w:p w:rsidR="00B34617" w:rsidRPr="000A3C73" w:rsidRDefault="00B34617" w:rsidP="00582FD5">
      <w:pPr>
        <w:pStyle w:val="BodyText"/>
        <w:numPr>
          <w:ilvl w:val="0"/>
          <w:numId w:val="0"/>
        </w:numPr>
      </w:pPr>
      <w:r w:rsidRPr="00F92C45">
        <w:rPr>
          <w:noProof/>
        </w:rPr>
        <w:drawing>
          <wp:inline distT="0" distB="0" distL="0" distR="0">
            <wp:extent cx="5344160" cy="3578082"/>
            <wp:effectExtent l="25400" t="25400" r="15240" b="292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175_MK_refurbishedstream.jpg"/>
                    <pic:cNvPicPr/>
                  </pic:nvPicPr>
                  <pic:blipFill>
                    <a:blip r:embed="rId3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345271" cy="3578826"/>
                    </a:xfrm>
                    <a:prstGeom prst="rect">
                      <a:avLst/>
                    </a:prstGeom>
                    <a:ln w="12700" cmpd="sng">
                      <a:solidFill>
                        <a:schemeClr val="tx1"/>
                      </a:solidFill>
                    </a:ln>
                  </pic:spPr>
                </pic:pic>
              </a:graphicData>
            </a:graphic>
          </wp:inline>
        </w:drawing>
      </w:r>
    </w:p>
    <w:p w:rsidR="00B34617" w:rsidRPr="000A3C73" w:rsidRDefault="00B34617" w:rsidP="00582FD5">
      <w:pPr>
        <w:pStyle w:val="BodyText"/>
        <w:numPr>
          <w:ilvl w:val="0"/>
          <w:numId w:val="0"/>
        </w:numPr>
        <w:rPr>
          <w:i/>
          <w:u w:val="single"/>
        </w:rPr>
      </w:pPr>
    </w:p>
    <w:p w:rsidR="00ED656A" w:rsidRPr="0089284E" w:rsidRDefault="00ED656A" w:rsidP="00ED656A">
      <w:pPr>
        <w:pStyle w:val="BodyText"/>
        <w:rPr>
          <w:i/>
          <w:u w:val="single"/>
        </w:rPr>
      </w:pPr>
      <w:r w:rsidRPr="0089284E">
        <w:rPr>
          <w:b/>
          <w:i/>
          <w:u w:val="single"/>
        </w:rPr>
        <w:t>Output 3.4</w:t>
      </w:r>
      <w:r w:rsidR="007B0959" w:rsidRPr="0089284E">
        <w:rPr>
          <w:b/>
          <w:i/>
          <w:u w:val="single"/>
        </w:rPr>
        <w:t xml:space="preserve"> </w:t>
      </w:r>
      <w:r w:rsidR="0014331E" w:rsidRPr="0089284E">
        <w:rPr>
          <w:i/>
          <w:u w:val="single"/>
        </w:rPr>
        <w:t>Prespa National Park (AL)</w:t>
      </w:r>
      <w:r w:rsidRPr="0089284E">
        <w:rPr>
          <w:i/>
          <w:u w:val="single"/>
        </w:rPr>
        <w:t xml:space="preserve"> and </w:t>
      </w:r>
      <w:r w:rsidR="00042A08" w:rsidRPr="0089284E">
        <w:rPr>
          <w:i/>
          <w:u w:val="single"/>
        </w:rPr>
        <w:t xml:space="preserve">Galičica </w:t>
      </w:r>
      <w:r w:rsidR="0014331E" w:rsidRPr="0089284E">
        <w:rPr>
          <w:i/>
          <w:u w:val="single"/>
        </w:rPr>
        <w:t>National Park (MK)</w:t>
      </w:r>
      <w:r w:rsidRPr="0089284E">
        <w:rPr>
          <w:i/>
          <w:u w:val="single"/>
        </w:rPr>
        <w:t xml:space="preserve"> management capacity are strengthened and the parks fully operational (</w:t>
      </w:r>
      <w:r w:rsidR="0014331E" w:rsidRPr="0089284E">
        <w:rPr>
          <w:i/>
          <w:u w:val="single"/>
        </w:rPr>
        <w:t xml:space="preserve">to be funded by </w:t>
      </w:r>
      <w:r w:rsidRPr="0089284E">
        <w:rPr>
          <w:i/>
          <w:u w:val="single"/>
        </w:rPr>
        <w:t>KfW)</w:t>
      </w:r>
    </w:p>
    <w:tbl>
      <w:tblPr>
        <w:tblStyle w:val="TableGrid"/>
        <w:tblW w:w="0" w:type="auto"/>
        <w:tblLook w:val="04A0"/>
      </w:tblPr>
      <w:tblGrid>
        <w:gridCol w:w="1567"/>
        <w:gridCol w:w="8009"/>
      </w:tblGrid>
      <w:tr w:rsidR="00582FD5" w:rsidRPr="000A3C73" w:rsidTr="00582FD5">
        <w:tc>
          <w:tcPr>
            <w:tcW w:w="558" w:type="dxa"/>
          </w:tcPr>
          <w:p w:rsidR="00582FD5" w:rsidRPr="00FC657B" w:rsidRDefault="00582FD5" w:rsidP="00582FD5">
            <w:pPr>
              <w:pStyle w:val="BodyText"/>
              <w:numPr>
                <w:ilvl w:val="0"/>
                <w:numId w:val="0"/>
              </w:numPr>
              <w:rPr>
                <w:sz w:val="22"/>
              </w:rPr>
            </w:pPr>
            <w:r w:rsidRPr="00FC657B">
              <w:rPr>
                <w:sz w:val="22"/>
              </w:rPr>
              <w:t>Transboundary</w:t>
            </w:r>
          </w:p>
        </w:tc>
        <w:tc>
          <w:tcPr>
            <w:tcW w:w="9018" w:type="dxa"/>
          </w:tcPr>
          <w:p w:rsidR="00582FD5" w:rsidRPr="00D77DF1" w:rsidRDefault="00A93673" w:rsidP="00582FD5">
            <w:pPr>
              <w:pStyle w:val="BodyText"/>
              <w:numPr>
                <w:ilvl w:val="0"/>
                <w:numId w:val="0"/>
              </w:numPr>
              <w:rPr>
                <w:sz w:val="22"/>
              </w:rPr>
            </w:pPr>
            <w:r w:rsidRPr="00FC657B">
              <w:rPr>
                <w:sz w:val="22"/>
              </w:rPr>
              <w:t>N/A</w:t>
            </w:r>
          </w:p>
        </w:tc>
      </w:tr>
      <w:tr w:rsidR="00582FD5" w:rsidRPr="000A3C73" w:rsidTr="00582FD5">
        <w:tc>
          <w:tcPr>
            <w:tcW w:w="558" w:type="dxa"/>
          </w:tcPr>
          <w:p w:rsidR="00582FD5" w:rsidRPr="000A3C73" w:rsidRDefault="00582FD5" w:rsidP="00582FD5">
            <w:pPr>
              <w:pStyle w:val="BodyText"/>
              <w:numPr>
                <w:ilvl w:val="0"/>
                <w:numId w:val="0"/>
              </w:numPr>
              <w:rPr>
                <w:sz w:val="22"/>
              </w:rPr>
            </w:pPr>
            <w:r w:rsidRPr="000A3C73">
              <w:rPr>
                <w:sz w:val="22"/>
              </w:rPr>
              <w:t>Albania</w:t>
            </w:r>
          </w:p>
        </w:tc>
        <w:tc>
          <w:tcPr>
            <w:tcW w:w="9018" w:type="dxa"/>
          </w:tcPr>
          <w:p w:rsidR="00582FD5" w:rsidRPr="000A3C73" w:rsidRDefault="005E0BD3" w:rsidP="00A62B1D">
            <w:pPr>
              <w:pStyle w:val="BodyText"/>
              <w:numPr>
                <w:ilvl w:val="0"/>
                <w:numId w:val="0"/>
              </w:numPr>
              <w:rPr>
                <w:sz w:val="22"/>
              </w:rPr>
            </w:pPr>
            <w:r w:rsidRPr="000A3C73">
              <w:rPr>
                <w:bCs/>
                <w:iCs/>
                <w:sz w:val="22"/>
              </w:rPr>
              <w:t xml:space="preserve">The KfW project originally envisioned to integrate with GEF-funded activities in </w:t>
            </w:r>
            <w:r w:rsidRPr="002C744B">
              <w:rPr>
                <w:bCs/>
                <w:iCs/>
                <w:sz w:val="22"/>
              </w:rPr>
              <w:t xml:space="preserve">Albanian Prespa did not get underway until October 2011. </w:t>
            </w:r>
            <w:r w:rsidR="00A62B1D" w:rsidRPr="0089284E">
              <w:rPr>
                <w:sz w:val="22"/>
              </w:rPr>
              <w:t>The project faced significant difficulties in progressing this activity due to delays from the MoEFWA in setting up the PNP-MC, and the delay in the commencement of the KfW project. However, the project team lobbied hard at the central, regional, and local levels for the need for a Prespa National Park Management Committee (PNP-MC) as a crucial institution to improve the overall management of Prespa National Park and the watershed. At least three dedicated training workshops have taken place with staff from the Prespa National Park (overall 37 persons from Prespa National Park and Forestry Directorate) – two in Korça and one overseas (two representatives from the Prespa National Park).</w:t>
            </w:r>
            <w:r w:rsidR="00D4199C">
              <w:rPr>
                <w:sz w:val="22"/>
              </w:rPr>
              <w:t xml:space="preserve"> </w:t>
            </w:r>
            <w:r w:rsidR="009D0C41" w:rsidRPr="00FC657B">
              <w:rPr>
                <w:bCs/>
                <w:iCs/>
                <w:sz w:val="22"/>
              </w:rPr>
              <w:t>The Presp</w:t>
            </w:r>
            <w:r w:rsidR="00505D97" w:rsidRPr="00FC657B">
              <w:rPr>
                <w:bCs/>
                <w:iCs/>
                <w:sz w:val="22"/>
              </w:rPr>
              <w:t xml:space="preserve">a </w:t>
            </w:r>
            <w:r w:rsidRPr="00D77DF1">
              <w:rPr>
                <w:bCs/>
                <w:iCs/>
                <w:sz w:val="22"/>
              </w:rPr>
              <w:t>National Park Management C</w:t>
            </w:r>
            <w:r w:rsidR="00505D97" w:rsidRPr="00CD42DE">
              <w:rPr>
                <w:bCs/>
                <w:iCs/>
                <w:sz w:val="22"/>
              </w:rPr>
              <w:t xml:space="preserve">ommittee is </w:t>
            </w:r>
            <w:r w:rsidR="00A62B1D" w:rsidRPr="00AA7D1F">
              <w:rPr>
                <w:bCs/>
                <w:iCs/>
                <w:sz w:val="22"/>
              </w:rPr>
              <w:t xml:space="preserve">now </w:t>
            </w:r>
            <w:r w:rsidR="00505D97" w:rsidRPr="005E69C8">
              <w:rPr>
                <w:bCs/>
                <w:iCs/>
                <w:sz w:val="22"/>
              </w:rPr>
              <w:t>established and functioning</w:t>
            </w:r>
            <w:r w:rsidRPr="00850A96">
              <w:rPr>
                <w:bCs/>
                <w:iCs/>
                <w:sz w:val="22"/>
              </w:rPr>
              <w:t>, with regular meetings of all involved stakeholders</w:t>
            </w:r>
            <w:r w:rsidR="00505D97" w:rsidRPr="008B7E9A">
              <w:rPr>
                <w:bCs/>
                <w:iCs/>
                <w:sz w:val="22"/>
              </w:rPr>
              <w:t>. The project provided si</w:t>
            </w:r>
            <w:r w:rsidR="00505D97" w:rsidRPr="000126EE">
              <w:rPr>
                <w:bCs/>
                <w:iCs/>
                <w:sz w:val="22"/>
              </w:rPr>
              <w:t xml:space="preserve">gnificant logistic and equipment support to the </w:t>
            </w:r>
            <w:r w:rsidRPr="00B71D27">
              <w:rPr>
                <w:bCs/>
                <w:iCs/>
                <w:sz w:val="22"/>
              </w:rPr>
              <w:t xml:space="preserve">Prespa National </w:t>
            </w:r>
            <w:r w:rsidR="00505D97" w:rsidRPr="00595792">
              <w:rPr>
                <w:bCs/>
                <w:iCs/>
                <w:sz w:val="22"/>
              </w:rPr>
              <w:t xml:space="preserve">Park Administration. </w:t>
            </w:r>
            <w:r w:rsidRPr="00602E30">
              <w:rPr>
                <w:sz w:val="22"/>
              </w:rPr>
              <w:t>The Management E</w:t>
            </w:r>
            <w:r w:rsidR="00505D97" w:rsidRPr="002A69B7">
              <w:rPr>
                <w:sz w:val="22"/>
              </w:rPr>
              <w:t xml:space="preserve">ffectiveness Tracking Tool is used annually to assess management </w:t>
            </w:r>
            <w:r w:rsidR="00505D97" w:rsidRPr="002C744B">
              <w:rPr>
                <w:sz w:val="22"/>
              </w:rPr>
              <w:t xml:space="preserve">effectiveness of Prespa National Park in Albania. The baseline METT score established in 2007 was 31. </w:t>
            </w:r>
            <w:r w:rsidR="00701406" w:rsidRPr="00C56966">
              <w:rPr>
                <w:bCs/>
                <w:iCs/>
                <w:sz w:val="22"/>
              </w:rPr>
              <w:t>In</w:t>
            </w:r>
            <w:r w:rsidR="00505D97" w:rsidRPr="002D3949">
              <w:rPr>
                <w:bCs/>
                <w:iCs/>
                <w:sz w:val="22"/>
              </w:rPr>
              <w:t xml:space="preserve"> 2011</w:t>
            </w:r>
            <w:r w:rsidR="00701406" w:rsidRPr="000A3C73">
              <w:rPr>
                <w:bCs/>
                <w:iCs/>
                <w:sz w:val="22"/>
              </w:rPr>
              <w:t xml:space="preserve"> the</w:t>
            </w:r>
            <w:r w:rsidR="00505D97" w:rsidRPr="000A3C73">
              <w:rPr>
                <w:bCs/>
                <w:iCs/>
                <w:sz w:val="22"/>
              </w:rPr>
              <w:t xml:space="preserve"> METT </w:t>
            </w:r>
            <w:r w:rsidR="00701406" w:rsidRPr="000A3C73">
              <w:rPr>
                <w:bCs/>
                <w:iCs/>
                <w:sz w:val="22"/>
              </w:rPr>
              <w:t xml:space="preserve">was completed </w:t>
            </w:r>
            <w:r w:rsidR="00505D97" w:rsidRPr="000A3C73">
              <w:rPr>
                <w:bCs/>
                <w:iCs/>
                <w:sz w:val="22"/>
              </w:rPr>
              <w:t xml:space="preserve">by </w:t>
            </w:r>
            <w:r w:rsidR="00505D97" w:rsidRPr="000A3C73">
              <w:rPr>
                <w:iCs/>
                <w:sz w:val="22"/>
              </w:rPr>
              <w:t>KfW</w:t>
            </w:r>
            <w:r w:rsidR="00701406" w:rsidRPr="000A3C73">
              <w:rPr>
                <w:iCs/>
                <w:sz w:val="22"/>
              </w:rPr>
              <w:t>, with the</w:t>
            </w:r>
            <w:r w:rsidR="000E2A39" w:rsidRPr="000A3C73">
              <w:rPr>
                <w:iCs/>
                <w:sz w:val="22"/>
              </w:rPr>
              <w:t xml:space="preserve"> METT score for Prespa National Park in Albania </w:t>
            </w:r>
            <w:r w:rsidR="00701406" w:rsidRPr="000A3C73">
              <w:rPr>
                <w:iCs/>
                <w:sz w:val="22"/>
              </w:rPr>
              <w:t>increasing</w:t>
            </w:r>
            <w:r w:rsidR="000E2A39" w:rsidRPr="000A3C73">
              <w:rPr>
                <w:iCs/>
                <w:sz w:val="22"/>
              </w:rPr>
              <w:t xml:space="preserve"> from 31 in August 2007 to </w:t>
            </w:r>
            <w:r w:rsidR="009D0C41" w:rsidRPr="000A3C73">
              <w:rPr>
                <w:iCs/>
                <w:sz w:val="22"/>
              </w:rPr>
              <w:t xml:space="preserve">37 in July 2011. </w:t>
            </w:r>
            <w:r w:rsidR="00701406" w:rsidRPr="000A3C73">
              <w:rPr>
                <w:bCs/>
                <w:iCs/>
                <w:sz w:val="22"/>
              </w:rPr>
              <w:t>Actual</w:t>
            </w:r>
            <w:r w:rsidR="00A93673" w:rsidRPr="000A3C73">
              <w:rPr>
                <w:bCs/>
                <w:iCs/>
                <w:sz w:val="22"/>
              </w:rPr>
              <w:t xml:space="preserve"> enforcement and control activities of the park administration are assisted also through</w:t>
            </w:r>
            <w:r w:rsidR="00CC63F3" w:rsidRPr="000A3C73">
              <w:rPr>
                <w:bCs/>
                <w:iCs/>
                <w:sz w:val="22"/>
              </w:rPr>
              <w:t xml:space="preserve"> the</w:t>
            </w:r>
            <w:r w:rsidR="00394D50" w:rsidRPr="000A3C73">
              <w:rPr>
                <w:bCs/>
                <w:iCs/>
                <w:sz w:val="22"/>
              </w:rPr>
              <w:t xml:space="preserve"> KfW p</w:t>
            </w:r>
            <w:r w:rsidR="00A93673" w:rsidRPr="000A3C73">
              <w:rPr>
                <w:bCs/>
                <w:iCs/>
                <w:sz w:val="22"/>
              </w:rPr>
              <w:t>roject</w:t>
            </w:r>
            <w:r w:rsidR="00CC63F3" w:rsidRPr="000A3C73">
              <w:rPr>
                <w:iCs/>
                <w:sz w:val="22"/>
              </w:rPr>
              <w:t xml:space="preserve">. </w:t>
            </w:r>
            <w:r w:rsidR="00A93673" w:rsidRPr="000A3C73">
              <w:rPr>
                <w:bCs/>
                <w:iCs/>
                <w:sz w:val="22"/>
              </w:rPr>
              <w:t>The Management Plan is under development by KfW project. All reports and documents of UNDP project are being considered as the baseline.</w:t>
            </w:r>
          </w:p>
        </w:tc>
      </w:tr>
      <w:tr w:rsidR="00582FD5" w:rsidRPr="000A3C73" w:rsidTr="00582FD5">
        <w:tc>
          <w:tcPr>
            <w:tcW w:w="558" w:type="dxa"/>
          </w:tcPr>
          <w:p w:rsidR="00582FD5" w:rsidRPr="000A3C73" w:rsidRDefault="00582FD5" w:rsidP="00582FD5">
            <w:pPr>
              <w:pStyle w:val="BodyText"/>
              <w:numPr>
                <w:ilvl w:val="0"/>
                <w:numId w:val="0"/>
              </w:numPr>
              <w:rPr>
                <w:sz w:val="22"/>
              </w:rPr>
            </w:pPr>
            <w:r w:rsidRPr="000A3C73">
              <w:rPr>
                <w:sz w:val="22"/>
              </w:rPr>
              <w:t>FYR Macedonia</w:t>
            </w:r>
          </w:p>
        </w:tc>
        <w:tc>
          <w:tcPr>
            <w:tcW w:w="9018" w:type="dxa"/>
          </w:tcPr>
          <w:p w:rsidR="00582FD5" w:rsidRPr="000A3C73" w:rsidRDefault="000869EA" w:rsidP="000869EA">
            <w:pPr>
              <w:pStyle w:val="BodyText"/>
              <w:numPr>
                <w:ilvl w:val="0"/>
                <w:numId w:val="0"/>
              </w:numPr>
              <w:rPr>
                <w:sz w:val="22"/>
              </w:rPr>
            </w:pPr>
            <w:r w:rsidRPr="000A3C73">
              <w:rPr>
                <w:bCs/>
                <w:sz w:val="22"/>
                <w:szCs w:val="22"/>
              </w:rPr>
              <w:t>Since early 2008 KfW has implemented p</w:t>
            </w:r>
            <w:r w:rsidR="001657BB" w:rsidRPr="000A3C73">
              <w:rPr>
                <w:bCs/>
                <w:sz w:val="22"/>
                <w:szCs w:val="22"/>
              </w:rPr>
              <w:t xml:space="preserve">roject activities focused on introduction of integrated sustainable management and administrative capacity building of the </w:t>
            </w:r>
            <w:r w:rsidR="00D4199C" w:rsidRPr="00D4199C">
              <w:rPr>
                <w:bCs/>
                <w:sz w:val="22"/>
                <w:szCs w:val="22"/>
                <w:u w:val="single"/>
              </w:rPr>
              <w:t>Galičica</w:t>
            </w:r>
            <w:r w:rsidR="00D4199C" w:rsidRPr="00D4199C">
              <w:rPr>
                <w:bCs/>
                <w:i/>
                <w:sz w:val="22"/>
                <w:szCs w:val="22"/>
                <w:u w:val="single"/>
              </w:rPr>
              <w:t xml:space="preserve"> </w:t>
            </w:r>
            <w:r w:rsidR="001657BB" w:rsidRPr="000A3C73">
              <w:rPr>
                <w:bCs/>
                <w:sz w:val="22"/>
                <w:szCs w:val="22"/>
              </w:rPr>
              <w:t xml:space="preserve">National Park </w:t>
            </w:r>
            <w:r w:rsidR="001D08D6" w:rsidRPr="000A3C73">
              <w:rPr>
                <w:bCs/>
                <w:sz w:val="22"/>
                <w:szCs w:val="22"/>
              </w:rPr>
              <w:t>(the same program</w:t>
            </w:r>
            <w:r w:rsidR="001657BB" w:rsidRPr="000A3C73">
              <w:rPr>
                <w:bCs/>
                <w:sz w:val="22"/>
                <w:szCs w:val="22"/>
              </w:rPr>
              <w:t xml:space="preserve"> also supported by KfW was launched in 2011 to support Prespa </w:t>
            </w:r>
            <w:r w:rsidR="00394D50" w:rsidRPr="000A3C73">
              <w:rPr>
                <w:bCs/>
                <w:sz w:val="22"/>
                <w:szCs w:val="22"/>
              </w:rPr>
              <w:t>National P</w:t>
            </w:r>
            <w:r w:rsidR="001657BB" w:rsidRPr="000A3C73">
              <w:rPr>
                <w:bCs/>
                <w:sz w:val="22"/>
                <w:szCs w:val="22"/>
              </w:rPr>
              <w:t>ark in Albania). Throughout the period</w:t>
            </w:r>
            <w:r w:rsidR="005D6D68" w:rsidRPr="000A3C73">
              <w:rPr>
                <w:bCs/>
                <w:sz w:val="22"/>
                <w:szCs w:val="22"/>
              </w:rPr>
              <w:t>,</w:t>
            </w:r>
            <w:r w:rsidR="001657BB" w:rsidRPr="000A3C73">
              <w:rPr>
                <w:bCs/>
                <w:sz w:val="22"/>
                <w:szCs w:val="22"/>
              </w:rPr>
              <w:t xml:space="preserve"> the </w:t>
            </w:r>
            <w:r w:rsidR="001D08D6" w:rsidRPr="000A3C73">
              <w:rPr>
                <w:bCs/>
                <w:sz w:val="22"/>
                <w:szCs w:val="22"/>
              </w:rPr>
              <w:t>Prespa IEM project</w:t>
            </w:r>
            <w:r w:rsidR="001657BB" w:rsidRPr="000A3C73">
              <w:rPr>
                <w:bCs/>
                <w:sz w:val="22"/>
                <w:szCs w:val="22"/>
              </w:rPr>
              <w:t xml:space="preserve"> has maintained continuous communication and co-operation with KfW, rather than co-financing part of activities as initially intended.</w:t>
            </w:r>
          </w:p>
        </w:tc>
      </w:tr>
    </w:tbl>
    <w:p w:rsidR="00582FD5" w:rsidRPr="0089284E" w:rsidRDefault="00582FD5" w:rsidP="00582FD5">
      <w:pPr>
        <w:pStyle w:val="BodyText"/>
        <w:numPr>
          <w:ilvl w:val="0"/>
          <w:numId w:val="0"/>
        </w:numPr>
        <w:rPr>
          <w:i/>
          <w:u w:val="single"/>
        </w:rPr>
      </w:pPr>
    </w:p>
    <w:p w:rsidR="006249CB" w:rsidRPr="0089284E" w:rsidRDefault="006249CB" w:rsidP="00ED656A">
      <w:pPr>
        <w:pStyle w:val="BodyText"/>
        <w:rPr>
          <w:i/>
          <w:u w:val="single"/>
        </w:rPr>
      </w:pPr>
      <w:r w:rsidRPr="0089284E">
        <w:rPr>
          <w:b/>
          <w:bCs/>
          <w:i/>
          <w:u w:val="single"/>
        </w:rPr>
        <w:t>Output 3.5</w:t>
      </w:r>
      <w:r w:rsidRPr="0089284E">
        <w:rPr>
          <w:bCs/>
          <w:i/>
          <w:u w:val="single"/>
        </w:rPr>
        <w:t xml:space="preserve"> Ezerani Nature Reserve (</w:t>
      </w:r>
      <w:r w:rsidR="00B10902" w:rsidRPr="0089284E">
        <w:rPr>
          <w:bCs/>
          <w:i/>
          <w:u w:val="single"/>
        </w:rPr>
        <w:t>MK</w:t>
      </w:r>
      <w:r w:rsidRPr="0089284E">
        <w:rPr>
          <w:bCs/>
          <w:i/>
          <w:u w:val="single"/>
        </w:rPr>
        <w:t>) is strengthened and fully operational</w:t>
      </w:r>
    </w:p>
    <w:tbl>
      <w:tblPr>
        <w:tblStyle w:val="TableGrid"/>
        <w:tblW w:w="0" w:type="auto"/>
        <w:tblLook w:val="04A0"/>
      </w:tblPr>
      <w:tblGrid>
        <w:gridCol w:w="1567"/>
        <w:gridCol w:w="8009"/>
      </w:tblGrid>
      <w:tr w:rsidR="00582FD5" w:rsidRPr="000A3C73" w:rsidTr="00582FD5">
        <w:tc>
          <w:tcPr>
            <w:tcW w:w="558" w:type="dxa"/>
          </w:tcPr>
          <w:p w:rsidR="00582FD5" w:rsidRPr="00FC657B" w:rsidRDefault="00582FD5" w:rsidP="00582FD5">
            <w:pPr>
              <w:pStyle w:val="BodyText"/>
              <w:numPr>
                <w:ilvl w:val="0"/>
                <w:numId w:val="0"/>
              </w:numPr>
              <w:rPr>
                <w:sz w:val="22"/>
              </w:rPr>
            </w:pPr>
            <w:r w:rsidRPr="00FC657B">
              <w:rPr>
                <w:sz w:val="22"/>
              </w:rPr>
              <w:t>Transboundary</w:t>
            </w:r>
          </w:p>
        </w:tc>
        <w:tc>
          <w:tcPr>
            <w:tcW w:w="9018" w:type="dxa"/>
          </w:tcPr>
          <w:p w:rsidR="00582FD5" w:rsidRPr="00D77DF1" w:rsidRDefault="007063B7" w:rsidP="00582FD5">
            <w:pPr>
              <w:pStyle w:val="BodyText"/>
              <w:numPr>
                <w:ilvl w:val="0"/>
                <w:numId w:val="0"/>
              </w:numPr>
              <w:rPr>
                <w:sz w:val="22"/>
              </w:rPr>
            </w:pPr>
            <w:r w:rsidRPr="00FC657B">
              <w:rPr>
                <w:sz w:val="22"/>
              </w:rPr>
              <w:t>N/A</w:t>
            </w:r>
          </w:p>
        </w:tc>
      </w:tr>
      <w:tr w:rsidR="00582FD5" w:rsidRPr="000A3C73" w:rsidTr="00582FD5">
        <w:tc>
          <w:tcPr>
            <w:tcW w:w="558" w:type="dxa"/>
          </w:tcPr>
          <w:p w:rsidR="00582FD5" w:rsidRPr="000A3C73" w:rsidRDefault="00582FD5" w:rsidP="00582FD5">
            <w:pPr>
              <w:pStyle w:val="BodyText"/>
              <w:numPr>
                <w:ilvl w:val="0"/>
                <w:numId w:val="0"/>
              </w:numPr>
              <w:rPr>
                <w:sz w:val="22"/>
              </w:rPr>
            </w:pPr>
            <w:r w:rsidRPr="000A3C73">
              <w:rPr>
                <w:sz w:val="22"/>
              </w:rPr>
              <w:t>Albania</w:t>
            </w:r>
          </w:p>
        </w:tc>
        <w:tc>
          <w:tcPr>
            <w:tcW w:w="9018" w:type="dxa"/>
          </w:tcPr>
          <w:p w:rsidR="00582FD5" w:rsidRPr="000A3C73" w:rsidRDefault="007063B7" w:rsidP="00582FD5">
            <w:pPr>
              <w:pStyle w:val="BodyText"/>
              <w:numPr>
                <w:ilvl w:val="0"/>
                <w:numId w:val="0"/>
              </w:numPr>
              <w:rPr>
                <w:sz w:val="22"/>
              </w:rPr>
            </w:pPr>
            <w:r w:rsidRPr="000A3C73">
              <w:rPr>
                <w:sz w:val="22"/>
              </w:rPr>
              <w:t>N/A</w:t>
            </w:r>
          </w:p>
        </w:tc>
      </w:tr>
      <w:tr w:rsidR="00582FD5" w:rsidRPr="000A3C73" w:rsidTr="00582FD5">
        <w:tc>
          <w:tcPr>
            <w:tcW w:w="558" w:type="dxa"/>
          </w:tcPr>
          <w:p w:rsidR="00582FD5" w:rsidRPr="000A3C73" w:rsidRDefault="00582FD5" w:rsidP="00582FD5">
            <w:pPr>
              <w:pStyle w:val="BodyText"/>
              <w:numPr>
                <w:ilvl w:val="0"/>
                <w:numId w:val="0"/>
              </w:numPr>
              <w:rPr>
                <w:sz w:val="22"/>
              </w:rPr>
            </w:pPr>
            <w:r w:rsidRPr="000A3C73">
              <w:rPr>
                <w:sz w:val="22"/>
              </w:rPr>
              <w:t>FYR Macedonia</w:t>
            </w:r>
          </w:p>
        </w:tc>
        <w:tc>
          <w:tcPr>
            <w:tcW w:w="9018" w:type="dxa"/>
          </w:tcPr>
          <w:p w:rsidR="001657BB" w:rsidRPr="000A3C73" w:rsidRDefault="001657BB" w:rsidP="001657BB">
            <w:pPr>
              <w:widowControl w:val="0"/>
              <w:overflowPunct w:val="0"/>
              <w:autoSpaceDE w:val="0"/>
              <w:autoSpaceDN w:val="0"/>
              <w:adjustRightInd w:val="0"/>
              <w:spacing w:after="60"/>
              <w:jc w:val="both"/>
              <w:textAlignment w:val="baseline"/>
              <w:rPr>
                <w:rFonts w:ascii="Calibri" w:hAnsi="Calibri" w:cs="Arial"/>
                <w:sz w:val="22"/>
                <w:szCs w:val="22"/>
              </w:rPr>
            </w:pPr>
            <w:r w:rsidRPr="000A3C73">
              <w:rPr>
                <w:rFonts w:ascii="Calibri" w:hAnsi="Calibri" w:cs="Arial"/>
                <w:sz w:val="22"/>
                <w:szCs w:val="22"/>
              </w:rPr>
              <w:t xml:space="preserve">The </w:t>
            </w:r>
            <w:r w:rsidR="00F92DB2" w:rsidRPr="000A3C73">
              <w:rPr>
                <w:rFonts w:ascii="Calibri" w:hAnsi="Calibri" w:cs="Arial"/>
                <w:sz w:val="22"/>
                <w:szCs w:val="22"/>
              </w:rPr>
              <w:t>project provided</w:t>
            </w:r>
            <w:r w:rsidRPr="000A3C73">
              <w:rPr>
                <w:rFonts w:ascii="Calibri" w:hAnsi="Calibri" w:cs="Arial"/>
                <w:sz w:val="22"/>
                <w:szCs w:val="22"/>
              </w:rPr>
              <w:t xml:space="preserve"> support to the national and local authorities in the process of re-designation and operationalization of the Ezerani protected area. The process </w:t>
            </w:r>
            <w:r w:rsidR="00F92DB2" w:rsidRPr="000A3C73">
              <w:rPr>
                <w:rFonts w:ascii="Calibri" w:hAnsi="Calibri" w:cs="Arial"/>
                <w:sz w:val="22"/>
                <w:szCs w:val="22"/>
              </w:rPr>
              <w:t>was</w:t>
            </w:r>
            <w:r w:rsidRPr="000A3C73">
              <w:rPr>
                <w:rFonts w:ascii="Calibri" w:hAnsi="Calibri" w:cs="Arial"/>
                <w:sz w:val="22"/>
                <w:szCs w:val="22"/>
              </w:rPr>
              <w:t xml:space="preserve"> initiated by preparation of a ‘Reserve’ re-valorization study, which besides assessment of the natural values involved recommendations on the future management of the area. Through a highly participatory process an expert study proposed the following changes in the previous management practice: (1) introducing more flexible classification, so as to allow for certain economic activities within the protected area (shift from Category I – Strict Nature Reserve to Category IV – Nature Park); (2) modification of the protected area’s boundaries to exclude, to the extent possible, privately-owned land to be part of it, thus avoid former conflicts between conservation efforts and interests of the local community; and (3) improving the management arrangements (e.g. through involvement of the Municipality of Resen).</w:t>
            </w:r>
          </w:p>
          <w:p w:rsidR="001657BB" w:rsidRPr="00FC657B" w:rsidRDefault="001657BB" w:rsidP="001657BB">
            <w:pPr>
              <w:widowControl w:val="0"/>
              <w:spacing w:after="60"/>
              <w:jc w:val="both"/>
              <w:rPr>
                <w:rFonts w:ascii="Calibri" w:hAnsi="Calibri" w:cs="Arial"/>
                <w:sz w:val="22"/>
                <w:szCs w:val="22"/>
              </w:rPr>
            </w:pPr>
            <w:r w:rsidRPr="000A3C73">
              <w:rPr>
                <w:rFonts w:ascii="Calibri" w:hAnsi="Calibri"/>
                <w:sz w:val="22"/>
                <w:szCs w:val="22"/>
              </w:rPr>
              <w:t xml:space="preserve">The </w:t>
            </w:r>
            <w:r w:rsidR="00DB40FD" w:rsidRPr="000A3C73">
              <w:rPr>
                <w:rFonts w:ascii="Calibri" w:hAnsi="Calibri"/>
                <w:sz w:val="22"/>
                <w:szCs w:val="22"/>
              </w:rPr>
              <w:t>project</w:t>
            </w:r>
            <w:r w:rsidRPr="000A3C73">
              <w:rPr>
                <w:rFonts w:ascii="Calibri" w:hAnsi="Calibri"/>
                <w:sz w:val="22"/>
                <w:szCs w:val="22"/>
              </w:rPr>
              <w:t xml:space="preserve"> supported preparation of a Management plan for the Ezerani protected area in accordance </w:t>
            </w:r>
            <w:r w:rsidR="00DB40FD" w:rsidRPr="000A3C73">
              <w:rPr>
                <w:rFonts w:ascii="Calibri" w:hAnsi="Calibri"/>
                <w:sz w:val="22"/>
                <w:szCs w:val="22"/>
              </w:rPr>
              <w:t>with</w:t>
            </w:r>
            <w:r w:rsidRPr="000A3C73">
              <w:rPr>
                <w:rFonts w:ascii="Calibri" w:hAnsi="Calibri"/>
                <w:sz w:val="22"/>
                <w:szCs w:val="22"/>
              </w:rPr>
              <w:t xml:space="preserve"> national regulations, the primary management objectives, and the category type proposed in the revalorization study. The </w:t>
            </w:r>
            <w:r w:rsidR="00DB40FD" w:rsidRPr="000A3C73">
              <w:rPr>
                <w:rFonts w:ascii="Calibri" w:hAnsi="Calibri"/>
                <w:sz w:val="22"/>
                <w:szCs w:val="22"/>
              </w:rPr>
              <w:t>m</w:t>
            </w:r>
            <w:r w:rsidRPr="000A3C73">
              <w:rPr>
                <w:rFonts w:ascii="Calibri" w:hAnsi="Calibri"/>
                <w:sz w:val="22"/>
                <w:szCs w:val="22"/>
              </w:rPr>
              <w:t xml:space="preserve">anagement plan </w:t>
            </w:r>
            <w:r w:rsidR="00DB40FD" w:rsidRPr="000A3C73">
              <w:rPr>
                <w:rFonts w:ascii="Calibri" w:hAnsi="Calibri"/>
                <w:sz w:val="22"/>
                <w:szCs w:val="22"/>
              </w:rPr>
              <w:t>was</w:t>
            </w:r>
            <w:r w:rsidRPr="000A3C73">
              <w:rPr>
                <w:rFonts w:ascii="Calibri" w:hAnsi="Calibri"/>
                <w:sz w:val="22"/>
                <w:szCs w:val="22"/>
              </w:rPr>
              <w:t xml:space="preserve"> handed over to the future management authority (Municipality of Resen as per the Law on Ezerani) for submission to the MoEPP. The Management plan will be used as the main document guiding the area’s operation. The process has been conducted in a highly participatory environment through various formal and informal communication mechanisms, such as the stakeholder advisory body called Ezerani Council</w:t>
            </w:r>
            <w:r w:rsidR="00DB40FD" w:rsidRPr="000A3C73">
              <w:rPr>
                <w:rFonts w:ascii="Calibri" w:hAnsi="Calibri"/>
                <w:sz w:val="22"/>
                <w:szCs w:val="22"/>
              </w:rPr>
              <w:t>,</w:t>
            </w:r>
            <w:r w:rsidRPr="000A3C73">
              <w:rPr>
                <w:rFonts w:ascii="Calibri" w:hAnsi="Calibri"/>
                <w:sz w:val="22"/>
                <w:szCs w:val="22"/>
              </w:rPr>
              <w:t xml:space="preserve"> which has been established for the purpose</w:t>
            </w:r>
            <w:r w:rsidRPr="00FC657B">
              <w:rPr>
                <w:rStyle w:val="FootnoteReference"/>
                <w:sz w:val="22"/>
                <w:szCs w:val="22"/>
              </w:rPr>
              <w:footnoteReference w:id="21"/>
            </w:r>
            <w:r w:rsidRPr="00FC657B">
              <w:rPr>
                <w:rFonts w:ascii="Calibri" w:hAnsi="Calibri"/>
                <w:sz w:val="22"/>
                <w:szCs w:val="22"/>
              </w:rPr>
              <w:t xml:space="preserve">. </w:t>
            </w:r>
          </w:p>
          <w:p w:rsidR="00582FD5" w:rsidRPr="00C56966" w:rsidRDefault="001657BB" w:rsidP="00894AA2">
            <w:pPr>
              <w:pStyle w:val="BodyText"/>
              <w:numPr>
                <w:ilvl w:val="0"/>
                <w:numId w:val="0"/>
              </w:numPr>
              <w:rPr>
                <w:sz w:val="22"/>
              </w:rPr>
            </w:pPr>
            <w:r w:rsidRPr="00D77DF1">
              <w:rPr>
                <w:rFonts w:cs="Arial"/>
                <w:sz w:val="22"/>
                <w:szCs w:val="22"/>
              </w:rPr>
              <w:t>Finally, one of the ori</w:t>
            </w:r>
            <w:r w:rsidRPr="00CD42DE">
              <w:rPr>
                <w:rFonts w:cs="Arial"/>
                <w:sz w:val="22"/>
                <w:szCs w:val="22"/>
              </w:rPr>
              <w:t>ginally identified obstacles to the efficient operation of the Ezerani protected area is the limited understanding of the value of multitude of goods and services that the protected ecosystem generates. Hence, with the ecosystem being undervalued, no finan</w:t>
            </w:r>
            <w:r w:rsidRPr="00AA7D1F">
              <w:rPr>
                <w:rFonts w:cs="Arial"/>
                <w:sz w:val="22"/>
                <w:szCs w:val="22"/>
              </w:rPr>
              <w:t xml:space="preserve">cial allocations have been made for its protection, which also led to the </w:t>
            </w:r>
            <w:r w:rsidRPr="005E69C8">
              <w:rPr>
                <w:sz w:val="22"/>
                <w:szCs w:val="22"/>
              </w:rPr>
              <w:t>progressive loss</w:t>
            </w:r>
            <w:r w:rsidRPr="00850A96">
              <w:rPr>
                <w:sz w:val="22"/>
                <w:szCs w:val="22"/>
              </w:rPr>
              <w:t xml:space="preserve"> of the area’s natural values. </w:t>
            </w:r>
            <w:r w:rsidRPr="008B7E9A">
              <w:rPr>
                <w:rFonts w:cs="Arial"/>
                <w:sz w:val="22"/>
                <w:szCs w:val="22"/>
              </w:rPr>
              <w:t xml:space="preserve">For that reason, and in parallel to the management planning process, the </w:t>
            </w:r>
            <w:r w:rsidR="00894AA2" w:rsidRPr="000126EE">
              <w:rPr>
                <w:rFonts w:cs="Arial"/>
                <w:sz w:val="22"/>
                <w:szCs w:val="22"/>
              </w:rPr>
              <w:t>project</w:t>
            </w:r>
            <w:r w:rsidRPr="00B71D27">
              <w:rPr>
                <w:rFonts w:cs="Arial"/>
                <w:sz w:val="22"/>
                <w:szCs w:val="22"/>
              </w:rPr>
              <w:t xml:space="preserve"> has supported the preparation of an Economic Valuation Report aiming at: (1) raising the awareness of the economic values of effective conservat</w:t>
            </w:r>
            <w:r w:rsidRPr="00595792">
              <w:rPr>
                <w:rFonts w:cs="Arial"/>
                <w:sz w:val="22"/>
                <w:szCs w:val="22"/>
              </w:rPr>
              <w:t>ion; (2) evaluating the costs and benefits of specific habitat management actions to inform conservation and public funding decisions; (3) identi</w:t>
            </w:r>
            <w:r w:rsidRPr="00602E30">
              <w:rPr>
                <w:rFonts w:cs="Arial"/>
                <w:sz w:val="22"/>
                <w:szCs w:val="22"/>
              </w:rPr>
              <w:t>fying financial opportunities for the protected area and neighboring communities associated with the provision of ecosystem services and with specific management actions; and (4) generating participation and training opportunities for conservation managers</w:t>
            </w:r>
            <w:r w:rsidRPr="002A69B7">
              <w:rPr>
                <w:rFonts w:cs="Arial"/>
                <w:sz w:val="22"/>
                <w:szCs w:val="22"/>
              </w:rPr>
              <w:t xml:space="preserve"> and decision-makers </w:t>
            </w:r>
            <w:r w:rsidRPr="002C744B">
              <w:rPr>
                <w:rFonts w:cs="Arial"/>
                <w:sz w:val="22"/>
                <w:szCs w:val="22"/>
              </w:rPr>
              <w:t>in economic valuation for integrated ecosystem management.</w:t>
            </w:r>
          </w:p>
        </w:tc>
      </w:tr>
    </w:tbl>
    <w:p w:rsidR="00582FD5" w:rsidRPr="0089284E" w:rsidRDefault="00582FD5" w:rsidP="00582FD5">
      <w:pPr>
        <w:pStyle w:val="BodyText"/>
        <w:numPr>
          <w:ilvl w:val="0"/>
          <w:numId w:val="0"/>
        </w:numPr>
        <w:rPr>
          <w:i/>
          <w:u w:val="single"/>
        </w:rPr>
      </w:pPr>
    </w:p>
    <w:p w:rsidR="00F15933" w:rsidRPr="0089284E" w:rsidRDefault="00F15933" w:rsidP="00F15933">
      <w:pPr>
        <w:pStyle w:val="BodyText"/>
        <w:rPr>
          <w:bCs/>
          <w:i/>
          <w:u w:val="single"/>
        </w:rPr>
      </w:pPr>
      <w:r w:rsidRPr="0089284E">
        <w:rPr>
          <w:b/>
          <w:bCs/>
          <w:i/>
          <w:u w:val="single"/>
        </w:rPr>
        <w:t>Output 3.6</w:t>
      </w:r>
      <w:r w:rsidRPr="0089284E">
        <w:rPr>
          <w:bCs/>
          <w:i/>
          <w:u w:val="single"/>
        </w:rPr>
        <w:t xml:space="preserve"> Prespa Protected Area - GR fully operationalized (MoEPP-GR)</w:t>
      </w:r>
    </w:p>
    <w:p w:rsidR="00E45BF5" w:rsidRPr="000A3C73" w:rsidRDefault="00E45BF5" w:rsidP="00F15933">
      <w:pPr>
        <w:pStyle w:val="BodyText"/>
        <w:rPr>
          <w:bCs/>
        </w:rPr>
      </w:pPr>
      <w:r w:rsidRPr="00FC657B">
        <w:rPr>
          <w:bCs/>
        </w:rPr>
        <w:t xml:space="preserve">This output was to be implemented entirely on the Greek side, with Greek funding. </w:t>
      </w:r>
      <w:r w:rsidR="00571815" w:rsidRPr="00FC657B">
        <w:rPr>
          <w:bCs/>
        </w:rPr>
        <w:t xml:space="preserve">The </w:t>
      </w:r>
      <w:r w:rsidR="0003409C" w:rsidRPr="00D77DF1">
        <w:rPr>
          <w:bCs/>
        </w:rPr>
        <w:t>PA</w:t>
      </w:r>
      <w:r w:rsidR="00502463">
        <w:rPr>
          <w:bCs/>
        </w:rPr>
        <w:t xml:space="preserve"> </w:t>
      </w:r>
      <w:r w:rsidR="004E1467" w:rsidRPr="00CD42DE">
        <w:rPr>
          <w:bCs/>
        </w:rPr>
        <w:t>in Greek Prespa</w:t>
      </w:r>
      <w:r w:rsidR="00571815" w:rsidRPr="00AA7D1F">
        <w:rPr>
          <w:bCs/>
        </w:rPr>
        <w:t xml:space="preserve"> was </w:t>
      </w:r>
      <w:r w:rsidR="004E1467" w:rsidRPr="005E69C8">
        <w:rPr>
          <w:bCs/>
        </w:rPr>
        <w:t>“</w:t>
      </w:r>
      <w:r w:rsidR="00571815" w:rsidRPr="00850A96">
        <w:rPr>
          <w:bCs/>
        </w:rPr>
        <w:t>founded</w:t>
      </w:r>
      <w:r w:rsidR="004E1467" w:rsidRPr="008B7E9A">
        <w:rPr>
          <w:bCs/>
        </w:rPr>
        <w:t>”</w:t>
      </w:r>
      <w:r w:rsidR="00571815" w:rsidRPr="000126EE">
        <w:rPr>
          <w:bCs/>
        </w:rPr>
        <w:t xml:space="preserve"> in 2002 and </w:t>
      </w:r>
      <w:r w:rsidR="004E1467" w:rsidRPr="00B71D27">
        <w:rPr>
          <w:bCs/>
        </w:rPr>
        <w:t>“</w:t>
      </w:r>
      <w:r w:rsidR="00571815" w:rsidRPr="00595792">
        <w:rPr>
          <w:bCs/>
        </w:rPr>
        <w:t>established</w:t>
      </w:r>
      <w:r w:rsidR="004E1467" w:rsidRPr="00602E30">
        <w:rPr>
          <w:bCs/>
        </w:rPr>
        <w:t>”</w:t>
      </w:r>
      <w:r w:rsidR="00571815" w:rsidRPr="002A69B7">
        <w:rPr>
          <w:bCs/>
        </w:rPr>
        <w:t xml:space="preserve"> in 2003 through Joint Ministerial Decisions from </w:t>
      </w:r>
      <w:r w:rsidR="004E1467" w:rsidRPr="002C744B">
        <w:rPr>
          <w:bCs/>
        </w:rPr>
        <w:t xml:space="preserve">the Greek government; it was </w:t>
      </w:r>
      <w:r w:rsidR="0003409C" w:rsidRPr="00C56966">
        <w:rPr>
          <w:bCs/>
        </w:rPr>
        <w:t>declared as a national park July 23, 2009</w:t>
      </w:r>
      <w:r w:rsidR="00571815" w:rsidRPr="002D3949">
        <w:rPr>
          <w:bCs/>
        </w:rPr>
        <w:t xml:space="preserve">. The PA headquarters are in </w:t>
      </w:r>
      <w:r w:rsidR="004E1467" w:rsidRPr="000A3C73">
        <w:rPr>
          <w:bCs/>
        </w:rPr>
        <w:t xml:space="preserve">the village of </w:t>
      </w:r>
      <w:r w:rsidR="00571815" w:rsidRPr="000A3C73">
        <w:rPr>
          <w:bCs/>
        </w:rPr>
        <w:t>Agios Germanos. The PA has a m</w:t>
      </w:r>
      <w:r w:rsidR="004E1467" w:rsidRPr="000A3C73">
        <w:rPr>
          <w:bCs/>
        </w:rPr>
        <w:t>anagement board of nine members</w:t>
      </w:r>
      <w:r w:rsidR="00571815" w:rsidRPr="000A3C73">
        <w:rPr>
          <w:bCs/>
        </w:rPr>
        <w:t>: Technical Expert Scientist (Chair), Ministry of Environment; Ministry for Development, Competitiveness and Shipping; Ministry of Rural Development and Food; Ministry of Foreign Affairs; Association of Farmers and Fishermen; Municipality of Prespa; District of Western Macedonia; Society for the Protection of Prespa.</w:t>
      </w:r>
      <w:r w:rsidR="00502463">
        <w:rPr>
          <w:bCs/>
        </w:rPr>
        <w:t xml:space="preserve"> </w:t>
      </w:r>
      <w:r w:rsidR="00571815" w:rsidRPr="000A3C73">
        <w:rPr>
          <w:bCs/>
        </w:rPr>
        <w:t xml:space="preserve">The PA management includes 10 persons, with two technical experts (environmental expert, forester), four rangers, and information center staff and administrative staff. </w:t>
      </w:r>
      <w:r w:rsidR="0003409C" w:rsidRPr="000A3C73">
        <w:rPr>
          <w:bCs/>
        </w:rPr>
        <w:t>The PA covers the entire area of Greek Prespa, and is managed according to three zones</w:t>
      </w:r>
      <w:r w:rsidR="00912BB2" w:rsidRPr="000A3C73">
        <w:rPr>
          <w:bCs/>
        </w:rPr>
        <w:t xml:space="preserve"> (see </w:t>
      </w:r>
      <w:r w:rsidR="008269C6" w:rsidRPr="00206E7A">
        <w:rPr>
          <w:bCs/>
        </w:rPr>
        <w:fldChar w:fldCharType="begin"/>
      </w:r>
      <w:r w:rsidR="004E1467" w:rsidRPr="000A3C73">
        <w:rPr>
          <w:bCs/>
        </w:rPr>
        <w:instrText xml:space="preserve"> REF _Ref209666477 \h </w:instrText>
      </w:r>
      <w:r w:rsidR="008269C6" w:rsidRPr="00206E7A">
        <w:rPr>
          <w:bCs/>
        </w:rPr>
      </w:r>
      <w:r w:rsidR="008269C6" w:rsidRPr="00206E7A">
        <w:rPr>
          <w:bCs/>
        </w:rPr>
        <w:fldChar w:fldCharType="separate"/>
      </w:r>
      <w:r w:rsidR="006E18A7" w:rsidRPr="000A3C73">
        <w:t xml:space="preserve">Figure </w:t>
      </w:r>
      <w:r w:rsidR="006E18A7" w:rsidRPr="000A3C73">
        <w:rPr>
          <w:noProof/>
        </w:rPr>
        <w:t>12</w:t>
      </w:r>
      <w:r w:rsidR="008269C6" w:rsidRPr="00206E7A">
        <w:rPr>
          <w:bCs/>
        </w:rPr>
        <w:fldChar w:fldCharType="end"/>
      </w:r>
      <w:r w:rsidR="00912BB2" w:rsidRPr="000A3C73">
        <w:rPr>
          <w:bCs/>
        </w:rPr>
        <w:t>)</w:t>
      </w:r>
      <w:r w:rsidR="0003409C" w:rsidRPr="000A3C73">
        <w:rPr>
          <w:bCs/>
        </w:rPr>
        <w:t xml:space="preserve">: </w:t>
      </w:r>
      <w:r w:rsidR="00912BB2" w:rsidRPr="000A3C73">
        <w:rPr>
          <w:bCs/>
        </w:rPr>
        <w:t>In Zone A (strict nature protection) no human activity is allowed, besides scientific research; in Zone B (nature protection), depending on the area there are activities that are allowed like fishing with special license, wet meadows management, grazing stock, hunting, daily visits in the areas, and scientific research. In Zone C (sustainable development and areas of protected natural formations) most of the activities are permitted, and also building using traditional architecture. In the Areas of Protected Natural Formations in general no human activities are allowed, besides daily visits through certain footpaths, scientific research and in some areas grazing stock is allowed.</w:t>
      </w:r>
    </w:p>
    <w:p w:rsidR="00912BB2" w:rsidRPr="000A3C73" w:rsidRDefault="00912BB2" w:rsidP="00912BB2">
      <w:pPr>
        <w:pStyle w:val="Caption"/>
        <w:jc w:val="both"/>
      </w:pPr>
      <w:bookmarkStart w:id="114" w:name="_Ref209666477"/>
      <w:r w:rsidRPr="000A3C73">
        <w:t xml:space="preserve">Figure </w:t>
      </w:r>
      <w:r w:rsidR="008269C6" w:rsidRPr="00552EEF">
        <w:fldChar w:fldCharType="begin"/>
      </w:r>
      <w:r w:rsidR="00CF23E9" w:rsidRPr="000A3C73">
        <w:instrText xml:space="preserve"> SEQ Figure \* ARABIC </w:instrText>
      </w:r>
      <w:r w:rsidR="008269C6" w:rsidRPr="00552EEF">
        <w:fldChar w:fldCharType="separate"/>
      </w:r>
      <w:r w:rsidR="006E18A7" w:rsidRPr="000A3C73">
        <w:rPr>
          <w:noProof/>
        </w:rPr>
        <w:t>12</w:t>
      </w:r>
      <w:r w:rsidR="008269C6" w:rsidRPr="00552EEF">
        <w:rPr>
          <w:noProof/>
        </w:rPr>
        <w:fldChar w:fldCharType="end"/>
      </w:r>
      <w:bookmarkEnd w:id="114"/>
      <w:r w:rsidRPr="000A3C73">
        <w:t xml:space="preserve"> Management Zones of Greek Prespa National Park</w:t>
      </w:r>
    </w:p>
    <w:p w:rsidR="0003409C" w:rsidRPr="000A3C73" w:rsidRDefault="0003409C" w:rsidP="0003409C">
      <w:pPr>
        <w:pStyle w:val="BodyText"/>
        <w:numPr>
          <w:ilvl w:val="0"/>
          <w:numId w:val="0"/>
        </w:numPr>
        <w:rPr>
          <w:bCs/>
        </w:rPr>
      </w:pPr>
      <w:r w:rsidRPr="00F92C45">
        <w:rPr>
          <w:bCs/>
          <w:noProof/>
        </w:rPr>
        <w:drawing>
          <wp:inline distT="0" distB="0" distL="0" distR="0">
            <wp:extent cx="5974080" cy="5009843"/>
            <wp:effectExtent l="25400" t="25400" r="20320" b="196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PNP_GR.jpg"/>
                    <pic:cNvPicPr/>
                  </pic:nvPicPr>
                  <pic:blipFill rotWithShape="1">
                    <a:blip r:embed="rId3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pic:blipFill>
                  <pic:spPr bwMode="auto">
                    <a:xfrm>
                      <a:off x="0" y="0"/>
                      <a:ext cx="5974080" cy="5009843"/>
                    </a:xfrm>
                    <a:prstGeom prst="rect">
                      <a:avLst/>
                    </a:prstGeom>
                    <a:ln w="19050" cmpd="sng">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03409C" w:rsidRPr="000A3C73" w:rsidRDefault="0003409C" w:rsidP="0003409C">
      <w:pPr>
        <w:pStyle w:val="BodyText"/>
        <w:numPr>
          <w:ilvl w:val="0"/>
          <w:numId w:val="0"/>
        </w:numPr>
        <w:rPr>
          <w:bCs/>
        </w:rPr>
      </w:pPr>
    </w:p>
    <w:p w:rsidR="002F68E5" w:rsidRPr="00FC657B" w:rsidRDefault="00943474" w:rsidP="00ED656A">
      <w:pPr>
        <w:pStyle w:val="Heading3"/>
        <w:ind w:left="1440"/>
      </w:pPr>
      <w:bookmarkStart w:id="115" w:name="_Ref209784916"/>
      <w:bookmarkStart w:id="116" w:name="_Ref209794480"/>
      <w:bookmarkStart w:id="117" w:name="_Toc238551075"/>
      <w:r w:rsidRPr="000A3C73">
        <w:t xml:space="preserve">Outcome 4: </w:t>
      </w:r>
      <w:r w:rsidR="007708EB" w:rsidRPr="0089284E">
        <w:t>Stakeholders build upon ongoing trans-boundary cooperation in the Prespa Basin by strengthening the trans-boundary coordination mechanism and piloting trans-boundary conservation and water management</w:t>
      </w:r>
      <w:bookmarkEnd w:id="115"/>
      <w:bookmarkEnd w:id="116"/>
      <w:bookmarkEnd w:id="117"/>
    </w:p>
    <w:p w:rsidR="00AC0282" w:rsidRPr="0089284E" w:rsidRDefault="002510F6" w:rsidP="00ED656A">
      <w:pPr>
        <w:pStyle w:val="BodyText"/>
        <w:rPr>
          <w:bCs/>
        </w:rPr>
      </w:pPr>
      <w:r w:rsidRPr="0089284E">
        <w:rPr>
          <w:bCs/>
        </w:rPr>
        <w:t xml:space="preserve">Achievement of Outcome 4 is considered </w:t>
      </w:r>
      <w:r w:rsidRPr="0089284E">
        <w:rPr>
          <w:b/>
          <w:bCs/>
          <w:i/>
          <w:u w:val="single"/>
        </w:rPr>
        <w:t>moderately satisfactory</w:t>
      </w:r>
      <w:r w:rsidRPr="0089284E">
        <w:rPr>
          <w:bCs/>
        </w:rPr>
        <w:t xml:space="preserve">. </w:t>
      </w:r>
    </w:p>
    <w:p w:rsidR="00AC0282" w:rsidRPr="0089284E" w:rsidRDefault="00AC0282" w:rsidP="00ED656A">
      <w:pPr>
        <w:pStyle w:val="BodyText"/>
        <w:rPr>
          <w:bCs/>
        </w:rPr>
      </w:pPr>
      <w:r w:rsidRPr="0089284E">
        <w:rPr>
          <w:bCs/>
        </w:rPr>
        <w:t>The Macedonian national component of the Prespa Programme has been deeply involved in all trans-boundary level activities, which have been a primary responsibility of the trans-boundary project component. In general the national project component has provided input in conceptualizing and designing various activities, but also providing support in their implementation mainly by ensuring adequate participation of the national level stakeholders in the trans-boundary processes as well as providing technical support.</w:t>
      </w:r>
      <w:r w:rsidR="001A390D" w:rsidRPr="0089284E">
        <w:rPr>
          <w:bCs/>
        </w:rPr>
        <w:t xml:space="preserve"> The Albanian national component has also been directly involved in all transboundary activities from the Albanian side, to secure the engagement of Albanian experts and local resource users in transboundary activities, and to provide technical inputs. </w:t>
      </w:r>
    </w:p>
    <w:p w:rsidR="00ED656A" w:rsidRPr="0089284E" w:rsidRDefault="007708EB" w:rsidP="006622FD">
      <w:pPr>
        <w:pStyle w:val="BodyText"/>
        <w:rPr>
          <w:bCs/>
          <w:i/>
          <w:u w:val="single"/>
        </w:rPr>
      </w:pPr>
      <w:r w:rsidRPr="0089284E">
        <w:rPr>
          <w:b/>
          <w:bCs/>
          <w:i/>
          <w:u w:val="single"/>
        </w:rPr>
        <w:t>Output 4.1</w:t>
      </w:r>
      <w:r w:rsidRPr="0089284E">
        <w:rPr>
          <w:bCs/>
          <w:i/>
          <w:u w:val="single"/>
        </w:rPr>
        <w:t xml:space="preserve"> The Prespa Park Coordination Committee (PPCC) becomes a formal, international trilateral institution under international law</w:t>
      </w:r>
    </w:p>
    <w:tbl>
      <w:tblPr>
        <w:tblStyle w:val="TableGrid"/>
        <w:tblW w:w="9714" w:type="dxa"/>
        <w:tblLayout w:type="fixed"/>
        <w:tblLook w:val="04A0"/>
      </w:tblPr>
      <w:tblGrid>
        <w:gridCol w:w="1705"/>
        <w:gridCol w:w="8009"/>
      </w:tblGrid>
      <w:tr w:rsidR="001657BB" w:rsidRPr="000A3C73" w:rsidTr="00D35C16">
        <w:tc>
          <w:tcPr>
            <w:tcW w:w="1705" w:type="dxa"/>
          </w:tcPr>
          <w:p w:rsidR="001657BB" w:rsidRPr="00FC657B" w:rsidRDefault="001657BB" w:rsidP="00370B8E">
            <w:pPr>
              <w:pStyle w:val="BodyText"/>
              <w:numPr>
                <w:ilvl w:val="0"/>
                <w:numId w:val="0"/>
              </w:numPr>
              <w:rPr>
                <w:sz w:val="22"/>
              </w:rPr>
            </w:pPr>
            <w:r w:rsidRPr="00FC657B">
              <w:rPr>
                <w:sz w:val="22"/>
              </w:rPr>
              <w:t>Transboundary</w:t>
            </w:r>
          </w:p>
        </w:tc>
        <w:tc>
          <w:tcPr>
            <w:tcW w:w="8009" w:type="dxa"/>
          </w:tcPr>
          <w:p w:rsidR="000F4574" w:rsidRPr="00850A96" w:rsidRDefault="000F4574" w:rsidP="00370B8E">
            <w:pPr>
              <w:widowControl w:val="0"/>
              <w:spacing w:after="60"/>
              <w:jc w:val="both"/>
              <w:rPr>
                <w:rFonts w:ascii="Calibri" w:hAnsi="Calibri" w:cs="Arial"/>
                <w:snapToGrid w:val="0"/>
                <w:sz w:val="22"/>
                <w:szCs w:val="22"/>
              </w:rPr>
            </w:pPr>
            <w:r w:rsidRPr="00FC657B">
              <w:rPr>
                <w:rFonts w:ascii="Calibri" w:hAnsi="Calibri" w:cs="Arial"/>
                <w:snapToGrid w:val="0"/>
                <w:sz w:val="22"/>
                <w:szCs w:val="22"/>
              </w:rPr>
              <w:t xml:space="preserve">The Prespa Park Coordination Committee was the original trilateral </w:t>
            </w:r>
            <w:r w:rsidR="00CD3173" w:rsidRPr="00D77DF1">
              <w:rPr>
                <w:rFonts w:ascii="Calibri" w:hAnsi="Calibri" w:cs="Arial"/>
                <w:snapToGrid w:val="0"/>
                <w:sz w:val="22"/>
                <w:szCs w:val="22"/>
              </w:rPr>
              <w:t>governance mechanism for instituting transboundary integrated ecosystem management in the Prespa Basin, and the existence of this body was among the main justifications for</w:t>
            </w:r>
            <w:r w:rsidR="00CD3173" w:rsidRPr="00CD42DE">
              <w:rPr>
                <w:rFonts w:ascii="Calibri" w:hAnsi="Calibri" w:cs="Arial"/>
                <w:snapToGrid w:val="0"/>
                <w:sz w:val="22"/>
                <w:szCs w:val="22"/>
              </w:rPr>
              <w:t xml:space="preserve"> the development of the GEF-funded Prespa IEM project. </w:t>
            </w:r>
            <w:r w:rsidR="00AC68BA" w:rsidRPr="00AA7D1F">
              <w:rPr>
                <w:rFonts w:ascii="Calibri" w:hAnsi="Calibri" w:cs="Arial"/>
                <w:snapToGrid w:val="0"/>
                <w:sz w:val="22"/>
                <w:szCs w:val="22"/>
              </w:rPr>
              <w:t>At the end of the project, oddly, this body has reached a more advanced formal status (through the 2010 agreement highlighted below), but in practical terms has regressed as the level of activity of th</w:t>
            </w:r>
            <w:r w:rsidR="00AC68BA" w:rsidRPr="005E69C8">
              <w:rPr>
                <w:rFonts w:ascii="Calibri" w:hAnsi="Calibri" w:cs="Arial"/>
                <w:snapToGrid w:val="0"/>
                <w:sz w:val="22"/>
                <w:szCs w:val="22"/>
              </w:rPr>
              <w:t xml:space="preserve">e body has decreased, for various reasons. </w:t>
            </w:r>
          </w:p>
          <w:p w:rsidR="001657BB" w:rsidRPr="00CD42DE" w:rsidRDefault="000304A3" w:rsidP="00D35C16">
            <w:pPr>
              <w:widowControl w:val="0"/>
              <w:spacing w:after="60"/>
              <w:jc w:val="both"/>
              <w:rPr>
                <w:rFonts w:ascii="Calibri" w:hAnsi="Calibri" w:cs="Arial"/>
                <w:snapToGrid w:val="0"/>
                <w:sz w:val="22"/>
                <w:szCs w:val="22"/>
              </w:rPr>
            </w:pPr>
            <w:r w:rsidRPr="008B7E9A">
              <w:rPr>
                <w:rFonts w:ascii="Calibri" w:hAnsi="Calibri" w:cs="Arial"/>
                <w:snapToGrid w:val="0"/>
                <w:sz w:val="22"/>
                <w:szCs w:val="22"/>
              </w:rPr>
              <w:t>Perhaps the</w:t>
            </w:r>
            <w:r w:rsidR="00D35C16" w:rsidRPr="000126EE">
              <w:rPr>
                <w:rFonts w:ascii="Calibri" w:hAnsi="Calibri" w:cs="Arial"/>
                <w:snapToGrid w:val="0"/>
                <w:sz w:val="22"/>
                <w:szCs w:val="22"/>
              </w:rPr>
              <w:t xml:space="preserve"> single most important development </w:t>
            </w:r>
            <w:r w:rsidR="00D35C16" w:rsidRPr="00B71D27">
              <w:rPr>
                <w:rFonts w:ascii="Calibri" w:hAnsi="Calibri" w:cs="Arial"/>
                <w:snapToGrid w:val="0"/>
                <w:sz w:val="22"/>
                <w:szCs w:val="22"/>
              </w:rPr>
              <w:t xml:space="preserve">in the trans-boundary cooperation is the signing of the </w:t>
            </w:r>
            <w:r w:rsidRPr="00595792">
              <w:rPr>
                <w:rFonts w:ascii="Calibri" w:hAnsi="Calibri" w:cs="Arial"/>
                <w:snapToGrid w:val="0"/>
                <w:sz w:val="22"/>
                <w:szCs w:val="22"/>
              </w:rPr>
              <w:t>“Agreement on the Protection and Sustainable Development of the Prespa Park Area”</w:t>
            </w:r>
            <w:r w:rsidR="00D35C16" w:rsidRPr="00602E30">
              <w:rPr>
                <w:rFonts w:ascii="Calibri" w:hAnsi="Calibri" w:cs="Arial"/>
                <w:snapToGrid w:val="0"/>
                <w:sz w:val="22"/>
                <w:szCs w:val="22"/>
              </w:rPr>
              <w:t xml:space="preserve"> by the </w:t>
            </w:r>
            <w:r w:rsidR="00D35C16" w:rsidRPr="002A69B7">
              <w:rPr>
                <w:rFonts w:ascii="Calibri" w:hAnsi="Calibri" w:cs="Arial"/>
                <w:snapToGrid w:val="0"/>
                <w:sz w:val="22"/>
                <w:szCs w:val="22"/>
              </w:rPr>
              <w:t xml:space="preserve">three </w:t>
            </w:r>
            <w:r w:rsidRPr="002C744B">
              <w:rPr>
                <w:rFonts w:ascii="Calibri" w:hAnsi="Calibri" w:cs="Arial"/>
                <w:snapToGrid w:val="0"/>
                <w:sz w:val="22"/>
                <w:szCs w:val="22"/>
              </w:rPr>
              <w:t>littoral</w:t>
            </w:r>
            <w:r w:rsidR="00D35C16" w:rsidRPr="00C56966">
              <w:rPr>
                <w:rFonts w:ascii="Calibri" w:hAnsi="Calibri" w:cs="Arial"/>
                <w:snapToGrid w:val="0"/>
                <w:sz w:val="22"/>
                <w:szCs w:val="22"/>
              </w:rPr>
              <w:t xml:space="preserve"> states and the European Commission on February 2, 2010 (see </w:t>
            </w:r>
            <w:r w:rsidR="008269C6" w:rsidRPr="00FC657B">
              <w:rPr>
                <w:rFonts w:ascii="Calibri" w:hAnsi="Calibri" w:cs="Arial"/>
                <w:snapToGrid w:val="0"/>
                <w:sz w:val="22"/>
                <w:szCs w:val="22"/>
              </w:rPr>
              <w:fldChar w:fldCharType="begin"/>
            </w:r>
            <w:r w:rsidR="00D35C16" w:rsidRPr="000A3C73">
              <w:rPr>
                <w:rFonts w:ascii="Calibri" w:hAnsi="Calibri" w:cs="Arial"/>
                <w:snapToGrid w:val="0"/>
                <w:sz w:val="22"/>
                <w:szCs w:val="22"/>
              </w:rPr>
              <w:instrText xml:space="preserve"> REF _Ref209587143 \h </w:instrText>
            </w:r>
            <w:r w:rsidR="008269C6" w:rsidRPr="00FC657B">
              <w:rPr>
                <w:rFonts w:ascii="Calibri" w:hAnsi="Calibri" w:cs="Arial"/>
                <w:snapToGrid w:val="0"/>
                <w:sz w:val="22"/>
                <w:szCs w:val="22"/>
              </w:rPr>
            </w:r>
            <w:r w:rsidR="008269C6" w:rsidRPr="00FC657B">
              <w:rPr>
                <w:rFonts w:ascii="Calibri" w:hAnsi="Calibri" w:cs="Arial"/>
                <w:snapToGrid w:val="0"/>
                <w:sz w:val="22"/>
                <w:szCs w:val="22"/>
              </w:rPr>
              <w:fldChar w:fldCharType="separate"/>
            </w:r>
            <w:r w:rsidR="006E18A7" w:rsidRPr="00FC657B">
              <w:t xml:space="preserve">Box </w:t>
            </w:r>
            <w:r w:rsidR="006E18A7" w:rsidRPr="00D77DF1">
              <w:rPr>
                <w:noProof/>
              </w:rPr>
              <w:t>3</w:t>
            </w:r>
            <w:r w:rsidR="008269C6" w:rsidRPr="00FC657B">
              <w:rPr>
                <w:rFonts w:ascii="Calibri" w:hAnsi="Calibri" w:cs="Arial"/>
                <w:snapToGrid w:val="0"/>
                <w:sz w:val="22"/>
                <w:szCs w:val="22"/>
              </w:rPr>
              <w:fldChar w:fldCharType="end"/>
            </w:r>
            <w:r w:rsidRPr="00FC657B">
              <w:rPr>
                <w:rFonts w:ascii="Calibri" w:hAnsi="Calibri" w:cs="Arial"/>
                <w:snapToGrid w:val="0"/>
                <w:sz w:val="22"/>
                <w:szCs w:val="22"/>
              </w:rPr>
              <w:t>). Most importantly, the a</w:t>
            </w:r>
            <w:r w:rsidR="00D35C16" w:rsidRPr="00FC657B">
              <w:rPr>
                <w:rFonts w:ascii="Calibri" w:hAnsi="Calibri" w:cs="Arial"/>
                <w:snapToGrid w:val="0"/>
                <w:sz w:val="22"/>
                <w:szCs w:val="22"/>
              </w:rPr>
              <w:t>greement defines: (1) the principles of co-operation between the three countries, including obligations, environmental standards and criteria, ex</w:t>
            </w:r>
            <w:r w:rsidR="00D35C16" w:rsidRPr="00D77DF1">
              <w:rPr>
                <w:rFonts w:ascii="Calibri" w:hAnsi="Calibri" w:cs="Arial"/>
                <w:snapToGrid w:val="0"/>
                <w:sz w:val="22"/>
                <w:szCs w:val="22"/>
              </w:rPr>
              <w:t>change of information, co-operation with international organizations, etc.; and (2) the mechanisms of co-operation, including establishing the Prespa Park Management Committee, secretariat, working groups, and financing mechanisms.</w:t>
            </w:r>
          </w:p>
          <w:p w:rsidR="00EE0B2B" w:rsidRPr="000A3C73" w:rsidRDefault="00EE0B2B" w:rsidP="00D35C16">
            <w:pPr>
              <w:widowControl w:val="0"/>
              <w:spacing w:after="60"/>
              <w:jc w:val="both"/>
              <w:rPr>
                <w:rFonts w:ascii="Calibri" w:hAnsi="Calibri" w:cs="Arial"/>
                <w:snapToGrid w:val="0"/>
                <w:sz w:val="22"/>
                <w:szCs w:val="22"/>
              </w:rPr>
            </w:pPr>
            <w:r w:rsidRPr="00AA7D1F">
              <w:rPr>
                <w:rFonts w:ascii="Calibri" w:hAnsi="Calibri" w:cs="Arial"/>
                <w:snapToGrid w:val="0"/>
                <w:sz w:val="22"/>
                <w:szCs w:val="22"/>
              </w:rPr>
              <w:t xml:space="preserve">However, since the </w:t>
            </w:r>
            <w:r w:rsidR="008B2E20" w:rsidRPr="005E69C8">
              <w:rPr>
                <w:rFonts w:ascii="Calibri" w:hAnsi="Calibri" w:cs="Arial"/>
                <w:snapToGrid w:val="0"/>
                <w:sz w:val="22"/>
                <w:szCs w:val="22"/>
              </w:rPr>
              <w:t>three countries issued the agreement</w:t>
            </w:r>
            <w:r w:rsidRPr="00850A96">
              <w:rPr>
                <w:rFonts w:ascii="Calibri" w:hAnsi="Calibri" w:cs="Arial"/>
                <w:snapToGrid w:val="0"/>
                <w:sz w:val="22"/>
                <w:szCs w:val="22"/>
              </w:rPr>
              <w:t>, little further practical action has occurred due to the n</w:t>
            </w:r>
            <w:r w:rsidRPr="008B7E9A">
              <w:rPr>
                <w:rFonts w:ascii="Calibri" w:hAnsi="Calibri" w:cs="Arial"/>
                <w:snapToGrid w:val="0"/>
                <w:sz w:val="22"/>
                <w:szCs w:val="22"/>
              </w:rPr>
              <w:t xml:space="preserve">ational and international ratifications required. Because Greece is an EU member state, the EU is required to ratify the 2010 Prespa Park Agreement </w:t>
            </w:r>
            <w:r w:rsidR="008B2E20" w:rsidRPr="000126EE">
              <w:rPr>
                <w:rFonts w:ascii="Calibri" w:hAnsi="Calibri" w:cs="Arial"/>
                <w:snapToGrid w:val="0"/>
                <w:sz w:val="22"/>
                <w:szCs w:val="22"/>
              </w:rPr>
              <w:t>as</w:t>
            </w:r>
            <w:r w:rsidRPr="00B71D27">
              <w:rPr>
                <w:rFonts w:ascii="Calibri" w:hAnsi="Calibri" w:cs="Arial"/>
                <w:snapToGrid w:val="0"/>
                <w:sz w:val="22"/>
                <w:szCs w:val="22"/>
              </w:rPr>
              <w:t xml:space="preserve"> it is an international legal mandate. This ratification process took ~1.5 years, </w:t>
            </w:r>
            <w:r w:rsidR="00D41608" w:rsidRPr="00595792">
              <w:rPr>
                <w:rFonts w:ascii="Calibri" w:hAnsi="Calibri" w:cs="Arial"/>
                <w:snapToGrid w:val="0"/>
                <w:sz w:val="22"/>
                <w:szCs w:val="22"/>
              </w:rPr>
              <w:t>with the final approval by the EU Council of Ministers published in the Official Journal of the European Union on October 4</w:t>
            </w:r>
            <w:r w:rsidR="00D41608" w:rsidRPr="00602E30">
              <w:rPr>
                <w:rFonts w:ascii="Calibri" w:hAnsi="Calibri" w:cs="Arial"/>
                <w:snapToGrid w:val="0"/>
                <w:sz w:val="22"/>
                <w:szCs w:val="22"/>
                <w:vertAlign w:val="superscript"/>
              </w:rPr>
              <w:t>th</w:t>
            </w:r>
            <w:r w:rsidR="00D41608" w:rsidRPr="002A69B7">
              <w:rPr>
                <w:rFonts w:ascii="Calibri" w:hAnsi="Calibri" w:cs="Arial"/>
                <w:snapToGrid w:val="0"/>
                <w:sz w:val="22"/>
                <w:szCs w:val="22"/>
              </w:rPr>
              <w:t>, 2011</w:t>
            </w:r>
            <w:r w:rsidRPr="002C744B">
              <w:rPr>
                <w:rFonts w:ascii="Calibri" w:hAnsi="Calibri" w:cs="Arial"/>
                <w:snapToGrid w:val="0"/>
                <w:sz w:val="22"/>
                <w:szCs w:val="22"/>
              </w:rPr>
              <w:t>. The Greek national government also has to ratify the document, which was impossible during the Greek political turmoil through the first half of 2012</w:t>
            </w:r>
            <w:r w:rsidR="008B2E20" w:rsidRPr="00C56966">
              <w:rPr>
                <w:rFonts w:ascii="Calibri" w:hAnsi="Calibri" w:cs="Arial"/>
                <w:snapToGrid w:val="0"/>
                <w:sz w:val="22"/>
                <w:szCs w:val="22"/>
              </w:rPr>
              <w:t xml:space="preserve"> (and is likely to be a low priority for some time)</w:t>
            </w:r>
            <w:r w:rsidRPr="002D3949">
              <w:rPr>
                <w:rFonts w:ascii="Calibri" w:hAnsi="Calibri" w:cs="Arial"/>
                <w:snapToGrid w:val="0"/>
                <w:sz w:val="22"/>
                <w:szCs w:val="22"/>
              </w:rPr>
              <w:t xml:space="preserve">. </w:t>
            </w:r>
            <w:r w:rsidR="000A3BF2" w:rsidRPr="000A3C73">
              <w:rPr>
                <w:rFonts w:ascii="Calibri" w:hAnsi="Calibri" w:cs="Arial"/>
                <w:snapToGrid w:val="0"/>
                <w:sz w:val="22"/>
                <w:szCs w:val="22"/>
              </w:rPr>
              <w:t xml:space="preserve">Albania </w:t>
            </w:r>
            <w:r w:rsidR="000304A3" w:rsidRPr="000A3C73">
              <w:rPr>
                <w:rFonts w:ascii="Calibri" w:hAnsi="Calibri" w:cs="Arial"/>
                <w:snapToGrid w:val="0"/>
                <w:sz w:val="22"/>
                <w:szCs w:val="22"/>
              </w:rPr>
              <w:t>and Macedonia have both ratified the agreement</w:t>
            </w:r>
            <w:r w:rsidR="000A3BF2" w:rsidRPr="000A3C73">
              <w:rPr>
                <w:rFonts w:ascii="Calibri" w:hAnsi="Calibri" w:cs="Arial"/>
                <w:snapToGrid w:val="0"/>
                <w:sz w:val="22"/>
                <w:szCs w:val="22"/>
              </w:rPr>
              <w:t xml:space="preserve">. </w:t>
            </w:r>
          </w:p>
          <w:p w:rsidR="003F1583" w:rsidRPr="00FC657B" w:rsidRDefault="00C46065" w:rsidP="00547558">
            <w:pPr>
              <w:widowControl w:val="0"/>
              <w:spacing w:after="60"/>
              <w:jc w:val="both"/>
              <w:rPr>
                <w:rFonts w:ascii="Calibri" w:hAnsi="Calibri" w:cs="Arial"/>
                <w:snapToGrid w:val="0"/>
                <w:sz w:val="22"/>
                <w:szCs w:val="22"/>
              </w:rPr>
            </w:pPr>
            <w:r w:rsidRPr="000A3C73">
              <w:rPr>
                <w:rFonts w:ascii="Calibri" w:hAnsi="Calibri" w:cs="Arial"/>
                <w:snapToGrid w:val="0"/>
                <w:sz w:val="22"/>
                <w:szCs w:val="22"/>
              </w:rPr>
              <w:t>Since the 2010 agreement, there has been only one trilateral meeting – the first Prespa Park Management Committee meeting in late June 2012</w:t>
            </w:r>
            <w:r w:rsidR="0035267B" w:rsidRPr="000A3C73">
              <w:rPr>
                <w:rFonts w:ascii="Calibri" w:hAnsi="Calibri" w:cs="Arial"/>
                <w:snapToGrid w:val="0"/>
                <w:sz w:val="22"/>
                <w:szCs w:val="22"/>
              </w:rPr>
              <w:t>, which was an informal meeting since the agreement was still to be ratified by Greece and Macedonia (Macedonia has since ratified)</w:t>
            </w:r>
            <w:r w:rsidRPr="000A3C73">
              <w:rPr>
                <w:rFonts w:ascii="Calibri" w:hAnsi="Calibri" w:cs="Arial"/>
                <w:snapToGrid w:val="0"/>
                <w:sz w:val="22"/>
                <w:szCs w:val="22"/>
              </w:rPr>
              <w:t xml:space="preserve">. In contrast, the former PPCC </w:t>
            </w:r>
            <w:r w:rsidR="0035267B" w:rsidRPr="000A3C73">
              <w:rPr>
                <w:rFonts w:ascii="Calibri" w:hAnsi="Calibri" w:cs="Arial"/>
                <w:snapToGrid w:val="0"/>
                <w:sz w:val="22"/>
                <w:szCs w:val="22"/>
              </w:rPr>
              <w:t>met</w:t>
            </w:r>
            <w:r w:rsidRPr="000A3C73">
              <w:rPr>
                <w:rFonts w:ascii="Calibri" w:hAnsi="Calibri" w:cs="Arial"/>
                <w:snapToGrid w:val="0"/>
                <w:sz w:val="22"/>
                <w:szCs w:val="22"/>
              </w:rPr>
              <w:t xml:space="preserve"> approximately once or twice per year from </w:t>
            </w:r>
            <w:r w:rsidR="00F3058E" w:rsidRPr="000A3C73">
              <w:rPr>
                <w:rFonts w:ascii="Calibri" w:hAnsi="Calibri" w:cs="Arial"/>
                <w:snapToGrid w:val="0"/>
                <w:sz w:val="22"/>
                <w:szCs w:val="22"/>
              </w:rPr>
              <w:t xml:space="preserve">2001 to 2010. The lack of activity since 2010 is likely due to several factors. To start, since 2010 the global economic crisis has diverted the focus and available resources of the three littoral states. The governments have also apparently been </w:t>
            </w:r>
            <w:r w:rsidR="0035267B" w:rsidRPr="000A3C73">
              <w:rPr>
                <w:rFonts w:ascii="Calibri" w:hAnsi="Calibri" w:cs="Arial"/>
                <w:snapToGrid w:val="0"/>
                <w:sz w:val="22"/>
                <w:szCs w:val="22"/>
              </w:rPr>
              <w:t>reluctant</w:t>
            </w:r>
            <w:r w:rsidR="00F3058E" w:rsidRPr="000A3C73">
              <w:rPr>
                <w:rFonts w:ascii="Calibri" w:hAnsi="Calibri" w:cs="Arial"/>
                <w:snapToGrid w:val="0"/>
                <w:sz w:val="22"/>
                <w:szCs w:val="22"/>
              </w:rPr>
              <w:t xml:space="preserve"> to take </w:t>
            </w:r>
            <w:r w:rsidR="0035267B" w:rsidRPr="000A3C73">
              <w:rPr>
                <w:rFonts w:ascii="Calibri" w:hAnsi="Calibri" w:cs="Arial"/>
                <w:snapToGrid w:val="0"/>
                <w:sz w:val="22"/>
                <w:szCs w:val="22"/>
              </w:rPr>
              <w:t>concrete</w:t>
            </w:r>
            <w:r w:rsidR="00F3058E" w:rsidRPr="000A3C73">
              <w:rPr>
                <w:rFonts w:ascii="Calibri" w:hAnsi="Calibri" w:cs="Arial"/>
                <w:snapToGrid w:val="0"/>
                <w:sz w:val="22"/>
                <w:szCs w:val="22"/>
              </w:rPr>
              <w:t xml:space="preserve"> action under the 2010 agreement until the national ratifications have been achieved.</w:t>
            </w:r>
            <w:r w:rsidR="00527B5A" w:rsidRPr="000A3C73">
              <w:rPr>
                <w:rFonts w:ascii="Calibri" w:hAnsi="Calibri" w:cs="Arial"/>
                <w:snapToGrid w:val="0"/>
                <w:sz w:val="22"/>
                <w:szCs w:val="22"/>
              </w:rPr>
              <w:t xml:space="preserve"> As stated by SPP at the time of the EU approval, “20 months later the agreement remains inoperative due to the labyrinthine bureaucracy that has presided over its approval process.”</w:t>
            </w:r>
            <w:r w:rsidR="003F1583" w:rsidRPr="00FC657B">
              <w:rPr>
                <w:rStyle w:val="FootnoteReference"/>
                <w:rFonts w:ascii="Calibri" w:hAnsi="Calibri" w:cs="Arial"/>
                <w:snapToGrid w:val="0"/>
                <w:szCs w:val="22"/>
              </w:rPr>
              <w:footnoteReference w:id="22"/>
            </w:r>
          </w:p>
          <w:p w:rsidR="00C46065" w:rsidRPr="002C744B" w:rsidRDefault="00F3058E" w:rsidP="002409F0">
            <w:pPr>
              <w:widowControl w:val="0"/>
              <w:spacing w:after="60"/>
              <w:jc w:val="both"/>
              <w:rPr>
                <w:rFonts w:ascii="Calibri" w:hAnsi="Calibri" w:cs="Arial"/>
                <w:snapToGrid w:val="0"/>
                <w:sz w:val="22"/>
                <w:szCs w:val="22"/>
              </w:rPr>
            </w:pPr>
            <w:r w:rsidRPr="00FC657B">
              <w:rPr>
                <w:rFonts w:ascii="Calibri" w:hAnsi="Calibri" w:cs="Arial"/>
                <w:snapToGrid w:val="0"/>
                <w:sz w:val="22"/>
                <w:szCs w:val="22"/>
              </w:rPr>
              <w:t xml:space="preserve">However, perhaps </w:t>
            </w:r>
            <w:r w:rsidR="00934006" w:rsidRPr="00D77DF1">
              <w:rPr>
                <w:rFonts w:ascii="Calibri" w:hAnsi="Calibri" w:cs="Arial"/>
                <w:snapToGrid w:val="0"/>
                <w:sz w:val="22"/>
                <w:szCs w:val="22"/>
              </w:rPr>
              <w:t>the most significant reason for the lack of meetings over the past two years is related to funding availability. F</w:t>
            </w:r>
            <w:r w:rsidRPr="00CD42DE">
              <w:rPr>
                <w:rFonts w:ascii="Calibri" w:hAnsi="Calibri" w:cs="Arial"/>
                <w:snapToGrid w:val="0"/>
                <w:sz w:val="22"/>
                <w:szCs w:val="22"/>
              </w:rPr>
              <w:t>or its first 10 years the PPCC was financially supported b</w:t>
            </w:r>
            <w:r w:rsidRPr="00AA7D1F">
              <w:rPr>
                <w:rFonts w:ascii="Calibri" w:hAnsi="Calibri" w:cs="Arial"/>
                <w:snapToGrid w:val="0"/>
                <w:sz w:val="22"/>
                <w:szCs w:val="22"/>
              </w:rPr>
              <w:t xml:space="preserve">y bilateral and NGO funding secured by SPP, with SPP acting as the PPCC secretariat. At the November 2008 regular meeting of the PPCC, SPP introduced options for securing future funding of the PPCC, and indicated that donor funding of the PPCC would cease </w:t>
            </w:r>
            <w:r w:rsidRPr="005E69C8">
              <w:rPr>
                <w:rFonts w:ascii="Calibri" w:hAnsi="Calibri" w:cs="Arial"/>
                <w:snapToGrid w:val="0"/>
                <w:sz w:val="22"/>
                <w:szCs w:val="22"/>
              </w:rPr>
              <w:t xml:space="preserve">in June 2010. </w:t>
            </w:r>
            <w:r w:rsidR="00F2169B" w:rsidRPr="00850A96">
              <w:rPr>
                <w:rFonts w:ascii="Calibri" w:hAnsi="Calibri" w:cs="Arial"/>
                <w:snapToGrid w:val="0"/>
                <w:sz w:val="22"/>
                <w:szCs w:val="22"/>
              </w:rPr>
              <w:t xml:space="preserve">The Prespa IEM project mid-term evaluation saw this declaration as “a risky </w:t>
            </w:r>
            <w:r w:rsidR="00F2169B" w:rsidRPr="008B7E9A">
              <w:rPr>
                <w:rFonts w:ascii="Calibri" w:hAnsi="Calibri" w:cs="Arial"/>
                <w:snapToGrid w:val="0"/>
                <w:sz w:val="22"/>
                <w:szCs w:val="22"/>
              </w:rPr>
              <w:t xml:space="preserve">but brave strategy to force the issue” of stakeholder ownership for the Prespa Park process. It is true that greater stakeholder buy-in </w:t>
            </w:r>
            <w:r w:rsidR="00934006" w:rsidRPr="000126EE">
              <w:rPr>
                <w:rFonts w:ascii="Calibri" w:hAnsi="Calibri" w:cs="Arial"/>
                <w:snapToGrid w:val="0"/>
                <w:sz w:val="22"/>
                <w:szCs w:val="22"/>
              </w:rPr>
              <w:t>is</w:t>
            </w:r>
            <w:r w:rsidR="00F2169B" w:rsidRPr="00B71D27">
              <w:rPr>
                <w:rFonts w:ascii="Calibri" w:hAnsi="Calibri" w:cs="Arial"/>
                <w:snapToGrid w:val="0"/>
                <w:sz w:val="22"/>
                <w:szCs w:val="22"/>
              </w:rPr>
              <w:t xml:space="preserve"> required as well as a sustainable source of funding for the PPCC; however, combined </w:t>
            </w:r>
            <w:r w:rsidR="00547558" w:rsidRPr="00595792">
              <w:rPr>
                <w:rFonts w:ascii="Calibri" w:hAnsi="Calibri" w:cs="Arial"/>
                <w:snapToGrid w:val="0"/>
                <w:sz w:val="22"/>
                <w:szCs w:val="22"/>
              </w:rPr>
              <w:t xml:space="preserve">with the global economic crisis, it seems that the cessation of donor funding has </w:t>
            </w:r>
            <w:r w:rsidR="002409F0" w:rsidRPr="00602E30">
              <w:rPr>
                <w:rFonts w:ascii="Calibri" w:hAnsi="Calibri" w:cs="Arial"/>
                <w:snapToGrid w:val="0"/>
                <w:sz w:val="22"/>
                <w:szCs w:val="22"/>
              </w:rPr>
              <w:t>contributed to the</w:t>
            </w:r>
            <w:r w:rsidR="00547558" w:rsidRPr="002A69B7">
              <w:rPr>
                <w:rFonts w:ascii="Calibri" w:hAnsi="Calibri" w:cs="Arial"/>
                <w:snapToGrid w:val="0"/>
                <w:sz w:val="22"/>
                <w:szCs w:val="22"/>
              </w:rPr>
              <w:t xml:space="preserve"> hibernation of the PPCC. </w:t>
            </w:r>
          </w:p>
        </w:tc>
      </w:tr>
      <w:tr w:rsidR="001657BB" w:rsidRPr="000A3C73" w:rsidTr="00D35C16">
        <w:tc>
          <w:tcPr>
            <w:tcW w:w="1705" w:type="dxa"/>
          </w:tcPr>
          <w:p w:rsidR="001657BB" w:rsidRPr="000A3C73" w:rsidRDefault="001657BB" w:rsidP="00370B8E">
            <w:pPr>
              <w:pStyle w:val="BodyText"/>
              <w:numPr>
                <w:ilvl w:val="0"/>
                <w:numId w:val="0"/>
              </w:numPr>
              <w:rPr>
                <w:sz w:val="22"/>
              </w:rPr>
            </w:pPr>
            <w:r w:rsidRPr="000A3C73">
              <w:rPr>
                <w:sz w:val="22"/>
              </w:rPr>
              <w:t>Albania</w:t>
            </w:r>
          </w:p>
        </w:tc>
        <w:tc>
          <w:tcPr>
            <w:tcW w:w="8009" w:type="dxa"/>
          </w:tcPr>
          <w:p w:rsidR="001657BB" w:rsidRPr="000A3C73" w:rsidRDefault="001A390D" w:rsidP="006C3F3A">
            <w:pPr>
              <w:pStyle w:val="BodyText"/>
              <w:numPr>
                <w:ilvl w:val="0"/>
                <w:numId w:val="0"/>
              </w:numPr>
              <w:rPr>
                <w:sz w:val="22"/>
              </w:rPr>
            </w:pPr>
            <w:r w:rsidRPr="000A3C73">
              <w:rPr>
                <w:sz w:val="22"/>
              </w:rPr>
              <w:t xml:space="preserve">The 2010 trilateral agreement establishing the Prespa Park Management Committee has been ratified at the national level in Albania. </w:t>
            </w:r>
          </w:p>
        </w:tc>
      </w:tr>
      <w:tr w:rsidR="001657BB" w:rsidRPr="000A3C73" w:rsidTr="00D35C16">
        <w:tc>
          <w:tcPr>
            <w:tcW w:w="1705" w:type="dxa"/>
          </w:tcPr>
          <w:p w:rsidR="001657BB" w:rsidRPr="000A3C73" w:rsidRDefault="001657BB" w:rsidP="00370B8E">
            <w:pPr>
              <w:pStyle w:val="BodyText"/>
              <w:numPr>
                <w:ilvl w:val="0"/>
                <w:numId w:val="0"/>
              </w:numPr>
              <w:rPr>
                <w:sz w:val="22"/>
              </w:rPr>
            </w:pPr>
            <w:r w:rsidRPr="000A3C73">
              <w:rPr>
                <w:sz w:val="22"/>
              </w:rPr>
              <w:t>FYR Macedonia</w:t>
            </w:r>
          </w:p>
        </w:tc>
        <w:tc>
          <w:tcPr>
            <w:tcW w:w="8009" w:type="dxa"/>
          </w:tcPr>
          <w:p w:rsidR="001657BB" w:rsidRPr="000A3C73" w:rsidRDefault="001A390D" w:rsidP="00083BDD">
            <w:pPr>
              <w:pStyle w:val="BodyText"/>
              <w:numPr>
                <w:ilvl w:val="0"/>
                <w:numId w:val="0"/>
              </w:numPr>
              <w:rPr>
                <w:sz w:val="22"/>
              </w:rPr>
            </w:pPr>
            <w:r w:rsidRPr="000A3C73">
              <w:rPr>
                <w:sz w:val="22"/>
              </w:rPr>
              <w:t xml:space="preserve">The 2010 trilateral agreement establishing the Prespa Park Management Committee </w:t>
            </w:r>
            <w:r w:rsidR="00083BDD" w:rsidRPr="000A3C73">
              <w:rPr>
                <w:sz w:val="22"/>
              </w:rPr>
              <w:t>was ratified by the Macedonian parliament on July 23</w:t>
            </w:r>
            <w:r w:rsidR="00083BDD" w:rsidRPr="000A3C73">
              <w:rPr>
                <w:sz w:val="22"/>
                <w:vertAlign w:val="superscript"/>
              </w:rPr>
              <w:t>rd</w:t>
            </w:r>
            <w:r w:rsidR="00083BDD" w:rsidRPr="000A3C73">
              <w:rPr>
                <w:sz w:val="22"/>
              </w:rPr>
              <w:t>, 2012.</w:t>
            </w:r>
          </w:p>
        </w:tc>
      </w:tr>
    </w:tbl>
    <w:p w:rsidR="00582FD5" w:rsidRPr="0089284E" w:rsidRDefault="00582FD5" w:rsidP="001657BB">
      <w:pPr>
        <w:pStyle w:val="BodyText"/>
        <w:numPr>
          <w:ilvl w:val="0"/>
          <w:numId w:val="0"/>
        </w:numPr>
        <w:rPr>
          <w:bCs/>
        </w:rPr>
      </w:pPr>
    </w:p>
    <w:p w:rsidR="006622FD" w:rsidRPr="000A3C73" w:rsidRDefault="006622FD" w:rsidP="006622FD">
      <w:pPr>
        <w:pStyle w:val="Caption"/>
        <w:jc w:val="both"/>
      </w:pPr>
      <w:bookmarkStart w:id="118" w:name="_Ref209587143"/>
      <w:r w:rsidRPr="00FC657B">
        <w:t xml:space="preserve">Box </w:t>
      </w:r>
      <w:r w:rsidR="008269C6" w:rsidRPr="00F92C45">
        <w:fldChar w:fldCharType="begin"/>
      </w:r>
      <w:r w:rsidR="00CF23E9" w:rsidRPr="000A3C73">
        <w:instrText xml:space="preserve"> SEQ Box \* ARABIC </w:instrText>
      </w:r>
      <w:r w:rsidR="008269C6" w:rsidRPr="00F92C45">
        <w:fldChar w:fldCharType="separate"/>
      </w:r>
      <w:r w:rsidR="006E18A7" w:rsidRPr="000A3C73">
        <w:rPr>
          <w:noProof/>
        </w:rPr>
        <w:t>3</w:t>
      </w:r>
      <w:r w:rsidR="008269C6" w:rsidRPr="00F92C45">
        <w:rPr>
          <w:noProof/>
        </w:rPr>
        <w:fldChar w:fldCharType="end"/>
      </w:r>
      <w:bookmarkEnd w:id="118"/>
      <w:r w:rsidRPr="000A3C73">
        <w:t xml:space="preserve"> The International Prespa Park Agreement of 2010</w:t>
      </w:r>
    </w:p>
    <w:p w:rsidR="00527367" w:rsidRPr="0089284E" w:rsidRDefault="008269C6" w:rsidP="001657BB">
      <w:pPr>
        <w:pStyle w:val="BodyText"/>
        <w:numPr>
          <w:ilvl w:val="0"/>
          <w:numId w:val="0"/>
        </w:numPr>
        <w:rPr>
          <w:bCs/>
        </w:rPr>
      </w:pPr>
      <w:r>
        <w:rPr>
          <w:bCs/>
          <w:noProof/>
        </w:rPr>
      </w:r>
      <w:r>
        <w:rPr>
          <w:bCs/>
          <w:noProof/>
        </w:rPr>
        <w:pict>
          <v:shape id="Text Box 11" o:spid="_x0000_s1029" type="#_x0000_t202" style="width:468pt;height:198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" fillcolor="#bfbfbf">
            <v:path arrowok="t"/>
            <v:textbox>
              <w:txbxContent>
                <w:p w:rsidR="00B43AFE" w:rsidRPr="007D5F91" w:rsidRDefault="00B43AFE" w:rsidP="006622FD">
                  <w:pPr>
                    <w:autoSpaceDE w:val="0"/>
                    <w:autoSpaceDN w:val="0"/>
                    <w:adjustRightInd w:val="0"/>
                    <w:spacing w:before="60" w:after="120" w:line="276" w:lineRule="auto"/>
                    <w:jc w:val="both"/>
                    <w:rPr>
                      <w:rFonts w:ascii="Calibri" w:hAnsi="Calibri" w:cs="ArialMT"/>
                      <w:sz w:val="21"/>
                      <w:szCs w:val="21"/>
                    </w:rPr>
                  </w:pPr>
                  <w:r w:rsidRPr="007D5F91">
                    <w:rPr>
                      <w:rFonts w:ascii="Calibri" w:hAnsi="Calibri" w:cs="ArialMT"/>
                      <w:sz w:val="21"/>
                      <w:szCs w:val="21"/>
                    </w:rPr>
                    <w:t xml:space="preserve">In February 2010 the Ministers of Environment from Albania, Macedonia and Greece, together with EU Commissioner for the Environment, issued a Joint Agreement*recognizing the importance and value of the Prespa Park Area. The Agreement includes the following Joint Statement: </w:t>
                  </w:r>
                </w:p>
                <w:p w:rsidR="00B43AFE" w:rsidRPr="007D5F91" w:rsidRDefault="00B43AFE" w:rsidP="006622FD">
                  <w:pPr>
                    <w:autoSpaceDE w:val="0"/>
                    <w:autoSpaceDN w:val="0"/>
                    <w:adjustRightInd w:val="0"/>
                    <w:spacing w:after="120" w:line="276" w:lineRule="auto"/>
                    <w:jc w:val="both"/>
                    <w:rPr>
                      <w:rFonts w:ascii="Calibri" w:hAnsi="Calibri" w:cs="ArialMT"/>
                      <w:b/>
                      <w:i/>
                      <w:sz w:val="21"/>
                      <w:szCs w:val="21"/>
                    </w:rPr>
                  </w:pPr>
                  <w:r w:rsidRPr="007D5F91">
                    <w:rPr>
                      <w:rFonts w:ascii="Calibri" w:hAnsi="Calibri" w:cs="ArialMT"/>
                      <w:b/>
                      <w:i/>
                      <w:sz w:val="21"/>
                      <w:szCs w:val="21"/>
                    </w:rPr>
                    <w:t>“The Ministers for the Environment of the three States sharing the Prespa Lakes Area and the European Commissioner for the Environment salute the conclusion of the negotiation of the Agreement on the Protection and Sustainable Development of the Prespa Park Area. This is the best way to celebrate today the 10th anniversary of the creation of the Prespa Park and the World Wetlands Day.</w:t>
                  </w:r>
                </w:p>
                <w:p w:rsidR="00B43AFE" w:rsidRPr="007D5F91" w:rsidRDefault="00B43AFE" w:rsidP="006622FD">
                  <w:pPr>
                    <w:autoSpaceDE w:val="0"/>
                    <w:autoSpaceDN w:val="0"/>
                    <w:adjustRightInd w:val="0"/>
                    <w:spacing w:after="120" w:line="276" w:lineRule="auto"/>
                    <w:jc w:val="both"/>
                    <w:rPr>
                      <w:rFonts w:ascii="Calibri" w:hAnsi="Calibri" w:cs="ArialMT"/>
                      <w:i/>
                      <w:sz w:val="21"/>
                      <w:szCs w:val="21"/>
                    </w:rPr>
                  </w:pPr>
                  <w:r w:rsidRPr="007D5F91">
                    <w:rPr>
                      <w:rFonts w:ascii="Calibri" w:hAnsi="Calibri" w:cs="ArialMT"/>
                      <w:b/>
                      <w:i/>
                      <w:sz w:val="21"/>
                      <w:szCs w:val="21"/>
                    </w:rPr>
                    <w:t>The Agreement initialed today lays the ground for an effective conservation of the Prespa ecosystem as a basis for the sustainable development of the Area. The Prespa Park is the first trans-boundary protected area in south-eastern Europe and will foster environment cooperation in the region thereby contributing to its stability and prosperity”</w:t>
                  </w:r>
                  <w:r w:rsidRPr="007D5F91">
                    <w:rPr>
                      <w:rFonts w:ascii="Calibri" w:hAnsi="Calibri" w:cs="ArialMT"/>
                      <w:i/>
                      <w:sz w:val="21"/>
                      <w:szCs w:val="21"/>
                    </w:rPr>
                    <w:t>.</w:t>
                  </w:r>
                </w:p>
                <w:p w:rsidR="00B43AFE" w:rsidRDefault="00B43AFE" w:rsidP="006622FD">
                  <w:r w:rsidRPr="007D5F91">
                    <w:rPr>
                      <w:rFonts w:ascii="Calibri" w:hAnsi="Calibri" w:cs="ArialMT"/>
                      <w:sz w:val="16"/>
                      <w:szCs w:val="16"/>
                    </w:rPr>
                    <w:t>*Agreement on the Protection and Sustainable Development of the Prespa Park Area, February 2, 2010, Pyli, Greece.</w:t>
                  </w:r>
                </w:p>
              </w:txbxContent>
            </v:textbox>
            <w10:anchorlock/>
          </v:shape>
        </w:pict>
      </w:r>
    </w:p>
    <w:p w:rsidR="00527367" w:rsidRPr="0089284E" w:rsidRDefault="00527367" w:rsidP="001657BB">
      <w:pPr>
        <w:pStyle w:val="BodyText"/>
        <w:numPr>
          <w:ilvl w:val="0"/>
          <w:numId w:val="0"/>
        </w:numPr>
        <w:rPr>
          <w:bCs/>
        </w:rPr>
      </w:pPr>
    </w:p>
    <w:p w:rsidR="007708EB" w:rsidRPr="0089284E" w:rsidRDefault="007708EB" w:rsidP="00ED656A">
      <w:pPr>
        <w:pStyle w:val="BodyText"/>
        <w:rPr>
          <w:bCs/>
          <w:i/>
          <w:u w:val="single"/>
        </w:rPr>
      </w:pPr>
      <w:r w:rsidRPr="0089284E">
        <w:rPr>
          <w:b/>
          <w:bCs/>
          <w:i/>
          <w:u w:val="single"/>
        </w:rPr>
        <w:t>Output 4.2</w:t>
      </w:r>
      <w:r w:rsidRPr="0089284E">
        <w:rPr>
          <w:bCs/>
          <w:i/>
          <w:u w:val="single"/>
        </w:rPr>
        <w:t xml:space="preserve"> Prespa Working Group on Water Management (PWGWM) established by t</w:t>
      </w:r>
      <w:r w:rsidR="008C3DDF" w:rsidRPr="0089284E">
        <w:rPr>
          <w:bCs/>
          <w:i/>
          <w:u w:val="single"/>
        </w:rPr>
        <w:t>he PPCC</w:t>
      </w:r>
    </w:p>
    <w:tbl>
      <w:tblPr>
        <w:tblStyle w:val="TableGrid"/>
        <w:tblW w:w="0" w:type="auto"/>
        <w:tblLook w:val="04A0"/>
      </w:tblPr>
      <w:tblGrid>
        <w:gridCol w:w="1567"/>
        <w:gridCol w:w="8009"/>
      </w:tblGrid>
      <w:tr w:rsidR="001657BB" w:rsidRPr="000A3C73" w:rsidTr="00370B8E">
        <w:tc>
          <w:tcPr>
            <w:tcW w:w="558" w:type="dxa"/>
          </w:tcPr>
          <w:p w:rsidR="001657BB" w:rsidRPr="00FC657B" w:rsidRDefault="001657BB" w:rsidP="00370B8E">
            <w:pPr>
              <w:pStyle w:val="BodyText"/>
              <w:numPr>
                <w:ilvl w:val="0"/>
                <w:numId w:val="0"/>
              </w:numPr>
              <w:rPr>
                <w:sz w:val="22"/>
              </w:rPr>
            </w:pPr>
            <w:r w:rsidRPr="00FC657B">
              <w:rPr>
                <w:sz w:val="22"/>
              </w:rPr>
              <w:t>Transboundary</w:t>
            </w:r>
          </w:p>
        </w:tc>
        <w:tc>
          <w:tcPr>
            <w:tcW w:w="9018" w:type="dxa"/>
          </w:tcPr>
          <w:p w:rsidR="001657BB" w:rsidRPr="000A3C73" w:rsidRDefault="00D17352" w:rsidP="00D17352">
            <w:pPr>
              <w:pStyle w:val="BodyText"/>
              <w:numPr>
                <w:ilvl w:val="0"/>
                <w:numId w:val="0"/>
              </w:numPr>
              <w:rPr>
                <w:sz w:val="22"/>
                <w:szCs w:val="22"/>
              </w:rPr>
            </w:pPr>
            <w:r w:rsidRPr="00FC657B">
              <w:rPr>
                <w:rFonts w:cs="Arial"/>
                <w:snapToGrid w:val="0"/>
                <w:sz w:val="22"/>
                <w:szCs w:val="22"/>
              </w:rPr>
              <w:t xml:space="preserve">The Prespa IEM project document foresaw under this output the creation of the first working group created </w:t>
            </w:r>
            <w:r w:rsidRPr="00D77DF1">
              <w:rPr>
                <w:rFonts w:cs="Arial"/>
                <w:snapToGrid w:val="0"/>
                <w:sz w:val="22"/>
                <w:szCs w:val="22"/>
              </w:rPr>
              <w:t xml:space="preserve">under the PPCC that would “appropriately enough be concerned with water.” This turned out not to be the case, as the monitoring working group previously discussed was established, while this water management working group was not. According to the project </w:t>
            </w:r>
            <w:r w:rsidRPr="00CD42DE">
              <w:rPr>
                <w:rFonts w:cs="Arial"/>
                <w:snapToGrid w:val="0"/>
                <w:sz w:val="22"/>
                <w:szCs w:val="22"/>
              </w:rPr>
              <w:t xml:space="preserve">document, the agenda of the water management working group would be based on the principles of integrated river basin management contained in the EU Water Framework Directive.  </w:t>
            </w:r>
            <w:r w:rsidR="009778B0" w:rsidRPr="00AA7D1F">
              <w:rPr>
                <w:rFonts w:cs="Arial"/>
                <w:snapToGrid w:val="0"/>
                <w:sz w:val="22"/>
                <w:szCs w:val="22"/>
              </w:rPr>
              <w:t>An</w:t>
            </w:r>
            <w:r w:rsidR="00876695" w:rsidRPr="005E69C8">
              <w:rPr>
                <w:rFonts w:cs="Arial"/>
                <w:snapToGrid w:val="0"/>
                <w:sz w:val="22"/>
                <w:szCs w:val="22"/>
              </w:rPr>
              <w:t xml:space="preserve"> international water management specialist</w:t>
            </w:r>
            <w:r w:rsidR="009778B0" w:rsidRPr="00850A96">
              <w:rPr>
                <w:rFonts w:cs="Arial"/>
                <w:snapToGrid w:val="0"/>
                <w:sz w:val="22"/>
                <w:szCs w:val="22"/>
              </w:rPr>
              <w:t xml:space="preserve"> was contracted</w:t>
            </w:r>
            <w:r w:rsidR="00876695" w:rsidRPr="008B7E9A">
              <w:rPr>
                <w:rFonts w:cs="Arial"/>
                <w:snapToGrid w:val="0"/>
                <w:sz w:val="22"/>
                <w:szCs w:val="22"/>
              </w:rPr>
              <w:t xml:space="preserve"> to </w:t>
            </w:r>
            <w:r w:rsidR="00876695" w:rsidRPr="000126EE">
              <w:rPr>
                <w:sz w:val="22"/>
                <w:szCs w:val="22"/>
              </w:rPr>
              <w:t>conduct a rapid situational analysis of the current state of water management practices, the status of the</w:t>
            </w:r>
            <w:r w:rsidR="00876695" w:rsidRPr="00B71D27">
              <w:rPr>
                <w:sz w:val="22"/>
                <w:szCs w:val="22"/>
              </w:rPr>
              <w:t xml:space="preserve"> enabling environment and develop a plan of implementation. The international </w:t>
            </w:r>
            <w:r w:rsidR="009778B0" w:rsidRPr="00595792">
              <w:rPr>
                <w:sz w:val="22"/>
                <w:szCs w:val="22"/>
              </w:rPr>
              <w:t>expert</w:t>
            </w:r>
            <w:r w:rsidR="00876695" w:rsidRPr="00602E30">
              <w:rPr>
                <w:sz w:val="22"/>
                <w:szCs w:val="22"/>
              </w:rPr>
              <w:t xml:space="preserve"> prepared a </w:t>
            </w:r>
            <w:r w:rsidR="00876695" w:rsidRPr="002A69B7">
              <w:rPr>
                <w:rStyle w:val="contentfont12"/>
                <w:sz w:val="22"/>
                <w:szCs w:val="22"/>
              </w:rPr>
              <w:t xml:space="preserve">rapid assessment and situational analysis </w:t>
            </w:r>
            <w:r w:rsidR="00876695" w:rsidRPr="002C744B">
              <w:rPr>
                <w:sz w:val="22"/>
                <w:szCs w:val="22"/>
              </w:rPr>
              <w:t xml:space="preserve">on the ‘state-of-play’ in terms of current water management practices in the Prespa Lakes Basin both at national and trans-boundary levels, and outlined </w:t>
            </w:r>
            <w:r w:rsidR="009778B0" w:rsidRPr="00C56966">
              <w:rPr>
                <w:sz w:val="22"/>
                <w:szCs w:val="22"/>
              </w:rPr>
              <w:t xml:space="preserve">a </w:t>
            </w:r>
            <w:r w:rsidR="00876695" w:rsidRPr="002D3949">
              <w:rPr>
                <w:sz w:val="22"/>
                <w:szCs w:val="22"/>
              </w:rPr>
              <w:t xml:space="preserve">detailed implementation plan and terms of reference for the future </w:t>
            </w:r>
            <w:r w:rsidR="00876695" w:rsidRPr="000A3C73">
              <w:rPr>
                <w:rFonts w:cs="Arial"/>
                <w:snapToGrid w:val="0"/>
                <w:sz w:val="22"/>
                <w:szCs w:val="22"/>
              </w:rPr>
              <w:t>Trans-boundary Water Management Working Group</w:t>
            </w:r>
            <w:r w:rsidR="00876695" w:rsidRPr="000A3C73">
              <w:rPr>
                <w:sz w:val="22"/>
                <w:szCs w:val="22"/>
              </w:rPr>
              <w:t xml:space="preserve">, and an international expert to support the work of the group. However, despite </w:t>
            </w:r>
            <w:r w:rsidR="009778B0" w:rsidRPr="000A3C73">
              <w:rPr>
                <w:sz w:val="22"/>
                <w:szCs w:val="22"/>
              </w:rPr>
              <w:t>multiple efforts and approaches</w:t>
            </w:r>
            <w:r w:rsidR="0025217C" w:rsidRPr="000A3C73">
              <w:rPr>
                <w:sz w:val="22"/>
                <w:szCs w:val="22"/>
              </w:rPr>
              <w:t xml:space="preserve"> </w:t>
            </w:r>
            <w:r w:rsidR="000D3373" w:rsidRPr="000A3C73">
              <w:rPr>
                <w:sz w:val="22"/>
                <w:szCs w:val="22"/>
              </w:rPr>
              <w:t>the project was not successful in</w:t>
            </w:r>
            <w:r w:rsidR="0025217C" w:rsidRPr="000A3C73">
              <w:rPr>
                <w:sz w:val="22"/>
                <w:szCs w:val="22"/>
              </w:rPr>
              <w:t xml:space="preserve"> </w:t>
            </w:r>
            <w:r w:rsidR="000D3373" w:rsidRPr="000A3C73">
              <w:rPr>
                <w:sz w:val="22"/>
                <w:szCs w:val="22"/>
              </w:rPr>
              <w:t xml:space="preserve">establishing </w:t>
            </w:r>
            <w:r w:rsidR="00876695" w:rsidRPr="000A3C73">
              <w:rPr>
                <w:sz w:val="22"/>
                <w:szCs w:val="22"/>
              </w:rPr>
              <w:t>the group either independently or as part of the existing bodies (PPCC, PPMC</w:t>
            </w:r>
            <w:r w:rsidR="000D3373" w:rsidRPr="000A3C73">
              <w:rPr>
                <w:sz w:val="22"/>
                <w:szCs w:val="22"/>
              </w:rPr>
              <w:t>).</w:t>
            </w:r>
          </w:p>
          <w:p w:rsidR="00BD2D0B" w:rsidRPr="000A3C73" w:rsidRDefault="00FB3B59" w:rsidP="00BD327A">
            <w:pPr>
              <w:pStyle w:val="BodyText"/>
              <w:numPr>
                <w:ilvl w:val="0"/>
                <w:numId w:val="0"/>
              </w:numPr>
              <w:rPr>
                <w:sz w:val="22"/>
                <w:szCs w:val="22"/>
              </w:rPr>
            </w:pPr>
            <w:r w:rsidRPr="000A3C73">
              <w:rPr>
                <w:sz w:val="22"/>
                <w:szCs w:val="22"/>
              </w:rPr>
              <w:t xml:space="preserve">At the time of project start-up Prespa lake was facing near record low water levels, which were seriously threatening various aspects of the ecosystem, and creating higher concentrations of pollutants (by significantly reducing the volume of water into which pollutants were disbursed). However, by the end of the Prespa IEM project the water levels had risen again somewhat, and the immediacy of addressing water management in the basin had </w:t>
            </w:r>
            <w:r w:rsidR="000B71E7" w:rsidRPr="000A3C73">
              <w:rPr>
                <w:sz w:val="22"/>
                <w:szCs w:val="22"/>
              </w:rPr>
              <w:t xml:space="preserve">perhaps been blunted somewhat. </w:t>
            </w:r>
            <w:r w:rsidR="004E2911" w:rsidRPr="000A3C73">
              <w:rPr>
                <w:sz w:val="22"/>
                <w:szCs w:val="22"/>
              </w:rPr>
              <w:t xml:space="preserve">Some stakeholders highlighted the technical challenges associated with water management in the region, because there is not a clear (or even murky) understanding of the hydrological system </w:t>
            </w:r>
            <w:r w:rsidR="00BD327A" w:rsidRPr="000A3C73">
              <w:rPr>
                <w:sz w:val="22"/>
                <w:szCs w:val="22"/>
              </w:rPr>
              <w:t>that</w:t>
            </w:r>
            <w:r w:rsidR="004E2911" w:rsidRPr="000A3C73">
              <w:rPr>
                <w:sz w:val="22"/>
                <w:szCs w:val="22"/>
              </w:rPr>
              <w:t xml:space="preserve"> flows through the karst geology. It is known that water from Prespa lake flows into the neighboring Lake Ohrid basin, but the timing of this flow changes over time, ranging from a few hour</w:t>
            </w:r>
            <w:r w:rsidR="00BD327A" w:rsidRPr="000A3C73">
              <w:rPr>
                <w:sz w:val="22"/>
                <w:szCs w:val="22"/>
              </w:rPr>
              <w:t>s</w:t>
            </w:r>
            <w:r w:rsidR="004E2911" w:rsidRPr="000A3C73">
              <w:rPr>
                <w:sz w:val="22"/>
                <w:szCs w:val="22"/>
              </w:rPr>
              <w:t xml:space="preserve"> or less</w:t>
            </w:r>
            <w:r w:rsidR="00BD327A" w:rsidRPr="000A3C73">
              <w:rPr>
                <w:sz w:val="22"/>
                <w:szCs w:val="22"/>
              </w:rPr>
              <w:t>,</w:t>
            </w:r>
            <w:r w:rsidR="004E2911" w:rsidRPr="000A3C73">
              <w:rPr>
                <w:sz w:val="22"/>
                <w:szCs w:val="22"/>
              </w:rPr>
              <w:t xml:space="preserve"> to days. </w:t>
            </w:r>
          </w:p>
        </w:tc>
      </w:tr>
      <w:tr w:rsidR="001657BB" w:rsidRPr="000A3C73" w:rsidTr="00370B8E">
        <w:tc>
          <w:tcPr>
            <w:tcW w:w="558" w:type="dxa"/>
          </w:tcPr>
          <w:p w:rsidR="001657BB" w:rsidRPr="000A3C73" w:rsidRDefault="001657BB" w:rsidP="00370B8E">
            <w:pPr>
              <w:pStyle w:val="BodyText"/>
              <w:numPr>
                <w:ilvl w:val="0"/>
                <w:numId w:val="0"/>
              </w:numPr>
              <w:rPr>
                <w:sz w:val="22"/>
              </w:rPr>
            </w:pPr>
            <w:r w:rsidRPr="000A3C73">
              <w:rPr>
                <w:sz w:val="22"/>
              </w:rPr>
              <w:t>Albania</w:t>
            </w:r>
          </w:p>
        </w:tc>
        <w:tc>
          <w:tcPr>
            <w:tcW w:w="9018" w:type="dxa"/>
          </w:tcPr>
          <w:p w:rsidR="001657BB" w:rsidRPr="00FC657B" w:rsidRDefault="001675FB" w:rsidP="00AC6ABF">
            <w:pPr>
              <w:pStyle w:val="BodyText"/>
              <w:numPr>
                <w:ilvl w:val="0"/>
                <w:numId w:val="0"/>
              </w:numPr>
              <w:rPr>
                <w:sz w:val="22"/>
              </w:rPr>
            </w:pPr>
            <w:r w:rsidRPr="0089284E">
              <w:rPr>
                <w:sz w:val="22"/>
              </w:rPr>
              <w:t xml:space="preserve">In Albania, the report of the international water management expert </w:t>
            </w:r>
            <w:r w:rsidR="000D3373" w:rsidRPr="0089284E">
              <w:rPr>
                <w:sz w:val="22"/>
              </w:rPr>
              <w:t>was endorsed and the PMU assisted the</w:t>
            </w:r>
            <w:r w:rsidRPr="0089284E">
              <w:rPr>
                <w:sz w:val="22"/>
              </w:rPr>
              <w:t xml:space="preserve"> MoEFWA </w:t>
            </w:r>
            <w:r w:rsidR="000D3373" w:rsidRPr="0089284E">
              <w:rPr>
                <w:sz w:val="22"/>
              </w:rPr>
              <w:t>to review</w:t>
            </w:r>
            <w:r w:rsidRPr="0089284E">
              <w:rPr>
                <w:sz w:val="22"/>
              </w:rPr>
              <w:t xml:space="preserve"> new transboundary institutional arrangements with a focus on water management policies</w:t>
            </w:r>
            <w:r w:rsidR="000D3373" w:rsidRPr="0089284E">
              <w:rPr>
                <w:sz w:val="22"/>
              </w:rPr>
              <w:t>,</w:t>
            </w:r>
            <w:r w:rsidRPr="0089284E">
              <w:rPr>
                <w:sz w:val="22"/>
              </w:rPr>
              <w:t xml:space="preserve"> and a new draft Law on Water.</w:t>
            </w:r>
            <w:r w:rsidR="0007657E" w:rsidRPr="0089284E">
              <w:rPr>
                <w:sz w:val="22"/>
              </w:rPr>
              <w:t xml:space="preserve"> In the national context, water management issues are addressed within the P</w:t>
            </w:r>
            <w:r w:rsidR="00306B03" w:rsidRPr="0089284E">
              <w:rPr>
                <w:sz w:val="22"/>
              </w:rPr>
              <w:t xml:space="preserve">respa National Park Management Committee and Prespa National Park management plan. </w:t>
            </w:r>
            <w:r w:rsidR="00BD2D0B" w:rsidRPr="0089284E">
              <w:rPr>
                <w:sz w:val="22"/>
              </w:rPr>
              <w:t xml:space="preserve">However, at the national level water management in Albania is considered to be a problematic sector with low technical capacity and political priority. Albania is considered a “little Switzerland” in terms of its abundant water resources, but poor water management </w:t>
            </w:r>
            <w:r w:rsidR="00AC6ABF" w:rsidRPr="0089284E">
              <w:rPr>
                <w:sz w:val="22"/>
              </w:rPr>
              <w:t>and infrastructure leads to</w:t>
            </w:r>
            <w:r w:rsidR="00BD2D0B" w:rsidRPr="0089284E">
              <w:rPr>
                <w:sz w:val="22"/>
              </w:rPr>
              <w:t xml:space="preserve"> shortages</w:t>
            </w:r>
            <w:r w:rsidR="00AC6ABF" w:rsidRPr="0089284E">
              <w:rPr>
                <w:sz w:val="22"/>
              </w:rPr>
              <w:t xml:space="preserve"> in various regions. </w:t>
            </w:r>
          </w:p>
        </w:tc>
      </w:tr>
      <w:tr w:rsidR="001657BB" w:rsidRPr="000A3C73" w:rsidTr="00370B8E">
        <w:tc>
          <w:tcPr>
            <w:tcW w:w="558" w:type="dxa"/>
          </w:tcPr>
          <w:p w:rsidR="001657BB" w:rsidRPr="000A3C73" w:rsidRDefault="001657BB" w:rsidP="00370B8E">
            <w:pPr>
              <w:pStyle w:val="BodyText"/>
              <w:numPr>
                <w:ilvl w:val="0"/>
                <w:numId w:val="0"/>
              </w:numPr>
              <w:rPr>
                <w:sz w:val="22"/>
              </w:rPr>
            </w:pPr>
            <w:r w:rsidRPr="000A3C73">
              <w:rPr>
                <w:sz w:val="22"/>
              </w:rPr>
              <w:t>FYR Macedonia</w:t>
            </w:r>
          </w:p>
        </w:tc>
        <w:tc>
          <w:tcPr>
            <w:tcW w:w="9018" w:type="dxa"/>
          </w:tcPr>
          <w:p w:rsidR="00306B03" w:rsidRPr="000A3C73" w:rsidRDefault="00876695" w:rsidP="000D3373">
            <w:pPr>
              <w:widowControl w:val="0"/>
              <w:spacing w:after="60"/>
              <w:jc w:val="both"/>
              <w:rPr>
                <w:rFonts w:ascii="Calibri" w:hAnsi="Calibri" w:cs="Arial"/>
                <w:snapToGrid w:val="0"/>
                <w:sz w:val="22"/>
                <w:szCs w:val="22"/>
              </w:rPr>
            </w:pPr>
            <w:r w:rsidRPr="000A3C73">
              <w:rPr>
                <w:rFonts w:ascii="Calibri" w:hAnsi="Calibri" w:cs="Arial"/>
                <w:snapToGrid w:val="0"/>
                <w:sz w:val="22"/>
                <w:szCs w:val="22"/>
              </w:rPr>
              <w:t xml:space="preserve">The MK national project component organized several meetings at which recommendations for future trans-boundary water management in the Prespa Lakes watershed have been discussed. The meetings </w:t>
            </w:r>
            <w:r w:rsidR="000D3373" w:rsidRPr="000A3C73">
              <w:rPr>
                <w:rFonts w:ascii="Calibri" w:hAnsi="Calibri" w:cs="Arial"/>
                <w:snapToGrid w:val="0"/>
                <w:sz w:val="22"/>
                <w:szCs w:val="22"/>
              </w:rPr>
              <w:t>were</w:t>
            </w:r>
            <w:r w:rsidRPr="000A3C73">
              <w:rPr>
                <w:rFonts w:ascii="Calibri" w:hAnsi="Calibri" w:cs="Arial"/>
                <w:snapToGrid w:val="0"/>
                <w:sz w:val="22"/>
                <w:szCs w:val="22"/>
              </w:rPr>
              <w:t xml:space="preserve"> attended by representatives from the main sectors influencing and/or governing water management: MoEPP, MAFWE, Hydro-meteorological Institute, etc. As a result, consolidated input </w:t>
            </w:r>
            <w:r w:rsidR="000D3373" w:rsidRPr="000A3C73">
              <w:rPr>
                <w:rFonts w:ascii="Calibri" w:hAnsi="Calibri" w:cs="Arial"/>
                <w:snapToGrid w:val="0"/>
                <w:sz w:val="22"/>
                <w:szCs w:val="22"/>
              </w:rPr>
              <w:t>was</w:t>
            </w:r>
            <w:r w:rsidRPr="000A3C73">
              <w:rPr>
                <w:rFonts w:ascii="Calibri" w:hAnsi="Calibri" w:cs="Arial"/>
                <w:snapToGrid w:val="0"/>
                <w:sz w:val="22"/>
                <w:szCs w:val="22"/>
              </w:rPr>
              <w:t xml:space="preserve"> provided to the initiative for establishing the Trans-boundary Water Management Working Group.</w:t>
            </w:r>
          </w:p>
          <w:p w:rsidR="006C3F3A" w:rsidRPr="000A3C73" w:rsidRDefault="00306B03" w:rsidP="000D3373">
            <w:pPr>
              <w:widowControl w:val="0"/>
              <w:spacing w:after="60"/>
              <w:jc w:val="both"/>
              <w:rPr>
                <w:rFonts w:ascii="Calibri" w:hAnsi="Calibri" w:cs="Arial"/>
                <w:snapToGrid w:val="0"/>
                <w:sz w:val="22"/>
                <w:szCs w:val="22"/>
              </w:rPr>
            </w:pPr>
            <w:r w:rsidRPr="000A3C73">
              <w:rPr>
                <w:rFonts w:ascii="Calibri" w:hAnsi="Calibri" w:cs="Arial"/>
                <w:snapToGrid w:val="0"/>
                <w:sz w:val="22"/>
                <w:szCs w:val="22"/>
              </w:rPr>
              <w:t>In the national context, water management is addressed in Macedonian Prespa through the Prespa Watershed Management Plan</w:t>
            </w:r>
            <w:r w:rsidR="00D74B1A" w:rsidRPr="000A3C73">
              <w:rPr>
                <w:rFonts w:ascii="Calibri" w:hAnsi="Calibri" w:cs="Arial"/>
                <w:snapToGrid w:val="0"/>
                <w:sz w:val="22"/>
                <w:szCs w:val="22"/>
              </w:rPr>
              <w:t xml:space="preserve"> (see Output 1.1)</w:t>
            </w:r>
            <w:r w:rsidRPr="000A3C73">
              <w:rPr>
                <w:rFonts w:ascii="Calibri" w:hAnsi="Calibri" w:cs="Arial"/>
                <w:snapToGrid w:val="0"/>
                <w:sz w:val="22"/>
                <w:szCs w:val="22"/>
              </w:rPr>
              <w:t xml:space="preserve">. </w:t>
            </w:r>
            <w:r w:rsidR="00DA1493" w:rsidRPr="000A3C73">
              <w:rPr>
                <w:rFonts w:ascii="Calibri" w:hAnsi="Calibri" w:cs="Arial"/>
                <w:snapToGrid w:val="0"/>
                <w:sz w:val="22"/>
                <w:szCs w:val="22"/>
              </w:rPr>
              <w:t xml:space="preserve">The long process for adoption of the Law on Waters (in 2008, enforced starting January 2011) created some initial delays in the development of the Macedonian Prespa Watershed Management Plan. </w:t>
            </w:r>
          </w:p>
        </w:tc>
      </w:tr>
    </w:tbl>
    <w:p w:rsidR="00582FD5" w:rsidRPr="0089284E" w:rsidRDefault="00582FD5" w:rsidP="001657BB">
      <w:pPr>
        <w:pStyle w:val="BodyText"/>
        <w:numPr>
          <w:ilvl w:val="0"/>
          <w:numId w:val="0"/>
        </w:numPr>
        <w:rPr>
          <w:bCs/>
          <w:i/>
          <w:u w:val="single"/>
        </w:rPr>
      </w:pPr>
    </w:p>
    <w:p w:rsidR="008C3DDF" w:rsidRPr="0089284E" w:rsidRDefault="008C3DDF" w:rsidP="00ED656A">
      <w:pPr>
        <w:pStyle w:val="BodyText"/>
        <w:rPr>
          <w:bCs/>
          <w:i/>
          <w:u w:val="single"/>
        </w:rPr>
      </w:pPr>
      <w:r w:rsidRPr="0089284E">
        <w:rPr>
          <w:b/>
          <w:bCs/>
          <w:i/>
          <w:u w:val="single"/>
        </w:rPr>
        <w:t>Output 4.3</w:t>
      </w:r>
      <w:r w:rsidRPr="0089284E">
        <w:rPr>
          <w:bCs/>
          <w:i/>
          <w:u w:val="single"/>
        </w:rPr>
        <w:t xml:space="preserve"> Communication activities catalyse stakeholder involvement and create new standard for transparency and openness for project implementation </w:t>
      </w:r>
    </w:p>
    <w:tbl>
      <w:tblPr>
        <w:tblStyle w:val="TableGrid"/>
        <w:tblW w:w="0" w:type="auto"/>
        <w:tblLook w:val="04A0"/>
      </w:tblPr>
      <w:tblGrid>
        <w:gridCol w:w="1567"/>
        <w:gridCol w:w="8009"/>
      </w:tblGrid>
      <w:tr w:rsidR="001657BB" w:rsidRPr="000A3C73" w:rsidTr="00370B8E">
        <w:tc>
          <w:tcPr>
            <w:tcW w:w="558" w:type="dxa"/>
          </w:tcPr>
          <w:p w:rsidR="001657BB" w:rsidRPr="00FC657B" w:rsidRDefault="001657BB" w:rsidP="00370B8E">
            <w:pPr>
              <w:pStyle w:val="BodyText"/>
              <w:numPr>
                <w:ilvl w:val="0"/>
                <w:numId w:val="0"/>
              </w:numPr>
              <w:rPr>
                <w:sz w:val="22"/>
              </w:rPr>
            </w:pPr>
            <w:r w:rsidRPr="00FC657B">
              <w:rPr>
                <w:sz w:val="22"/>
              </w:rPr>
              <w:t>Transboundary</w:t>
            </w:r>
          </w:p>
        </w:tc>
        <w:tc>
          <w:tcPr>
            <w:tcW w:w="9018" w:type="dxa"/>
          </w:tcPr>
          <w:p w:rsidR="00D41496" w:rsidRPr="0089284E" w:rsidRDefault="00253E54" w:rsidP="001675FB">
            <w:pPr>
              <w:pStyle w:val="BodyText"/>
              <w:numPr>
                <w:ilvl w:val="0"/>
                <w:numId w:val="0"/>
              </w:numPr>
              <w:rPr>
                <w:sz w:val="22"/>
              </w:rPr>
            </w:pPr>
            <w:r w:rsidRPr="0089284E">
              <w:rPr>
                <w:sz w:val="22"/>
              </w:rPr>
              <w:t>On</w:t>
            </w:r>
            <w:r w:rsidR="00D41496" w:rsidRPr="0089284E">
              <w:rPr>
                <w:sz w:val="22"/>
              </w:rPr>
              <w:t xml:space="preserve"> one hand, the Prespa IEM project has been successful in developing useful public awareness materials and conducting </w:t>
            </w:r>
            <w:r w:rsidR="005D7E9E" w:rsidRPr="0089284E">
              <w:rPr>
                <w:sz w:val="22"/>
              </w:rPr>
              <w:t>community-level awareness-raising activities (with inputs from all three project components)</w:t>
            </w:r>
            <w:r w:rsidR="00913F71" w:rsidRPr="0089284E">
              <w:rPr>
                <w:sz w:val="22"/>
              </w:rPr>
              <w:t>, including at the international level</w:t>
            </w:r>
            <w:r w:rsidR="005D7E9E" w:rsidRPr="0089284E">
              <w:rPr>
                <w:sz w:val="22"/>
              </w:rPr>
              <w:t>. At the same time, a major lacking element of transboundary cooperation in the Prespa IEM project was a single unifying communication channel to engage technical and political decision-makers</w:t>
            </w:r>
            <w:r w:rsidR="00913F71" w:rsidRPr="0089284E">
              <w:rPr>
                <w:sz w:val="22"/>
              </w:rPr>
              <w:t xml:space="preserve"> involved in the project</w:t>
            </w:r>
            <w:r w:rsidR="005D7E9E" w:rsidRPr="0089284E">
              <w:rPr>
                <w:sz w:val="22"/>
              </w:rPr>
              <w:t xml:space="preserve">, </w:t>
            </w:r>
            <w:r w:rsidR="000F47BD" w:rsidRPr="0089284E">
              <w:rPr>
                <w:sz w:val="22"/>
              </w:rPr>
              <w:t xml:space="preserve">build stakeholder buy-in, </w:t>
            </w:r>
            <w:r w:rsidR="005D7E9E" w:rsidRPr="0089284E">
              <w:rPr>
                <w:sz w:val="22"/>
              </w:rPr>
              <w:t xml:space="preserve">and lend ongoing strength and stability to the communal vision of environmental conservation and sustainable development in the Prespa basin. </w:t>
            </w:r>
          </w:p>
          <w:p w:rsidR="00D41496" w:rsidRPr="0089284E" w:rsidRDefault="000F47BD" w:rsidP="001675FB">
            <w:pPr>
              <w:pStyle w:val="BodyText"/>
              <w:numPr>
                <w:ilvl w:val="0"/>
                <w:numId w:val="0"/>
              </w:numPr>
              <w:rPr>
                <w:sz w:val="22"/>
              </w:rPr>
            </w:pPr>
            <w:r w:rsidRPr="0089284E">
              <w:rPr>
                <w:sz w:val="22"/>
              </w:rPr>
              <w:t>Initially the</w:t>
            </w:r>
            <w:r w:rsidR="00D41496" w:rsidRPr="0089284E">
              <w:rPr>
                <w:sz w:val="22"/>
              </w:rPr>
              <w:t xml:space="preserve"> project contracted a communications expert to produce a </w:t>
            </w:r>
            <w:r w:rsidR="001675FB" w:rsidRPr="0089284E">
              <w:rPr>
                <w:sz w:val="22"/>
              </w:rPr>
              <w:t>Communication, Education and Public Awareness Strategy</w:t>
            </w:r>
            <w:r w:rsidR="00D41496" w:rsidRPr="0089284E">
              <w:rPr>
                <w:sz w:val="22"/>
              </w:rPr>
              <w:t>. The draft s</w:t>
            </w:r>
            <w:r w:rsidR="001675FB" w:rsidRPr="0089284E">
              <w:rPr>
                <w:sz w:val="22"/>
              </w:rPr>
              <w:t xml:space="preserve">trategy was presented for comments in August 2008, completed in October 2008, and the final </w:t>
            </w:r>
            <w:r w:rsidR="00D41496" w:rsidRPr="0089284E">
              <w:rPr>
                <w:sz w:val="22"/>
              </w:rPr>
              <w:t xml:space="preserve">detailed and comprehensive </w:t>
            </w:r>
            <w:r w:rsidR="001675FB" w:rsidRPr="0089284E">
              <w:rPr>
                <w:sz w:val="22"/>
              </w:rPr>
              <w:t>version was endorsed officially by the PPCC at the 11</w:t>
            </w:r>
            <w:r w:rsidR="001675FB" w:rsidRPr="0089284E">
              <w:rPr>
                <w:sz w:val="22"/>
                <w:vertAlign w:val="superscript"/>
              </w:rPr>
              <w:t>th</w:t>
            </w:r>
            <w:r w:rsidR="00A57B33" w:rsidRPr="0089284E">
              <w:rPr>
                <w:sz w:val="22"/>
              </w:rPr>
              <w:t xml:space="preserve"> m</w:t>
            </w:r>
            <w:r w:rsidR="001675FB" w:rsidRPr="0089284E">
              <w:rPr>
                <w:sz w:val="22"/>
              </w:rPr>
              <w:t xml:space="preserve">eeting </w:t>
            </w:r>
            <w:r w:rsidR="00691393" w:rsidRPr="0089284E">
              <w:rPr>
                <w:sz w:val="22"/>
              </w:rPr>
              <w:t xml:space="preserve">(November 2008) </w:t>
            </w:r>
            <w:r w:rsidR="001675FB" w:rsidRPr="0089284E">
              <w:rPr>
                <w:sz w:val="22"/>
              </w:rPr>
              <w:t xml:space="preserve">along with the proposed detailed activities and budget </w:t>
            </w:r>
            <w:r w:rsidR="00A57B33" w:rsidRPr="0089284E">
              <w:rPr>
                <w:sz w:val="22"/>
              </w:rPr>
              <w:t xml:space="preserve">needed for its implementation. </w:t>
            </w:r>
            <w:r w:rsidR="00691393" w:rsidRPr="0089284E">
              <w:rPr>
                <w:sz w:val="22"/>
              </w:rPr>
              <w:t xml:space="preserve">The final communication plan was published in March 2009. </w:t>
            </w:r>
            <w:r w:rsidR="00D41496" w:rsidRPr="0089284E">
              <w:rPr>
                <w:sz w:val="22"/>
              </w:rPr>
              <w:t xml:space="preserve">The communications strategy was high quality, but was more comprehensive and detailed than proved necessary. The strategy may be a useful reference for </w:t>
            </w:r>
            <w:r w:rsidR="00AD28ED" w:rsidRPr="0089284E">
              <w:rPr>
                <w:sz w:val="22"/>
              </w:rPr>
              <w:t>on-going</w:t>
            </w:r>
            <w:r w:rsidR="00D41496" w:rsidRPr="0089284E">
              <w:rPr>
                <w:sz w:val="22"/>
              </w:rPr>
              <w:t xml:space="preserve"> Prespa-related communications in all three countries in the region, but the project’s communications successes have come more directly as a result of the engagement of a part-time communications specialist by the UNDP Macedonia Country Office, who has taken advantage of </w:t>
            </w:r>
            <w:r w:rsidR="00AD28ED" w:rsidRPr="0089284E">
              <w:rPr>
                <w:sz w:val="22"/>
              </w:rPr>
              <w:t xml:space="preserve">various ad-hoc opportunities to promote the project activities and results, including securing a story on Prespa lakes in the regional edition of National Geographic magazine. </w:t>
            </w:r>
            <w:r w:rsidR="008F3BE2" w:rsidRPr="0089284E">
              <w:rPr>
                <w:sz w:val="22"/>
              </w:rPr>
              <w:t xml:space="preserve">For example, from October 2009 – June 2010 there were more than 100 national and local news reports on the project and its activities. </w:t>
            </w:r>
            <w:r w:rsidR="00CB48DD" w:rsidRPr="0089284E">
              <w:rPr>
                <w:sz w:val="22"/>
              </w:rPr>
              <w:t xml:space="preserve">The project was also recently highlighted in a UNDP publication from the region entitled “Empowering Live, Building </w:t>
            </w:r>
            <w:r w:rsidR="007465EB" w:rsidRPr="0089284E">
              <w:rPr>
                <w:sz w:val="22"/>
              </w:rPr>
              <w:t>Resilience</w:t>
            </w:r>
            <w:r w:rsidR="00CB48DD" w:rsidRPr="0089284E">
              <w:rPr>
                <w:sz w:val="22"/>
              </w:rPr>
              <w:t>”.</w:t>
            </w:r>
            <w:r w:rsidR="00CB48DD" w:rsidRPr="0089284E">
              <w:rPr>
                <w:rStyle w:val="FootnoteReference"/>
              </w:rPr>
              <w:footnoteReference w:id="23"/>
            </w:r>
            <w:r w:rsidR="00CB48DD" w:rsidRPr="0089284E">
              <w:rPr>
                <w:sz w:val="22"/>
              </w:rPr>
              <w:t xml:space="preserve"> The project has also produced a number of </w:t>
            </w:r>
            <w:r w:rsidR="005E1241" w:rsidRPr="0089284E">
              <w:rPr>
                <w:sz w:val="22"/>
              </w:rPr>
              <w:t>easily digestible brochures and publications covering the thematic areas of agriculture, biodiversity, fisheries, forests, governance, tourism, and water. A high quality book, the Fish of Presp</w:t>
            </w:r>
            <w:r w:rsidR="00BD327A" w:rsidRPr="0089284E">
              <w:rPr>
                <w:sz w:val="22"/>
              </w:rPr>
              <w:t>a, was also produced in a quadri</w:t>
            </w:r>
            <w:r w:rsidR="005E1241" w:rsidRPr="0089284E">
              <w:rPr>
                <w:sz w:val="22"/>
              </w:rPr>
              <w:t>lingual publication (English, Albanian, Greek, Macedonian), the first such regional publication describing all of the fish species in Prespa Lakes</w:t>
            </w:r>
            <w:r w:rsidR="004A3A32" w:rsidRPr="0089284E">
              <w:rPr>
                <w:sz w:val="22"/>
              </w:rPr>
              <w:t xml:space="preserve"> (see </w:t>
            </w:r>
            <w:r w:rsidR="008269C6" w:rsidRPr="0089284E">
              <w:rPr>
                <w:sz w:val="22"/>
              </w:rPr>
              <w:fldChar w:fldCharType="begin"/>
            </w:r>
            <w:r w:rsidR="004A3A32" w:rsidRPr="0089284E">
              <w:rPr>
                <w:sz w:val="22"/>
              </w:rPr>
              <w:instrText xml:space="preserve"> REF _Ref209603636 \h </w:instrText>
            </w:r>
            <w:r w:rsidR="008269C6" w:rsidRPr="0089284E">
              <w:rPr>
                <w:sz w:val="22"/>
              </w:rPr>
            </w:r>
            <w:r w:rsidR="008269C6" w:rsidRPr="0089284E">
              <w:rPr>
                <w:sz w:val="22"/>
              </w:rPr>
              <w:fldChar w:fldCharType="separate"/>
            </w:r>
            <w:r w:rsidR="006E18A7" w:rsidRPr="000A3C73">
              <w:t xml:space="preserve">Figure </w:t>
            </w:r>
            <w:r w:rsidR="006E18A7" w:rsidRPr="000A3C73">
              <w:rPr>
                <w:noProof/>
              </w:rPr>
              <w:t>13</w:t>
            </w:r>
            <w:r w:rsidR="008269C6" w:rsidRPr="0089284E">
              <w:rPr>
                <w:sz w:val="22"/>
              </w:rPr>
              <w:fldChar w:fldCharType="end"/>
            </w:r>
            <w:r w:rsidR="004A3A32" w:rsidRPr="0089284E">
              <w:rPr>
                <w:sz w:val="22"/>
              </w:rPr>
              <w:t>)</w:t>
            </w:r>
            <w:r w:rsidR="005E1241" w:rsidRPr="0089284E">
              <w:rPr>
                <w:sz w:val="22"/>
              </w:rPr>
              <w:t xml:space="preserve">. </w:t>
            </w:r>
            <w:r w:rsidR="003A3B6F" w:rsidRPr="0089284E">
              <w:rPr>
                <w:sz w:val="22"/>
              </w:rPr>
              <w:t xml:space="preserve">Other communication activities included, for example, the </w:t>
            </w:r>
            <w:r w:rsidR="00D163CA" w:rsidRPr="0089284E">
              <w:rPr>
                <w:sz w:val="22"/>
              </w:rPr>
              <w:t>organization</w:t>
            </w:r>
            <w:r w:rsidR="003A3B6F" w:rsidRPr="0089284E">
              <w:rPr>
                <w:sz w:val="22"/>
              </w:rPr>
              <w:t xml:space="preserve"> of the celebration event for World Wetlands Day (2</w:t>
            </w:r>
            <w:r w:rsidR="003A3B6F" w:rsidRPr="0089284E">
              <w:rPr>
                <w:sz w:val="22"/>
                <w:vertAlign w:val="superscript"/>
              </w:rPr>
              <w:t>nd</w:t>
            </w:r>
            <w:r w:rsidR="003A3B6F" w:rsidRPr="0089284E">
              <w:rPr>
                <w:sz w:val="22"/>
              </w:rPr>
              <w:t xml:space="preserve"> of February 2009) with a children’s painting competition in each country </w:t>
            </w:r>
            <w:r w:rsidR="00D163CA" w:rsidRPr="0089284E">
              <w:rPr>
                <w:sz w:val="22"/>
              </w:rPr>
              <w:t>organized</w:t>
            </w:r>
            <w:r w:rsidR="003A3B6F" w:rsidRPr="0089284E">
              <w:rPr>
                <w:sz w:val="22"/>
              </w:rPr>
              <w:t xml:space="preserve"> by local NGOs.</w:t>
            </w:r>
          </w:p>
          <w:p w:rsidR="001657BB" w:rsidRPr="0089284E" w:rsidRDefault="00317E86" w:rsidP="00AE5B6C">
            <w:pPr>
              <w:pStyle w:val="BodyText"/>
              <w:numPr>
                <w:ilvl w:val="0"/>
                <w:numId w:val="0"/>
              </w:numPr>
              <w:rPr>
                <w:sz w:val="22"/>
              </w:rPr>
            </w:pPr>
            <w:r w:rsidRPr="0089284E">
              <w:rPr>
                <w:sz w:val="22"/>
              </w:rPr>
              <w:t xml:space="preserve">The </w:t>
            </w:r>
            <w:r w:rsidR="00AE5B6C" w:rsidRPr="0089284E">
              <w:rPr>
                <w:sz w:val="22"/>
              </w:rPr>
              <w:t xml:space="preserve">most significant transboundary communications shortcoming </w:t>
            </w:r>
            <w:r w:rsidR="008F3BE2" w:rsidRPr="0089284E">
              <w:rPr>
                <w:sz w:val="22"/>
              </w:rPr>
              <w:t xml:space="preserve">was related to internal communication, with the </w:t>
            </w:r>
            <w:r w:rsidR="00AE5B6C" w:rsidRPr="0089284E">
              <w:rPr>
                <w:sz w:val="22"/>
              </w:rPr>
              <w:t>lack of a unifying project website to serve as a focal point to bring together all stakeholders, provide updates on activities, and to serve as a repository for project outputs. In fact, the project sought to leverage the IW</w:t>
            </w:r>
            <w:r w:rsidR="000D6122">
              <w:rPr>
                <w:sz w:val="22"/>
              </w:rPr>
              <w:t>:</w:t>
            </w:r>
            <w:r w:rsidR="00AE5B6C" w:rsidRPr="0089284E">
              <w:rPr>
                <w:sz w:val="22"/>
              </w:rPr>
              <w:t>LEARN website infrastructure for these purposes (</w:t>
            </w:r>
            <w:hyperlink r:id="rId35" w:history="1">
              <w:r w:rsidR="00AE5B6C" w:rsidRPr="0089284E">
                <w:rPr>
                  <w:rStyle w:val="Hyperlink"/>
                  <w:sz w:val="22"/>
                </w:rPr>
                <w:t>http://prespa.iwlearn.org</w:t>
              </w:r>
            </w:hyperlink>
            <w:r w:rsidR="00AE5B6C" w:rsidRPr="0089284E">
              <w:rPr>
                <w:sz w:val="22"/>
              </w:rPr>
              <w:t xml:space="preserve">), as many International Waters projects do, but it does not appear that this resource was effectively used by project stakeholders. The project did actually launch an initial stand-alone website in 2008 - </w:t>
            </w:r>
            <w:hyperlink r:id="rId36" w:history="1">
              <w:r w:rsidR="00AE5B6C" w:rsidRPr="0089284E">
                <w:rPr>
                  <w:rStyle w:val="Hyperlink"/>
                  <w:sz w:val="22"/>
                </w:rPr>
                <w:t>www.prespapark.org</w:t>
              </w:r>
            </w:hyperlink>
            <w:r w:rsidR="00AE5B6C" w:rsidRPr="0089284E">
              <w:rPr>
                <w:sz w:val="22"/>
              </w:rPr>
              <w:t xml:space="preserve"> - to act as the official PPCC/Prespa Park website, but this was later abandoned is not currently operational. </w:t>
            </w:r>
            <w:r w:rsidR="00FF0FAE" w:rsidRPr="0089284E">
              <w:rPr>
                <w:sz w:val="22"/>
              </w:rPr>
              <w:t>Some projects are hesitant to establish project specific websites due to concerns about sustainability post-project, but in the case of regional projects involving stake</w:t>
            </w:r>
            <w:r w:rsidR="00E81AF7" w:rsidRPr="0089284E">
              <w:rPr>
                <w:sz w:val="22"/>
              </w:rPr>
              <w:t>holders from multiple countries and covering a wide range of activities, such websites can be extremely helpful in forging a unifying communication channel, purpose, and identity for the common objective of all involved</w:t>
            </w:r>
            <w:r w:rsidR="00057C56" w:rsidRPr="0089284E">
              <w:rPr>
                <w:sz w:val="22"/>
              </w:rPr>
              <w:t xml:space="preserve"> – one example of this was in the UNEP-GEF international waters project targeting the South China Sea</w:t>
            </w:r>
            <w:r w:rsidR="00E81AF7" w:rsidRPr="0089284E">
              <w:rPr>
                <w:sz w:val="22"/>
              </w:rPr>
              <w:t>.</w:t>
            </w:r>
            <w:r w:rsidR="0020307A" w:rsidRPr="0089284E">
              <w:rPr>
                <w:rStyle w:val="FootnoteReference"/>
              </w:rPr>
              <w:footnoteReference w:id="24"/>
            </w:r>
            <w:r w:rsidR="00B76280" w:rsidRPr="0089284E">
              <w:rPr>
                <w:sz w:val="22"/>
              </w:rPr>
              <w:t>Such a mechanism</w:t>
            </w:r>
            <w:r w:rsidR="00E81AF7" w:rsidRPr="0089284E">
              <w:rPr>
                <w:sz w:val="22"/>
              </w:rPr>
              <w:t xml:space="preserve"> helps to build trust and buy-in amongst stakeholders, elements that do not yet appear to be fully in place with respect to transboundary cooperation for integrated ecosystem management of the Prespa basin. </w:t>
            </w:r>
          </w:p>
          <w:p w:rsidR="003A3B6F" w:rsidRPr="0089284E" w:rsidRDefault="003A3B6F" w:rsidP="003A3B6F">
            <w:pPr>
              <w:pStyle w:val="BodyText"/>
              <w:numPr>
                <w:ilvl w:val="0"/>
                <w:numId w:val="0"/>
              </w:numPr>
              <w:rPr>
                <w:sz w:val="22"/>
              </w:rPr>
            </w:pPr>
            <w:r w:rsidRPr="0089284E">
              <w:rPr>
                <w:sz w:val="22"/>
              </w:rPr>
              <w:t xml:space="preserve">The fact that the Prespa region includes three different languages also presented consistent challenges in effective transboundary communication, although the project team and stakeholders were regularly cognizant of this issue. </w:t>
            </w:r>
          </w:p>
        </w:tc>
      </w:tr>
      <w:tr w:rsidR="001657BB" w:rsidRPr="000A3C73" w:rsidTr="00370B8E">
        <w:tc>
          <w:tcPr>
            <w:tcW w:w="558" w:type="dxa"/>
          </w:tcPr>
          <w:p w:rsidR="001657BB" w:rsidRPr="000A3C73" w:rsidRDefault="001657BB" w:rsidP="00370B8E">
            <w:pPr>
              <w:pStyle w:val="BodyText"/>
              <w:numPr>
                <w:ilvl w:val="0"/>
                <w:numId w:val="0"/>
              </w:numPr>
              <w:rPr>
                <w:sz w:val="22"/>
              </w:rPr>
            </w:pPr>
            <w:r w:rsidRPr="000A3C73">
              <w:rPr>
                <w:sz w:val="22"/>
              </w:rPr>
              <w:t>Albania</w:t>
            </w:r>
          </w:p>
        </w:tc>
        <w:tc>
          <w:tcPr>
            <w:tcW w:w="9018" w:type="dxa"/>
          </w:tcPr>
          <w:p w:rsidR="001657BB" w:rsidRPr="000A3C73" w:rsidRDefault="00A16F64" w:rsidP="009D314D">
            <w:pPr>
              <w:pStyle w:val="BodyText"/>
              <w:numPr>
                <w:ilvl w:val="0"/>
                <w:numId w:val="0"/>
              </w:numPr>
              <w:rPr>
                <w:sz w:val="22"/>
              </w:rPr>
            </w:pPr>
            <w:r w:rsidRPr="000A3C73">
              <w:rPr>
                <w:sz w:val="22"/>
              </w:rPr>
              <w:t>The p</w:t>
            </w:r>
            <w:r w:rsidR="001B5488" w:rsidRPr="000A3C73">
              <w:rPr>
                <w:sz w:val="22"/>
              </w:rPr>
              <w:t>roject contributed to strengthen</w:t>
            </w:r>
            <w:r w:rsidRPr="000A3C73">
              <w:rPr>
                <w:sz w:val="22"/>
              </w:rPr>
              <w:t>ing</w:t>
            </w:r>
            <w:r w:rsidR="001B5488" w:rsidRPr="000A3C73">
              <w:rPr>
                <w:sz w:val="22"/>
              </w:rPr>
              <w:t xml:space="preserve"> collaboration among PPCC members: it has developed and maintained the websites for the two targeted communes (Liqenas and Proger); </w:t>
            </w:r>
            <w:r w:rsidR="00B00D47" w:rsidRPr="000A3C73">
              <w:rPr>
                <w:sz w:val="22"/>
              </w:rPr>
              <w:t>organized</w:t>
            </w:r>
            <w:r w:rsidR="001B5488" w:rsidRPr="000A3C73">
              <w:rPr>
                <w:sz w:val="22"/>
              </w:rPr>
              <w:t xml:space="preserve"> weekly meetings with local NGOs to exchange experiences and practices, and a part-time local expert </w:t>
            </w:r>
            <w:r w:rsidRPr="000A3C73">
              <w:rPr>
                <w:sz w:val="22"/>
              </w:rPr>
              <w:t xml:space="preserve">was contracted </w:t>
            </w:r>
            <w:r w:rsidR="001B5488" w:rsidRPr="000A3C73">
              <w:rPr>
                <w:sz w:val="22"/>
              </w:rPr>
              <w:t xml:space="preserve">to </w:t>
            </w:r>
            <w:r w:rsidRPr="000A3C73">
              <w:rPr>
                <w:sz w:val="22"/>
              </w:rPr>
              <w:t xml:space="preserve">implement </w:t>
            </w:r>
            <w:r w:rsidR="009D314D">
              <w:rPr>
                <w:sz w:val="22"/>
              </w:rPr>
              <w:t>communication, education, and public awareness</w:t>
            </w:r>
            <w:r w:rsidR="009D314D" w:rsidRPr="000A3C73">
              <w:rPr>
                <w:sz w:val="22"/>
              </w:rPr>
              <w:t xml:space="preserve"> </w:t>
            </w:r>
            <w:r w:rsidRPr="000A3C73">
              <w:rPr>
                <w:sz w:val="22"/>
              </w:rPr>
              <w:t>activities. The p</w:t>
            </w:r>
            <w:r w:rsidR="001B5488" w:rsidRPr="000A3C73">
              <w:rPr>
                <w:sz w:val="22"/>
              </w:rPr>
              <w:t xml:space="preserve">roject </w:t>
            </w:r>
            <w:r w:rsidRPr="000A3C73">
              <w:rPr>
                <w:sz w:val="22"/>
              </w:rPr>
              <w:t>also trained</w:t>
            </w:r>
            <w:r w:rsidR="001B5488" w:rsidRPr="000A3C73">
              <w:rPr>
                <w:sz w:val="22"/>
              </w:rPr>
              <w:t xml:space="preserve"> eight teachers in the use of environmental information and education tools in coope</w:t>
            </w:r>
            <w:r w:rsidR="00B00D47" w:rsidRPr="000A3C73">
              <w:rPr>
                <w:sz w:val="22"/>
              </w:rPr>
              <w:t>ration with Green Pack program</w:t>
            </w:r>
            <w:r w:rsidR="001B5488" w:rsidRPr="000A3C73">
              <w:rPr>
                <w:sz w:val="22"/>
              </w:rPr>
              <w:t xml:space="preserve"> of t</w:t>
            </w:r>
            <w:r w:rsidRPr="000A3C73">
              <w:rPr>
                <w:sz w:val="22"/>
              </w:rPr>
              <w:t xml:space="preserve">he </w:t>
            </w:r>
            <w:r w:rsidR="009D314D">
              <w:rPr>
                <w:sz w:val="22"/>
              </w:rPr>
              <w:t>REC</w:t>
            </w:r>
            <w:r w:rsidR="001B5488" w:rsidRPr="000A3C73">
              <w:rPr>
                <w:sz w:val="22"/>
              </w:rPr>
              <w:t xml:space="preserve">. </w:t>
            </w:r>
            <w:r w:rsidRPr="000A3C73">
              <w:rPr>
                <w:sz w:val="22"/>
              </w:rPr>
              <w:t xml:space="preserve">The small grants disbursed through the project also supported strengthening of education and awareness of integrated ecosystem management issues. </w:t>
            </w:r>
            <w:r w:rsidR="00153253" w:rsidRPr="000A3C73">
              <w:rPr>
                <w:sz w:val="22"/>
              </w:rPr>
              <w:t>It is planned that the newly renovated headquarters building of Prespa National Park (completed with funding from KfW) will serve as a community information and education center in Albanian Prespa</w:t>
            </w:r>
            <w:r w:rsidR="006B451E" w:rsidRPr="000A3C73">
              <w:rPr>
                <w:sz w:val="22"/>
              </w:rPr>
              <w:t xml:space="preserve"> (see </w:t>
            </w:r>
            <w:r w:rsidR="008269C6" w:rsidRPr="00206E7A">
              <w:rPr>
                <w:sz w:val="22"/>
                <w:szCs w:val="22"/>
              </w:rPr>
              <w:fldChar w:fldCharType="begin"/>
            </w:r>
            <w:r w:rsidR="006B451E" w:rsidRPr="000A3C73">
              <w:rPr>
                <w:sz w:val="22"/>
                <w:szCs w:val="22"/>
              </w:rPr>
              <w:instrText xml:space="preserve"> REF _Ref211349706 \h </w:instrText>
            </w:r>
            <w:r w:rsidR="008269C6" w:rsidRPr="00206E7A">
              <w:rPr>
                <w:sz w:val="22"/>
                <w:szCs w:val="22"/>
              </w:rPr>
            </w:r>
            <w:r w:rsidR="008269C6" w:rsidRPr="00206E7A">
              <w:rPr>
                <w:sz w:val="22"/>
                <w:szCs w:val="22"/>
              </w:rPr>
              <w:fldChar w:fldCharType="separate"/>
            </w:r>
            <w:r w:rsidR="006E18A7" w:rsidRPr="000A3C73">
              <w:t xml:space="preserve">Photo </w:t>
            </w:r>
            <w:r w:rsidR="006E18A7" w:rsidRPr="000A3C73">
              <w:rPr>
                <w:noProof/>
              </w:rPr>
              <w:t>3</w:t>
            </w:r>
            <w:r w:rsidR="008269C6" w:rsidRPr="00206E7A">
              <w:rPr>
                <w:sz w:val="22"/>
                <w:szCs w:val="22"/>
              </w:rPr>
              <w:fldChar w:fldCharType="end"/>
            </w:r>
            <w:r w:rsidR="006B451E" w:rsidRPr="000A3C73">
              <w:rPr>
                <w:sz w:val="22"/>
                <w:szCs w:val="22"/>
              </w:rPr>
              <w:t>)</w:t>
            </w:r>
            <w:r w:rsidR="00153253" w:rsidRPr="000A3C73">
              <w:rPr>
                <w:sz w:val="22"/>
                <w:szCs w:val="22"/>
              </w:rPr>
              <w:t>.</w:t>
            </w:r>
          </w:p>
        </w:tc>
      </w:tr>
      <w:tr w:rsidR="001657BB" w:rsidRPr="000A3C73" w:rsidTr="00370B8E">
        <w:tc>
          <w:tcPr>
            <w:tcW w:w="558" w:type="dxa"/>
          </w:tcPr>
          <w:p w:rsidR="001657BB" w:rsidRPr="000A3C73" w:rsidRDefault="001657BB" w:rsidP="00370B8E">
            <w:pPr>
              <w:pStyle w:val="BodyText"/>
              <w:numPr>
                <w:ilvl w:val="0"/>
                <w:numId w:val="0"/>
              </w:numPr>
              <w:rPr>
                <w:sz w:val="22"/>
              </w:rPr>
            </w:pPr>
            <w:r w:rsidRPr="000A3C73">
              <w:rPr>
                <w:sz w:val="22"/>
              </w:rPr>
              <w:t>FYR Macedonia</w:t>
            </w:r>
          </w:p>
        </w:tc>
        <w:tc>
          <w:tcPr>
            <w:tcW w:w="9018" w:type="dxa"/>
          </w:tcPr>
          <w:p w:rsidR="001657BB" w:rsidRPr="000A3C73" w:rsidRDefault="00356C28" w:rsidP="006B451E">
            <w:pPr>
              <w:pStyle w:val="BodyText"/>
              <w:numPr>
                <w:ilvl w:val="0"/>
                <w:numId w:val="0"/>
              </w:numPr>
              <w:rPr>
                <w:sz w:val="22"/>
              </w:rPr>
            </w:pPr>
            <w:r w:rsidRPr="000A3C73">
              <w:rPr>
                <w:sz w:val="22"/>
              </w:rPr>
              <w:t xml:space="preserve">Although this was designed primarily as an output under the transboundary component, the Macedonian national component also conducted activities that supported this output. Numerous public education and outreach activities were supported, but perhaps most significantly for the sustainability of the project results is the establishment of the </w:t>
            </w:r>
            <w:r w:rsidR="002253E0" w:rsidRPr="000A3C73">
              <w:rPr>
                <w:sz w:val="22"/>
              </w:rPr>
              <w:t>“</w:t>
            </w:r>
            <w:r w:rsidRPr="000A3C73">
              <w:rPr>
                <w:sz w:val="22"/>
              </w:rPr>
              <w:t>Natural Capital Resource Center</w:t>
            </w:r>
            <w:r w:rsidR="002253E0" w:rsidRPr="000A3C73">
              <w:rPr>
                <w:sz w:val="22"/>
              </w:rPr>
              <w:t>”</w:t>
            </w:r>
            <w:r w:rsidRPr="000A3C73">
              <w:rPr>
                <w:sz w:val="22"/>
              </w:rPr>
              <w:t xml:space="preserve"> in the town of Resen. This is a renovated space in building provided by the municipality that ser</w:t>
            </w:r>
            <w:r w:rsidR="009B2F07" w:rsidRPr="000A3C73">
              <w:rPr>
                <w:sz w:val="22"/>
              </w:rPr>
              <w:t>ves as an information dissemination point for materials related to integrated ecosystem management in the Prespa basin, but also as a general community resource center supporting sustainable development</w:t>
            </w:r>
            <w:r w:rsidR="006B451E" w:rsidRPr="000A3C73">
              <w:rPr>
                <w:sz w:val="22"/>
              </w:rPr>
              <w:t xml:space="preserve"> (see </w:t>
            </w:r>
            <w:r w:rsidR="008269C6" w:rsidRPr="00206E7A">
              <w:rPr>
                <w:sz w:val="22"/>
                <w:szCs w:val="22"/>
              </w:rPr>
              <w:fldChar w:fldCharType="begin"/>
            </w:r>
            <w:r w:rsidR="006B451E" w:rsidRPr="000A3C73">
              <w:rPr>
                <w:sz w:val="22"/>
                <w:szCs w:val="22"/>
              </w:rPr>
              <w:instrText xml:space="preserve"> REF _Ref211349697 \h </w:instrText>
            </w:r>
            <w:r w:rsidR="008269C6" w:rsidRPr="00206E7A">
              <w:rPr>
                <w:sz w:val="22"/>
                <w:szCs w:val="22"/>
              </w:rPr>
            </w:r>
            <w:r w:rsidR="008269C6" w:rsidRPr="00206E7A">
              <w:rPr>
                <w:sz w:val="22"/>
                <w:szCs w:val="22"/>
              </w:rPr>
              <w:fldChar w:fldCharType="separate"/>
            </w:r>
            <w:r w:rsidR="006E18A7" w:rsidRPr="000A3C73">
              <w:t xml:space="preserve">Photo </w:t>
            </w:r>
            <w:r w:rsidR="006E18A7" w:rsidRPr="000A3C73">
              <w:rPr>
                <w:noProof/>
              </w:rPr>
              <w:t>4</w:t>
            </w:r>
            <w:r w:rsidR="008269C6" w:rsidRPr="00206E7A">
              <w:rPr>
                <w:sz w:val="22"/>
                <w:szCs w:val="22"/>
              </w:rPr>
              <w:fldChar w:fldCharType="end"/>
            </w:r>
            <w:r w:rsidR="006B451E" w:rsidRPr="000A3C73">
              <w:rPr>
                <w:sz w:val="22"/>
                <w:szCs w:val="22"/>
              </w:rPr>
              <w:t>)</w:t>
            </w:r>
            <w:r w:rsidR="009B2F07" w:rsidRPr="000A3C73">
              <w:rPr>
                <w:sz w:val="22"/>
                <w:szCs w:val="22"/>
              </w:rPr>
              <w:t>.</w:t>
            </w:r>
          </w:p>
        </w:tc>
      </w:tr>
    </w:tbl>
    <w:p w:rsidR="00582FD5" w:rsidRPr="0089284E" w:rsidRDefault="00582FD5" w:rsidP="001657BB">
      <w:pPr>
        <w:pStyle w:val="BodyText"/>
        <w:numPr>
          <w:ilvl w:val="0"/>
          <w:numId w:val="0"/>
        </w:numPr>
        <w:rPr>
          <w:bCs/>
          <w:i/>
          <w:u w:val="single"/>
        </w:rPr>
      </w:pPr>
    </w:p>
    <w:p w:rsidR="005E1241" w:rsidRPr="000A3C73" w:rsidRDefault="005E1241" w:rsidP="005E1241">
      <w:pPr>
        <w:pStyle w:val="Caption"/>
        <w:jc w:val="both"/>
      </w:pPr>
      <w:bookmarkStart w:id="119" w:name="_Ref209603636"/>
      <w:r w:rsidRPr="00FC657B">
        <w:t xml:space="preserve">Figure </w:t>
      </w:r>
      <w:r w:rsidR="008269C6" w:rsidRPr="00F92C45">
        <w:fldChar w:fldCharType="begin"/>
      </w:r>
      <w:r w:rsidR="00CF23E9" w:rsidRPr="000A3C73">
        <w:instrText xml:space="preserve"> SEQ Figure \* ARABIC </w:instrText>
      </w:r>
      <w:r w:rsidR="008269C6" w:rsidRPr="00F92C45">
        <w:fldChar w:fldCharType="separate"/>
      </w:r>
      <w:r w:rsidR="006E18A7" w:rsidRPr="000A3C73">
        <w:rPr>
          <w:noProof/>
        </w:rPr>
        <w:t>13</w:t>
      </w:r>
      <w:r w:rsidR="008269C6" w:rsidRPr="00F92C45">
        <w:rPr>
          <w:noProof/>
        </w:rPr>
        <w:fldChar w:fldCharType="end"/>
      </w:r>
      <w:bookmarkEnd w:id="119"/>
      <w:r w:rsidR="004E1467" w:rsidRPr="000A3C73">
        <w:t xml:space="preserve"> Excerpt from the quadri</w:t>
      </w:r>
      <w:r w:rsidRPr="000A3C73">
        <w:t>lingual book "Fish of Prespa”</w:t>
      </w:r>
    </w:p>
    <w:p w:rsidR="005E1241" w:rsidRPr="0089284E" w:rsidRDefault="005E1241" w:rsidP="001657BB">
      <w:pPr>
        <w:pStyle w:val="BodyText"/>
        <w:numPr>
          <w:ilvl w:val="0"/>
          <w:numId w:val="0"/>
        </w:numPr>
        <w:rPr>
          <w:bCs/>
          <w:i/>
          <w:u w:val="single"/>
        </w:rPr>
      </w:pPr>
      <w:r w:rsidRPr="00F92C45">
        <w:rPr>
          <w:noProof/>
        </w:rPr>
        <w:drawing>
          <wp:inline distT="0" distB="0" distL="0" distR="0">
            <wp:extent cx="5943600" cy="3397250"/>
            <wp:effectExtent l="25400" t="25400" r="25400" b="3175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943600" cy="3397250"/>
                    </a:xfrm>
                    <a:prstGeom prst="rect">
                      <a:avLst/>
                    </a:prstGeom>
                    <a:noFill/>
                    <a:ln w="19050" cmpd="sng">
                      <a:solidFill>
                        <a:schemeClr val="tx1"/>
                      </a:solidFill>
                    </a:ln>
                  </pic:spPr>
                </pic:pic>
              </a:graphicData>
            </a:graphic>
          </wp:inline>
        </w:drawing>
      </w:r>
    </w:p>
    <w:p w:rsidR="005E1241" w:rsidRPr="0089284E" w:rsidRDefault="005E1241" w:rsidP="001657BB">
      <w:pPr>
        <w:pStyle w:val="BodyText"/>
        <w:numPr>
          <w:ilvl w:val="0"/>
          <w:numId w:val="0"/>
        </w:numPr>
        <w:rPr>
          <w:bCs/>
          <w:i/>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69"/>
        <w:gridCol w:w="4807"/>
      </w:tblGrid>
      <w:tr w:rsidR="007F1A42" w:rsidRPr="000A3C73" w:rsidTr="007F1A42">
        <w:tc>
          <w:tcPr>
            <w:tcW w:w="4837" w:type="dxa"/>
          </w:tcPr>
          <w:p w:rsidR="007F1A42" w:rsidRPr="000A3C73" w:rsidRDefault="007F1A42" w:rsidP="007F1A42">
            <w:pPr>
              <w:pStyle w:val="Caption"/>
              <w:jc w:val="both"/>
            </w:pPr>
            <w:bookmarkStart w:id="120" w:name="_Ref211349706"/>
            <w:r w:rsidRPr="00FC657B">
              <w:t xml:space="preserve">Photo </w:t>
            </w:r>
            <w:r w:rsidR="008269C6" w:rsidRPr="00F92C45">
              <w:fldChar w:fldCharType="begin"/>
            </w:r>
            <w:r w:rsidR="00CF23E9" w:rsidRPr="000A3C73">
              <w:instrText xml:space="preserve"> SEQ Photo \* ARABIC </w:instrText>
            </w:r>
            <w:r w:rsidR="008269C6" w:rsidRPr="00F92C45">
              <w:fldChar w:fldCharType="separate"/>
            </w:r>
            <w:r w:rsidR="006E18A7" w:rsidRPr="000A3C73">
              <w:rPr>
                <w:noProof/>
              </w:rPr>
              <w:t>3</w:t>
            </w:r>
            <w:r w:rsidR="008269C6" w:rsidRPr="00F92C45">
              <w:rPr>
                <w:noProof/>
              </w:rPr>
              <w:fldChar w:fldCharType="end"/>
            </w:r>
            <w:bookmarkEnd w:id="120"/>
            <w:r w:rsidRPr="000A3C73">
              <w:t xml:space="preserve"> Prespa National Park (Albania) Headquarters</w:t>
            </w:r>
          </w:p>
          <w:p w:rsidR="007F1A42" w:rsidRPr="0089284E" w:rsidRDefault="007F1A42" w:rsidP="001657BB">
            <w:pPr>
              <w:pStyle w:val="BodyText"/>
              <w:numPr>
                <w:ilvl w:val="0"/>
                <w:numId w:val="0"/>
              </w:numPr>
              <w:rPr>
                <w:bCs/>
              </w:rPr>
            </w:pPr>
            <w:r w:rsidRPr="00F92C45">
              <w:rPr>
                <w:bCs/>
                <w:noProof/>
              </w:rPr>
              <w:drawing>
                <wp:inline distT="0" distB="0" distL="0" distR="0">
                  <wp:extent cx="2928736" cy="1960880"/>
                  <wp:effectExtent l="25400" t="25400" r="17780" b="203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422_ALprespaPAhq.jpg"/>
                          <pic:cNvPicPr/>
                        </pic:nvPicPr>
                        <pic:blipFill>
                          <a:blip r:embed="rId3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2929961" cy="1961700"/>
                          </a:xfrm>
                          <a:prstGeom prst="rect">
                            <a:avLst/>
                          </a:prstGeom>
                          <a:ln w="12700" cmpd="sng">
                            <a:solidFill>
                              <a:schemeClr val="tx1"/>
                            </a:solidFill>
                          </a:ln>
                        </pic:spPr>
                      </pic:pic>
                    </a:graphicData>
                  </a:graphic>
                </wp:inline>
              </w:drawing>
            </w:r>
          </w:p>
        </w:tc>
        <w:tc>
          <w:tcPr>
            <w:tcW w:w="4739" w:type="dxa"/>
          </w:tcPr>
          <w:p w:rsidR="007F1A42" w:rsidRPr="0089284E" w:rsidRDefault="007F1A42" w:rsidP="0089284E">
            <w:pPr>
              <w:pStyle w:val="Caption"/>
              <w:jc w:val="both"/>
            </w:pPr>
            <w:bookmarkStart w:id="121" w:name="_Ref211349697"/>
            <w:r w:rsidRPr="00FC657B">
              <w:t xml:space="preserve">Photo </w:t>
            </w:r>
            <w:r w:rsidR="008269C6" w:rsidRPr="00F92C45">
              <w:fldChar w:fldCharType="begin"/>
            </w:r>
            <w:r w:rsidR="00CF23E9" w:rsidRPr="000A3C73">
              <w:instrText xml:space="preserve"> SEQ Photo \* ARABIC </w:instrText>
            </w:r>
            <w:r w:rsidR="008269C6" w:rsidRPr="00F92C45">
              <w:fldChar w:fldCharType="separate"/>
            </w:r>
            <w:r w:rsidR="006E18A7" w:rsidRPr="000A3C73">
              <w:t>4</w:t>
            </w:r>
            <w:r w:rsidR="008269C6" w:rsidRPr="00F92C45">
              <w:fldChar w:fldCharType="end"/>
            </w:r>
            <w:bookmarkEnd w:id="121"/>
            <w:r w:rsidRPr="000A3C73">
              <w:t xml:space="preserve"> Natural Capital Resource Center, Resen, Macedonia</w:t>
            </w:r>
          </w:p>
          <w:p w:rsidR="007F1A42" w:rsidRPr="0089284E" w:rsidRDefault="007F1A42" w:rsidP="001657BB">
            <w:pPr>
              <w:pStyle w:val="BodyText"/>
              <w:numPr>
                <w:ilvl w:val="0"/>
                <w:numId w:val="0"/>
              </w:numPr>
              <w:rPr>
                <w:bCs/>
              </w:rPr>
            </w:pPr>
            <w:r w:rsidRPr="00F92C45">
              <w:rPr>
                <w:bCs/>
                <w:noProof/>
              </w:rPr>
              <w:drawing>
                <wp:inline distT="0" distB="0" distL="0" distR="0">
                  <wp:extent cx="2943912" cy="1971040"/>
                  <wp:effectExtent l="25400" t="25400" r="27940" b="355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297_MK_NRinfocenter2.jpg"/>
                          <pic:cNvPicPr/>
                        </pic:nvPicPr>
                        <pic:blipFill>
                          <a:blip r:embed="rId3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2946329" cy="1972658"/>
                          </a:xfrm>
                          <a:prstGeom prst="rect">
                            <a:avLst/>
                          </a:prstGeom>
                          <a:ln w="12700" cmpd="sng">
                            <a:solidFill>
                              <a:schemeClr val="tx1"/>
                            </a:solidFill>
                          </a:ln>
                        </pic:spPr>
                      </pic:pic>
                    </a:graphicData>
                  </a:graphic>
                </wp:inline>
              </w:drawing>
            </w:r>
          </w:p>
        </w:tc>
      </w:tr>
    </w:tbl>
    <w:p w:rsidR="00C9462D" w:rsidRPr="0089284E" w:rsidRDefault="00C9462D" w:rsidP="001657BB">
      <w:pPr>
        <w:pStyle w:val="BodyText"/>
        <w:numPr>
          <w:ilvl w:val="0"/>
          <w:numId w:val="0"/>
        </w:numPr>
        <w:rPr>
          <w:bCs/>
          <w:i/>
          <w:u w:val="single"/>
        </w:rPr>
      </w:pPr>
    </w:p>
    <w:p w:rsidR="007708EB" w:rsidRPr="0089284E" w:rsidRDefault="008C3DDF" w:rsidP="00ED656A">
      <w:pPr>
        <w:pStyle w:val="BodyText"/>
        <w:rPr>
          <w:bCs/>
          <w:i/>
          <w:u w:val="single"/>
        </w:rPr>
      </w:pPr>
      <w:r w:rsidRPr="0089284E">
        <w:rPr>
          <w:b/>
          <w:bCs/>
          <w:i/>
          <w:u w:val="single"/>
        </w:rPr>
        <w:t>Output 4.4</w:t>
      </w:r>
      <w:r w:rsidR="005E1241" w:rsidRPr="0089284E">
        <w:rPr>
          <w:bCs/>
          <w:i/>
          <w:u w:val="single"/>
        </w:rPr>
        <w:t xml:space="preserve"> Pilot species and </w:t>
      </w:r>
      <w:r w:rsidR="003B49A8" w:rsidRPr="0089284E">
        <w:rPr>
          <w:bCs/>
          <w:i/>
          <w:u w:val="single"/>
        </w:rPr>
        <w:t>habitat</w:t>
      </w:r>
      <w:r w:rsidRPr="0089284E">
        <w:rPr>
          <w:bCs/>
          <w:i/>
          <w:u w:val="single"/>
        </w:rPr>
        <w:t xml:space="preserve"> conservation initiatives under implementation</w:t>
      </w:r>
    </w:p>
    <w:tbl>
      <w:tblPr>
        <w:tblStyle w:val="TableGrid"/>
        <w:tblW w:w="0" w:type="auto"/>
        <w:tblLook w:val="04A0"/>
      </w:tblPr>
      <w:tblGrid>
        <w:gridCol w:w="1567"/>
        <w:gridCol w:w="8009"/>
      </w:tblGrid>
      <w:tr w:rsidR="001657BB" w:rsidRPr="000A3C73" w:rsidTr="00370B8E">
        <w:tc>
          <w:tcPr>
            <w:tcW w:w="558" w:type="dxa"/>
          </w:tcPr>
          <w:p w:rsidR="001657BB" w:rsidRPr="00FC657B" w:rsidRDefault="001657BB" w:rsidP="00370B8E">
            <w:pPr>
              <w:pStyle w:val="BodyText"/>
              <w:numPr>
                <w:ilvl w:val="0"/>
                <w:numId w:val="0"/>
              </w:numPr>
              <w:rPr>
                <w:sz w:val="22"/>
              </w:rPr>
            </w:pPr>
            <w:r w:rsidRPr="00FC657B">
              <w:rPr>
                <w:sz w:val="22"/>
              </w:rPr>
              <w:t>Transboundary</w:t>
            </w:r>
          </w:p>
        </w:tc>
        <w:tc>
          <w:tcPr>
            <w:tcW w:w="9018" w:type="dxa"/>
          </w:tcPr>
          <w:p w:rsidR="00A2659C" w:rsidRPr="00FC657B" w:rsidRDefault="001731BD" w:rsidP="00370B8E">
            <w:pPr>
              <w:pStyle w:val="BodyText"/>
              <w:numPr>
                <w:ilvl w:val="0"/>
                <w:numId w:val="0"/>
              </w:numPr>
              <w:rPr>
                <w:bCs/>
                <w:sz w:val="22"/>
                <w:szCs w:val="22"/>
              </w:rPr>
            </w:pPr>
            <w:r w:rsidRPr="00FC657B">
              <w:rPr>
                <w:bCs/>
                <w:sz w:val="22"/>
                <w:szCs w:val="22"/>
              </w:rPr>
              <w:t xml:space="preserve">The species and habitat conservation action plans were key outputs of the transboundary component, and were to contribute to the achievement of multiple project goals. Initiation of this activity was planned for 2007, but the </w:t>
            </w:r>
            <w:r w:rsidRPr="00D77DF1">
              <w:rPr>
                <w:bCs/>
                <w:sz w:val="22"/>
                <w:szCs w:val="22"/>
              </w:rPr>
              <w:t>plans were to be developed through a contracted third party, and due procurement related issues, the plans were essentially delayed for two years.</w:t>
            </w:r>
            <w:r w:rsidRPr="0089284E">
              <w:rPr>
                <w:rStyle w:val="FootnoteReference"/>
                <w:bCs/>
                <w:szCs w:val="22"/>
              </w:rPr>
              <w:footnoteReference w:id="25"/>
            </w:r>
            <w:r w:rsidRPr="00FC657B">
              <w:rPr>
                <w:bCs/>
                <w:sz w:val="22"/>
                <w:szCs w:val="22"/>
              </w:rPr>
              <w:t xml:space="preserve"> Work to develop the plans only began in late 2009, and was completed in late 2011/early 2012, which precluded any opportunity to move toward implementation of the plans. The priority actions defined in the plans were to make up a significant portion of the concrete biodiversity conservation activities of the project</w:t>
            </w:r>
            <w:r w:rsidR="00AF7AD1" w:rsidRPr="00D77DF1">
              <w:rPr>
                <w:bCs/>
                <w:sz w:val="22"/>
                <w:szCs w:val="22"/>
              </w:rPr>
              <w:t xml:space="preserve">; a reading of the project logframe indicators </w:t>
            </w:r>
            <w:r w:rsidR="00AF7AD1" w:rsidRPr="00CD42DE">
              <w:rPr>
                <w:bCs/>
                <w:sz w:val="22"/>
                <w:szCs w:val="22"/>
              </w:rPr>
              <w:t>and targets demonstrates how integral these plans were expected to be for project results</w:t>
            </w:r>
            <w:r w:rsidRPr="00AA7D1F">
              <w:rPr>
                <w:bCs/>
                <w:sz w:val="22"/>
                <w:szCs w:val="22"/>
              </w:rPr>
              <w:t xml:space="preserve">. Nonetheless, </w:t>
            </w:r>
            <w:r w:rsidR="00AF7AD1" w:rsidRPr="005E69C8">
              <w:rPr>
                <w:bCs/>
                <w:sz w:val="22"/>
                <w:szCs w:val="22"/>
              </w:rPr>
              <w:t xml:space="preserve">with extensive work </w:t>
            </w:r>
            <w:r w:rsidRPr="00850A96">
              <w:rPr>
                <w:bCs/>
                <w:sz w:val="22"/>
                <w:szCs w:val="22"/>
              </w:rPr>
              <w:t xml:space="preserve">the plans </w:t>
            </w:r>
            <w:r w:rsidR="00AF7AD1" w:rsidRPr="008B7E9A">
              <w:rPr>
                <w:bCs/>
                <w:sz w:val="22"/>
                <w:szCs w:val="22"/>
              </w:rPr>
              <w:t>have been</w:t>
            </w:r>
            <w:r w:rsidRPr="000126EE">
              <w:rPr>
                <w:bCs/>
                <w:sz w:val="22"/>
                <w:szCs w:val="22"/>
              </w:rPr>
              <w:t xml:space="preserve"> produced </w:t>
            </w:r>
            <w:r w:rsidR="00B6590B" w:rsidRPr="00B71D27">
              <w:rPr>
                <w:bCs/>
                <w:sz w:val="22"/>
                <w:szCs w:val="22"/>
              </w:rPr>
              <w:t xml:space="preserve">for </w:t>
            </w:r>
            <w:r w:rsidR="00D163CA" w:rsidRPr="00595792">
              <w:rPr>
                <w:bCs/>
                <w:sz w:val="22"/>
                <w:szCs w:val="22"/>
              </w:rPr>
              <w:t>six</w:t>
            </w:r>
            <w:r w:rsidR="00D163CA" w:rsidRPr="00602E30">
              <w:rPr>
                <w:bCs/>
                <w:sz w:val="22"/>
                <w:szCs w:val="22"/>
              </w:rPr>
              <w:t xml:space="preserve"> priority</w:t>
            </w:r>
            <w:r w:rsidR="00F27F65" w:rsidRPr="00602E30">
              <w:rPr>
                <w:bCs/>
                <w:sz w:val="22"/>
                <w:szCs w:val="22"/>
              </w:rPr>
              <w:t xml:space="preserve"> species and habitats: brown bears (</w:t>
            </w:r>
            <w:r w:rsidR="00F27F65" w:rsidRPr="002A69B7">
              <w:rPr>
                <w:bCs/>
                <w:i/>
                <w:sz w:val="22"/>
                <w:szCs w:val="22"/>
              </w:rPr>
              <w:t>Ursus arctos</w:t>
            </w:r>
            <w:r w:rsidR="00F27F65" w:rsidRPr="002C744B">
              <w:rPr>
                <w:bCs/>
                <w:sz w:val="22"/>
                <w:szCs w:val="22"/>
              </w:rPr>
              <w:t>), Grecian juniper (</w:t>
            </w:r>
            <w:r w:rsidR="00F27F65" w:rsidRPr="0089284E">
              <w:rPr>
                <w:bCs/>
                <w:i/>
                <w:sz w:val="22"/>
                <w:szCs w:val="22"/>
              </w:rPr>
              <w:t xml:space="preserve">Juniperus excelsa), </w:t>
            </w:r>
            <w:r w:rsidR="00F27F65" w:rsidRPr="0089284E">
              <w:rPr>
                <w:bCs/>
                <w:sz w:val="22"/>
                <w:szCs w:val="22"/>
              </w:rPr>
              <w:t>mountain tea</w:t>
            </w:r>
            <w:r w:rsidR="00F27F65" w:rsidRPr="0089284E">
              <w:rPr>
                <w:bCs/>
                <w:i/>
                <w:sz w:val="22"/>
                <w:szCs w:val="22"/>
              </w:rPr>
              <w:t xml:space="preserve"> (Sideritis raeseri)</w:t>
            </w:r>
            <w:r w:rsidR="00B43071" w:rsidRPr="0089284E">
              <w:rPr>
                <w:bCs/>
                <w:i/>
                <w:sz w:val="22"/>
                <w:szCs w:val="22"/>
              </w:rPr>
              <w:t xml:space="preserve">, </w:t>
            </w:r>
            <w:r w:rsidR="00B43071" w:rsidRPr="0089284E">
              <w:rPr>
                <w:bCs/>
                <w:sz w:val="22"/>
                <w:szCs w:val="22"/>
              </w:rPr>
              <w:t>caves and bats, and reedbeds.</w:t>
            </w:r>
            <w:r w:rsidR="00E25A05" w:rsidRPr="0089284E">
              <w:rPr>
                <w:rStyle w:val="FootnoteReference"/>
                <w:bCs/>
                <w:szCs w:val="22"/>
              </w:rPr>
              <w:footnoteReference w:id="26"/>
            </w:r>
            <w:r w:rsidR="005325E0" w:rsidRPr="0089284E">
              <w:rPr>
                <w:bCs/>
                <w:sz w:val="22"/>
                <w:szCs w:val="22"/>
              </w:rPr>
              <w:t>Conservation actions for the Prespa barbel (</w:t>
            </w:r>
            <w:r w:rsidR="005325E0" w:rsidRPr="0089284E">
              <w:rPr>
                <w:bCs/>
                <w:i/>
                <w:sz w:val="22"/>
                <w:szCs w:val="22"/>
              </w:rPr>
              <w:t>Barbus prespensis)</w:t>
            </w:r>
            <w:r w:rsidR="005325E0" w:rsidRPr="0089284E">
              <w:rPr>
                <w:bCs/>
                <w:sz w:val="22"/>
                <w:szCs w:val="22"/>
              </w:rPr>
              <w:t xml:space="preserve"> were defined within the transboundary fisheries management </w:t>
            </w:r>
            <w:r w:rsidR="0021495A" w:rsidRPr="0089284E">
              <w:rPr>
                <w:bCs/>
                <w:sz w:val="22"/>
                <w:szCs w:val="22"/>
              </w:rPr>
              <w:t>plan</w:t>
            </w:r>
            <w:r w:rsidR="005325E0" w:rsidRPr="0089284E">
              <w:rPr>
                <w:bCs/>
                <w:sz w:val="22"/>
                <w:szCs w:val="22"/>
              </w:rPr>
              <w:t>.</w:t>
            </w:r>
          </w:p>
          <w:p w:rsidR="00B6590B" w:rsidRPr="00C56966" w:rsidRDefault="00B6590B" w:rsidP="00370B8E">
            <w:pPr>
              <w:pStyle w:val="BodyText"/>
              <w:numPr>
                <w:ilvl w:val="0"/>
                <w:numId w:val="0"/>
              </w:numPr>
              <w:rPr>
                <w:bCs/>
                <w:sz w:val="22"/>
                <w:szCs w:val="22"/>
              </w:rPr>
            </w:pPr>
            <w:r w:rsidRPr="00FC657B">
              <w:rPr>
                <w:bCs/>
                <w:sz w:val="22"/>
                <w:szCs w:val="22"/>
              </w:rPr>
              <w:t xml:space="preserve">The work was </w:t>
            </w:r>
            <w:r w:rsidR="00303301" w:rsidRPr="00D77DF1">
              <w:rPr>
                <w:bCs/>
                <w:sz w:val="22"/>
                <w:szCs w:val="22"/>
              </w:rPr>
              <w:t xml:space="preserve">supported by a Macedonia-based firm, and was </w:t>
            </w:r>
            <w:r w:rsidRPr="00CD42DE">
              <w:rPr>
                <w:bCs/>
                <w:sz w:val="22"/>
                <w:szCs w:val="22"/>
              </w:rPr>
              <w:t>carrie</w:t>
            </w:r>
            <w:r w:rsidRPr="00AA7D1F">
              <w:rPr>
                <w:bCs/>
                <w:sz w:val="22"/>
                <w:szCs w:val="22"/>
              </w:rPr>
              <w:t xml:space="preserve">d out in two phases, </w:t>
            </w:r>
            <w:r w:rsidR="00303301" w:rsidRPr="005E69C8">
              <w:rPr>
                <w:bCs/>
                <w:sz w:val="22"/>
                <w:szCs w:val="22"/>
              </w:rPr>
              <w:t xml:space="preserve">involving </w:t>
            </w:r>
            <w:r w:rsidRPr="00850A96">
              <w:rPr>
                <w:bCs/>
                <w:sz w:val="22"/>
                <w:szCs w:val="22"/>
              </w:rPr>
              <w:t xml:space="preserve">22 experts drawn from all three countries. </w:t>
            </w:r>
            <w:r w:rsidR="00303301" w:rsidRPr="008B7E9A">
              <w:rPr>
                <w:bCs/>
                <w:sz w:val="22"/>
                <w:szCs w:val="22"/>
              </w:rPr>
              <w:t>The process incl</w:t>
            </w:r>
            <w:r w:rsidR="00303301" w:rsidRPr="000126EE">
              <w:rPr>
                <w:bCs/>
                <w:sz w:val="22"/>
                <w:szCs w:val="22"/>
              </w:rPr>
              <w:t xml:space="preserve">uded the selection of the priority species and habitats through </w:t>
            </w:r>
            <w:r w:rsidR="00097334" w:rsidRPr="00B71D27">
              <w:rPr>
                <w:bCs/>
                <w:sz w:val="22"/>
                <w:szCs w:val="22"/>
              </w:rPr>
              <w:t xml:space="preserve">specific criteria covering aspects such as species’ Red List status. </w:t>
            </w:r>
            <w:r w:rsidR="003B0C3B" w:rsidRPr="00595792">
              <w:rPr>
                <w:bCs/>
                <w:sz w:val="22"/>
                <w:szCs w:val="22"/>
              </w:rPr>
              <w:t xml:space="preserve">Further </w:t>
            </w:r>
            <w:r w:rsidR="002A410E" w:rsidRPr="00602E30">
              <w:rPr>
                <w:bCs/>
                <w:sz w:val="22"/>
                <w:szCs w:val="22"/>
              </w:rPr>
              <w:t>step</w:t>
            </w:r>
            <w:r w:rsidR="002A410E" w:rsidRPr="002A69B7">
              <w:rPr>
                <w:bCs/>
                <w:sz w:val="22"/>
                <w:szCs w:val="22"/>
              </w:rPr>
              <w:t>s</w:t>
            </w:r>
            <w:r w:rsidR="003B0C3B" w:rsidRPr="002C744B">
              <w:rPr>
                <w:bCs/>
                <w:sz w:val="22"/>
                <w:szCs w:val="22"/>
              </w:rPr>
              <w:t xml:space="preserve"> included: </w:t>
            </w:r>
          </w:p>
          <w:p w:rsidR="003B0C3B" w:rsidRPr="002D3949" w:rsidRDefault="003B0C3B" w:rsidP="000A0F25">
            <w:pPr>
              <w:pStyle w:val="BodyText"/>
              <w:numPr>
                <w:ilvl w:val="0"/>
                <w:numId w:val="22"/>
              </w:numPr>
              <w:rPr>
                <w:bCs/>
                <w:sz w:val="22"/>
                <w:szCs w:val="22"/>
              </w:rPr>
            </w:pPr>
            <w:r w:rsidRPr="002D3949">
              <w:rPr>
                <w:bCs/>
                <w:sz w:val="22"/>
                <w:szCs w:val="22"/>
              </w:rPr>
              <w:t>Analysis of existing studies and project reports</w:t>
            </w:r>
          </w:p>
          <w:p w:rsidR="003B0C3B" w:rsidRPr="000A3C73" w:rsidRDefault="003B0C3B" w:rsidP="000A0F25">
            <w:pPr>
              <w:pStyle w:val="BodyText"/>
              <w:numPr>
                <w:ilvl w:val="0"/>
                <w:numId w:val="22"/>
              </w:numPr>
              <w:rPr>
                <w:bCs/>
                <w:sz w:val="22"/>
                <w:szCs w:val="22"/>
              </w:rPr>
            </w:pPr>
            <w:r w:rsidRPr="000A3C73">
              <w:rPr>
                <w:bCs/>
                <w:sz w:val="22"/>
                <w:szCs w:val="22"/>
              </w:rPr>
              <w:t>Field trips (covering approximately 40 days)</w:t>
            </w:r>
          </w:p>
          <w:p w:rsidR="003B0C3B" w:rsidRPr="000A3C73" w:rsidRDefault="003B0C3B" w:rsidP="000A0F25">
            <w:pPr>
              <w:pStyle w:val="BodyText"/>
              <w:numPr>
                <w:ilvl w:val="0"/>
                <w:numId w:val="22"/>
              </w:numPr>
              <w:rPr>
                <w:bCs/>
                <w:sz w:val="22"/>
                <w:szCs w:val="22"/>
              </w:rPr>
            </w:pPr>
            <w:r w:rsidRPr="000A3C73">
              <w:rPr>
                <w:bCs/>
                <w:sz w:val="22"/>
                <w:szCs w:val="22"/>
              </w:rPr>
              <w:t>GIS maps prepared regarding species distribution</w:t>
            </w:r>
          </w:p>
          <w:p w:rsidR="003B0C3B" w:rsidRPr="000A3C73" w:rsidRDefault="003B0C3B" w:rsidP="000A0F25">
            <w:pPr>
              <w:pStyle w:val="BodyText"/>
              <w:numPr>
                <w:ilvl w:val="0"/>
                <w:numId w:val="22"/>
              </w:numPr>
              <w:rPr>
                <w:bCs/>
                <w:sz w:val="22"/>
                <w:szCs w:val="22"/>
              </w:rPr>
            </w:pPr>
            <w:r w:rsidRPr="000A3C73">
              <w:rPr>
                <w:bCs/>
                <w:sz w:val="22"/>
                <w:szCs w:val="22"/>
              </w:rPr>
              <w:t>Collection of data about current conservation and protection status</w:t>
            </w:r>
          </w:p>
          <w:p w:rsidR="003B0C3B" w:rsidRPr="000A3C73" w:rsidRDefault="003B0C3B" w:rsidP="000A0F25">
            <w:pPr>
              <w:pStyle w:val="BodyText"/>
              <w:numPr>
                <w:ilvl w:val="0"/>
                <w:numId w:val="22"/>
              </w:numPr>
              <w:rPr>
                <w:bCs/>
                <w:sz w:val="22"/>
                <w:szCs w:val="22"/>
              </w:rPr>
            </w:pPr>
            <w:r w:rsidRPr="000A3C73">
              <w:rPr>
                <w:bCs/>
                <w:sz w:val="22"/>
                <w:szCs w:val="22"/>
              </w:rPr>
              <w:t>Preparation of thematic reports, such as human-bear conflict, forest fire prevention, and research of selected caves</w:t>
            </w:r>
          </w:p>
          <w:p w:rsidR="003B0C3B" w:rsidRPr="000A3C73" w:rsidRDefault="003B0C3B" w:rsidP="000A0F25">
            <w:pPr>
              <w:pStyle w:val="BodyText"/>
              <w:numPr>
                <w:ilvl w:val="0"/>
                <w:numId w:val="22"/>
              </w:numPr>
              <w:rPr>
                <w:bCs/>
                <w:sz w:val="22"/>
                <w:szCs w:val="22"/>
              </w:rPr>
            </w:pPr>
            <w:r w:rsidRPr="000A3C73">
              <w:rPr>
                <w:bCs/>
                <w:sz w:val="22"/>
                <w:szCs w:val="22"/>
              </w:rPr>
              <w:t>Development of draft action plans based on identified threats</w:t>
            </w:r>
          </w:p>
          <w:p w:rsidR="00D52BFA" w:rsidRPr="000A3C73" w:rsidRDefault="00D52BFA" w:rsidP="000A0F25">
            <w:pPr>
              <w:pStyle w:val="BodyText"/>
              <w:numPr>
                <w:ilvl w:val="0"/>
                <w:numId w:val="22"/>
              </w:numPr>
              <w:rPr>
                <w:bCs/>
                <w:sz w:val="22"/>
                <w:szCs w:val="22"/>
              </w:rPr>
            </w:pPr>
            <w:r w:rsidRPr="000A3C73">
              <w:rPr>
                <w:bCs/>
                <w:sz w:val="22"/>
                <w:szCs w:val="22"/>
              </w:rPr>
              <w:t>Development of consensus at an expert workshop (November 24-25, 2011)</w:t>
            </w:r>
          </w:p>
          <w:p w:rsidR="003B0C3B" w:rsidRPr="000A3C73" w:rsidRDefault="00D52BFA" w:rsidP="000A0F25">
            <w:pPr>
              <w:pStyle w:val="BodyText"/>
              <w:numPr>
                <w:ilvl w:val="0"/>
                <w:numId w:val="22"/>
              </w:numPr>
              <w:rPr>
                <w:bCs/>
                <w:sz w:val="22"/>
                <w:szCs w:val="22"/>
              </w:rPr>
            </w:pPr>
            <w:r w:rsidRPr="000A3C73">
              <w:rPr>
                <w:bCs/>
                <w:sz w:val="22"/>
                <w:szCs w:val="22"/>
              </w:rPr>
              <w:t>Broad stakeholder consultation process</w:t>
            </w:r>
          </w:p>
          <w:p w:rsidR="00D853FF" w:rsidRPr="000A3C73" w:rsidRDefault="00D853FF" w:rsidP="000A0F25">
            <w:pPr>
              <w:pStyle w:val="BodyText"/>
              <w:numPr>
                <w:ilvl w:val="0"/>
                <w:numId w:val="22"/>
              </w:numPr>
              <w:rPr>
                <w:bCs/>
                <w:sz w:val="22"/>
                <w:szCs w:val="22"/>
              </w:rPr>
            </w:pPr>
            <w:r w:rsidRPr="000A3C73">
              <w:rPr>
                <w:bCs/>
                <w:sz w:val="22"/>
                <w:szCs w:val="22"/>
              </w:rPr>
              <w:t>Detailed elaboration of three to five priority actions</w:t>
            </w:r>
            <w:r w:rsidR="0021495A" w:rsidRPr="000A3C73">
              <w:rPr>
                <w:bCs/>
                <w:sz w:val="22"/>
                <w:szCs w:val="22"/>
              </w:rPr>
              <w:t xml:space="preserve"> over five years. </w:t>
            </w:r>
          </w:p>
          <w:p w:rsidR="00E2104D" w:rsidRPr="000A3C73" w:rsidRDefault="00E2104D" w:rsidP="00370B8E">
            <w:pPr>
              <w:pStyle w:val="BodyText"/>
              <w:numPr>
                <w:ilvl w:val="0"/>
                <w:numId w:val="0"/>
              </w:numPr>
              <w:rPr>
                <w:bCs/>
                <w:sz w:val="22"/>
                <w:szCs w:val="22"/>
              </w:rPr>
            </w:pPr>
            <w:r w:rsidRPr="000A3C73">
              <w:rPr>
                <w:bCs/>
                <w:sz w:val="22"/>
                <w:szCs w:val="22"/>
              </w:rPr>
              <w:t xml:space="preserve">The plans are detailed, with in-depth information </w:t>
            </w:r>
            <w:r w:rsidR="005D13DE" w:rsidRPr="000A3C73">
              <w:rPr>
                <w:bCs/>
                <w:sz w:val="22"/>
                <w:szCs w:val="22"/>
              </w:rPr>
              <w:t xml:space="preserve">in a standardized </w:t>
            </w:r>
            <w:r w:rsidR="004E3985" w:rsidRPr="000A3C73">
              <w:rPr>
                <w:bCs/>
                <w:sz w:val="22"/>
                <w:szCs w:val="22"/>
              </w:rPr>
              <w:t>outline</w:t>
            </w:r>
            <w:r w:rsidR="0025217C" w:rsidRPr="000A3C73">
              <w:rPr>
                <w:bCs/>
                <w:sz w:val="22"/>
                <w:szCs w:val="22"/>
              </w:rPr>
              <w:t xml:space="preserve"> </w:t>
            </w:r>
            <w:r w:rsidRPr="000A3C73">
              <w:rPr>
                <w:bCs/>
                <w:sz w:val="22"/>
                <w:szCs w:val="22"/>
              </w:rPr>
              <w:t xml:space="preserve">covering </w:t>
            </w:r>
            <w:r w:rsidR="004E3985" w:rsidRPr="000A3C73">
              <w:rPr>
                <w:bCs/>
                <w:sz w:val="22"/>
                <w:szCs w:val="22"/>
              </w:rPr>
              <w:t xml:space="preserve">species information, conservation status, socio-economic role and importance, and conservation issues and recommended actions (including threats analysis). The conservation plans include GIS-based data and analysis, such as the brown bear corridor map shown in </w:t>
            </w:r>
            <w:r w:rsidR="008269C6" w:rsidRPr="00206E7A">
              <w:rPr>
                <w:bCs/>
                <w:sz w:val="22"/>
                <w:szCs w:val="22"/>
              </w:rPr>
              <w:fldChar w:fldCharType="begin"/>
            </w:r>
            <w:r w:rsidR="00D37390" w:rsidRPr="000A3C73">
              <w:rPr>
                <w:bCs/>
                <w:sz w:val="22"/>
                <w:szCs w:val="22"/>
              </w:rPr>
              <w:instrText xml:space="preserve"> REF _Ref209668847 \h </w:instrText>
            </w:r>
            <w:r w:rsidR="008269C6" w:rsidRPr="00206E7A">
              <w:rPr>
                <w:bCs/>
                <w:sz w:val="22"/>
                <w:szCs w:val="22"/>
              </w:rPr>
            </w:r>
            <w:r w:rsidR="008269C6" w:rsidRPr="00206E7A">
              <w:rPr>
                <w:bCs/>
                <w:sz w:val="22"/>
                <w:szCs w:val="22"/>
              </w:rPr>
              <w:fldChar w:fldCharType="separate"/>
            </w:r>
            <w:r w:rsidR="006E18A7" w:rsidRPr="000A3C73">
              <w:t xml:space="preserve">Figure </w:t>
            </w:r>
            <w:r w:rsidR="006E18A7" w:rsidRPr="000A3C73">
              <w:rPr>
                <w:noProof/>
              </w:rPr>
              <w:t>14</w:t>
            </w:r>
            <w:r w:rsidR="008269C6" w:rsidRPr="00206E7A">
              <w:rPr>
                <w:bCs/>
                <w:sz w:val="22"/>
                <w:szCs w:val="22"/>
              </w:rPr>
              <w:fldChar w:fldCharType="end"/>
            </w:r>
            <w:r w:rsidR="004E3985" w:rsidRPr="000A3C73">
              <w:rPr>
                <w:bCs/>
                <w:sz w:val="22"/>
                <w:szCs w:val="22"/>
              </w:rPr>
              <w:t xml:space="preserve">. </w:t>
            </w:r>
          </w:p>
          <w:p w:rsidR="001657BB" w:rsidRPr="000A3C73" w:rsidRDefault="00F27F65" w:rsidP="002A410E">
            <w:pPr>
              <w:pStyle w:val="BodyText"/>
              <w:numPr>
                <w:ilvl w:val="0"/>
                <w:numId w:val="0"/>
              </w:numPr>
              <w:rPr>
                <w:bCs/>
                <w:sz w:val="22"/>
                <w:szCs w:val="22"/>
              </w:rPr>
            </w:pPr>
            <w:r w:rsidRPr="000A3C73">
              <w:rPr>
                <w:bCs/>
                <w:sz w:val="22"/>
                <w:szCs w:val="22"/>
              </w:rPr>
              <w:t xml:space="preserve">The species and habitat conservation and action plans </w:t>
            </w:r>
            <w:r w:rsidR="002A410E" w:rsidRPr="000A3C73">
              <w:rPr>
                <w:bCs/>
                <w:sz w:val="22"/>
                <w:szCs w:val="22"/>
              </w:rPr>
              <w:t>have been shared with and approve</w:t>
            </w:r>
            <w:r w:rsidR="00E2104D" w:rsidRPr="000A3C73">
              <w:rPr>
                <w:bCs/>
                <w:sz w:val="22"/>
                <w:szCs w:val="22"/>
              </w:rPr>
              <w:t>d</w:t>
            </w:r>
            <w:r w:rsidR="002A410E" w:rsidRPr="000A3C73">
              <w:rPr>
                <w:bCs/>
                <w:sz w:val="22"/>
                <w:szCs w:val="22"/>
              </w:rPr>
              <w:t xml:space="preserve"> by Prespa stakeholders</w:t>
            </w:r>
            <w:r w:rsidR="00E2104D" w:rsidRPr="000A3C73">
              <w:rPr>
                <w:bCs/>
                <w:sz w:val="22"/>
                <w:szCs w:val="22"/>
              </w:rPr>
              <w:t xml:space="preserve"> (in December 2011)</w:t>
            </w:r>
            <w:r w:rsidR="002A410E" w:rsidRPr="000A3C73">
              <w:rPr>
                <w:bCs/>
                <w:sz w:val="22"/>
                <w:szCs w:val="22"/>
              </w:rPr>
              <w:t xml:space="preserve">, and distilled to informative trilingual brochures for public distribution. The next step, and ultimate goal, will be implementation of the conservation action plans in the three countries. The respective environmental managers in the countries will be responsible for implementing the plans – the Prespa National Park authority in Albania, the Prespa National Park authority in Greece, and Resen municipality along with </w:t>
            </w:r>
            <w:r w:rsidR="00042A08" w:rsidRPr="000A3C73">
              <w:rPr>
                <w:bCs/>
                <w:sz w:val="22"/>
                <w:szCs w:val="22"/>
              </w:rPr>
              <w:t xml:space="preserve">Galičica </w:t>
            </w:r>
            <w:r w:rsidR="002A410E" w:rsidRPr="000A3C73">
              <w:rPr>
                <w:bCs/>
                <w:sz w:val="22"/>
                <w:szCs w:val="22"/>
              </w:rPr>
              <w:t xml:space="preserve">and </w:t>
            </w:r>
            <w:r w:rsidR="00E2104D" w:rsidRPr="000A3C73">
              <w:rPr>
                <w:bCs/>
                <w:sz w:val="22"/>
                <w:szCs w:val="22"/>
              </w:rPr>
              <w:t xml:space="preserve">Pelister National Parks authorities in Macedonia. </w:t>
            </w:r>
            <w:r w:rsidR="00514F41" w:rsidRPr="000A3C73">
              <w:rPr>
                <w:bCs/>
                <w:sz w:val="22"/>
                <w:szCs w:val="22"/>
              </w:rPr>
              <w:t>Had the conservation action plans been completed with more time remaining before the end of the project it might have been possible for them to be moved closer to implementation. However, all of the transboundary component outputs face challenges in collaborative tri-national implementation as long as the three littoral state governments are not actively moving</w:t>
            </w:r>
            <w:r w:rsidR="009558AB" w:rsidRPr="000A3C73">
              <w:rPr>
                <w:bCs/>
                <w:sz w:val="22"/>
                <w:szCs w:val="22"/>
              </w:rPr>
              <w:t xml:space="preserve"> cooperation</w:t>
            </w:r>
            <w:r w:rsidR="00514F41" w:rsidRPr="000A3C73">
              <w:rPr>
                <w:bCs/>
                <w:sz w:val="22"/>
                <w:szCs w:val="22"/>
              </w:rPr>
              <w:t xml:space="preserve"> forward. </w:t>
            </w:r>
          </w:p>
        </w:tc>
      </w:tr>
      <w:tr w:rsidR="001657BB" w:rsidRPr="000A3C73" w:rsidTr="00370B8E">
        <w:tc>
          <w:tcPr>
            <w:tcW w:w="558" w:type="dxa"/>
          </w:tcPr>
          <w:p w:rsidR="001657BB" w:rsidRPr="000A3C73" w:rsidRDefault="001657BB" w:rsidP="00370B8E">
            <w:pPr>
              <w:pStyle w:val="BodyText"/>
              <w:numPr>
                <w:ilvl w:val="0"/>
                <w:numId w:val="0"/>
              </w:numPr>
              <w:rPr>
                <w:sz w:val="22"/>
              </w:rPr>
            </w:pPr>
            <w:r w:rsidRPr="000A3C73">
              <w:rPr>
                <w:sz w:val="22"/>
              </w:rPr>
              <w:t>Albania</w:t>
            </w:r>
          </w:p>
        </w:tc>
        <w:tc>
          <w:tcPr>
            <w:tcW w:w="9018" w:type="dxa"/>
          </w:tcPr>
          <w:p w:rsidR="001657BB" w:rsidRPr="00FC657B" w:rsidRDefault="001B5488" w:rsidP="006A71FC">
            <w:pPr>
              <w:pStyle w:val="BodyText"/>
              <w:numPr>
                <w:ilvl w:val="0"/>
                <w:numId w:val="0"/>
              </w:numPr>
              <w:rPr>
                <w:sz w:val="22"/>
              </w:rPr>
            </w:pPr>
            <w:r w:rsidRPr="0089284E">
              <w:rPr>
                <w:sz w:val="22"/>
              </w:rPr>
              <w:t>Work with the Albanian Association of Mammals and Birds has establi</w:t>
            </w:r>
            <w:r w:rsidR="007153D5" w:rsidRPr="0089284E">
              <w:rPr>
                <w:sz w:val="22"/>
              </w:rPr>
              <w:t xml:space="preserve">shed protection of a colony of </w:t>
            </w:r>
            <w:r w:rsidRPr="0089284E">
              <w:rPr>
                <w:sz w:val="22"/>
              </w:rPr>
              <w:t>4,000-5,000 bats in Treni Cave, 90% of which are Schreibers's long-fingered bat (</w:t>
            </w:r>
            <w:r w:rsidRPr="0089284E">
              <w:rPr>
                <w:i/>
                <w:sz w:val="22"/>
              </w:rPr>
              <w:t>Minioptrus</w:t>
            </w:r>
            <w:r w:rsidRPr="0089284E">
              <w:rPr>
                <w:i/>
                <w:iCs/>
                <w:sz w:val="22"/>
              </w:rPr>
              <w:t>schreibersi</w:t>
            </w:r>
            <w:r w:rsidRPr="0089284E">
              <w:rPr>
                <w:sz w:val="22"/>
              </w:rPr>
              <w:t>).  A report by the national NGO Transboundary Nature indicates the presence of at least 108 species of woody plants in Prespa National Park.  The Management Effectiveness Tracking Tool (METT) score</w:t>
            </w:r>
            <w:r w:rsidR="000731AC" w:rsidRPr="0089284E">
              <w:rPr>
                <w:sz w:val="22"/>
              </w:rPr>
              <w:t xml:space="preserve"> for Prespa National Park was 37</w:t>
            </w:r>
            <w:r w:rsidRPr="0089284E">
              <w:rPr>
                <w:sz w:val="22"/>
              </w:rPr>
              <w:t xml:space="preserve"> in 20</w:t>
            </w:r>
            <w:r w:rsidR="000731AC" w:rsidRPr="0089284E">
              <w:rPr>
                <w:sz w:val="22"/>
              </w:rPr>
              <w:t>11</w:t>
            </w:r>
            <w:r w:rsidRPr="0089284E">
              <w:rPr>
                <w:sz w:val="22"/>
              </w:rPr>
              <w:t>, up from 31 scored in the baseline assessment in 2007.</w:t>
            </w:r>
          </w:p>
        </w:tc>
      </w:tr>
      <w:tr w:rsidR="001657BB" w:rsidRPr="000A3C73" w:rsidTr="00370B8E">
        <w:tc>
          <w:tcPr>
            <w:tcW w:w="558" w:type="dxa"/>
          </w:tcPr>
          <w:p w:rsidR="001657BB" w:rsidRPr="000A3C73" w:rsidRDefault="001657BB" w:rsidP="00370B8E">
            <w:pPr>
              <w:pStyle w:val="BodyText"/>
              <w:numPr>
                <w:ilvl w:val="0"/>
                <w:numId w:val="0"/>
              </w:numPr>
              <w:rPr>
                <w:sz w:val="22"/>
              </w:rPr>
            </w:pPr>
            <w:r w:rsidRPr="000A3C73">
              <w:rPr>
                <w:sz w:val="22"/>
              </w:rPr>
              <w:t>FYR Macedonia</w:t>
            </w:r>
          </w:p>
        </w:tc>
        <w:tc>
          <w:tcPr>
            <w:tcW w:w="9018" w:type="dxa"/>
          </w:tcPr>
          <w:p w:rsidR="001657BB" w:rsidRPr="000A3C73" w:rsidRDefault="001657BB" w:rsidP="001657BB">
            <w:pPr>
              <w:widowControl w:val="0"/>
              <w:spacing w:after="60"/>
              <w:jc w:val="both"/>
              <w:rPr>
                <w:rFonts w:ascii="Calibri" w:hAnsi="Calibri" w:cs="Arial"/>
                <w:snapToGrid w:val="0"/>
                <w:sz w:val="22"/>
                <w:szCs w:val="22"/>
              </w:rPr>
            </w:pPr>
            <w:r w:rsidRPr="000A3C73">
              <w:rPr>
                <w:rFonts w:ascii="Calibri" w:hAnsi="Calibri" w:cs="Arial"/>
                <w:snapToGrid w:val="0"/>
                <w:sz w:val="22"/>
                <w:szCs w:val="22"/>
              </w:rPr>
              <w:t xml:space="preserve">The Macedonian national Programme component supported the pioneering species and habitats conservation trans-boundary activity by: (1) support in conceptualizing the work for preparation of 5 species/habitats conservation action plans; (2) ensuring active participation of the Macedonian stakeholders in the trans-boundary consultations regarding the conservation actions; (3) providing support in organizing meetings, workshops; and (4) reviewing and commenting on the expert work (reports, draft conservation action plans). </w:t>
            </w:r>
          </w:p>
        </w:tc>
      </w:tr>
    </w:tbl>
    <w:p w:rsidR="00582FD5" w:rsidRPr="0089284E" w:rsidRDefault="00582FD5" w:rsidP="001657BB">
      <w:pPr>
        <w:pStyle w:val="BodyText"/>
        <w:numPr>
          <w:ilvl w:val="0"/>
          <w:numId w:val="0"/>
        </w:numPr>
        <w:rPr>
          <w:bCs/>
          <w:i/>
          <w:u w:val="single"/>
        </w:rPr>
      </w:pPr>
    </w:p>
    <w:p w:rsidR="00337D1D" w:rsidRPr="000A3C73" w:rsidRDefault="00337D1D" w:rsidP="00337D1D">
      <w:pPr>
        <w:pStyle w:val="Caption"/>
        <w:jc w:val="both"/>
      </w:pPr>
      <w:bookmarkStart w:id="122" w:name="_Ref209668847"/>
      <w:r w:rsidRPr="00FC657B">
        <w:t xml:space="preserve">Figure </w:t>
      </w:r>
      <w:r w:rsidR="008269C6" w:rsidRPr="00F92C45">
        <w:fldChar w:fldCharType="begin"/>
      </w:r>
      <w:r w:rsidR="00CF23E9" w:rsidRPr="000A3C73">
        <w:instrText xml:space="preserve"> SEQ Figure \* ARABIC </w:instrText>
      </w:r>
      <w:r w:rsidR="008269C6" w:rsidRPr="00F92C45">
        <w:fldChar w:fldCharType="separate"/>
      </w:r>
      <w:r w:rsidR="006E18A7" w:rsidRPr="000A3C73">
        <w:rPr>
          <w:noProof/>
        </w:rPr>
        <w:t>14</w:t>
      </w:r>
      <w:r w:rsidR="008269C6" w:rsidRPr="00F92C45">
        <w:rPr>
          <w:noProof/>
        </w:rPr>
        <w:fldChar w:fldCharType="end"/>
      </w:r>
      <w:bookmarkEnd w:id="122"/>
      <w:r w:rsidRPr="000A3C73">
        <w:t xml:space="preserve"> Identified Corridors for Brown Bear in Prespa Region</w:t>
      </w:r>
      <w:r w:rsidR="00717820" w:rsidRPr="000A3C73">
        <w:rPr>
          <w:rStyle w:val="FootnoteReference"/>
        </w:rPr>
        <w:footnoteReference w:id="27"/>
      </w:r>
    </w:p>
    <w:p w:rsidR="00337D1D" w:rsidRPr="0089284E" w:rsidRDefault="00337D1D" w:rsidP="001657BB">
      <w:pPr>
        <w:pStyle w:val="BodyText"/>
        <w:numPr>
          <w:ilvl w:val="0"/>
          <w:numId w:val="0"/>
        </w:numPr>
        <w:rPr>
          <w:bCs/>
          <w:i/>
          <w:u w:val="single"/>
        </w:rPr>
      </w:pPr>
      <w:r w:rsidRPr="00F92C45">
        <w:rPr>
          <w:noProof/>
        </w:rPr>
        <w:drawing>
          <wp:inline distT="0" distB="0" distL="0" distR="0">
            <wp:extent cx="5943600" cy="4203054"/>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943600" cy="4203054"/>
                    </a:xfrm>
                    <a:prstGeom prst="rect">
                      <a:avLst/>
                    </a:prstGeom>
                    <a:noFill/>
                    <a:ln>
                      <a:noFill/>
                    </a:ln>
                  </pic:spPr>
                </pic:pic>
              </a:graphicData>
            </a:graphic>
          </wp:inline>
        </w:drawing>
      </w:r>
    </w:p>
    <w:p w:rsidR="00337D1D" w:rsidRPr="0089284E" w:rsidRDefault="00337D1D" w:rsidP="001657BB">
      <w:pPr>
        <w:pStyle w:val="BodyText"/>
        <w:numPr>
          <w:ilvl w:val="0"/>
          <w:numId w:val="0"/>
        </w:numPr>
        <w:rPr>
          <w:bCs/>
          <w:i/>
          <w:u w:val="single"/>
        </w:rPr>
      </w:pPr>
    </w:p>
    <w:p w:rsidR="007708EB" w:rsidRPr="0089284E" w:rsidRDefault="008C3DDF" w:rsidP="00ED656A">
      <w:pPr>
        <w:pStyle w:val="BodyText"/>
        <w:rPr>
          <w:bCs/>
          <w:i/>
          <w:u w:val="single"/>
        </w:rPr>
      </w:pPr>
      <w:r w:rsidRPr="0089284E">
        <w:rPr>
          <w:b/>
          <w:bCs/>
          <w:i/>
          <w:u w:val="single"/>
        </w:rPr>
        <w:t>Output 4.5</w:t>
      </w:r>
      <w:r w:rsidRPr="0089284E">
        <w:rPr>
          <w:bCs/>
          <w:i/>
          <w:u w:val="single"/>
        </w:rPr>
        <w:t xml:space="preserve"> Tri-national ecotourism and visitation strategy and management plan designed and approved by stakeholders</w:t>
      </w:r>
    </w:p>
    <w:tbl>
      <w:tblPr>
        <w:tblStyle w:val="TableGrid"/>
        <w:tblW w:w="0" w:type="auto"/>
        <w:tblLook w:val="04A0"/>
      </w:tblPr>
      <w:tblGrid>
        <w:gridCol w:w="1567"/>
        <w:gridCol w:w="8009"/>
      </w:tblGrid>
      <w:tr w:rsidR="001657BB" w:rsidRPr="000A3C73" w:rsidTr="00250311">
        <w:tc>
          <w:tcPr>
            <w:tcW w:w="1567" w:type="dxa"/>
          </w:tcPr>
          <w:p w:rsidR="001657BB" w:rsidRPr="00FC657B" w:rsidRDefault="001657BB" w:rsidP="00370B8E">
            <w:pPr>
              <w:pStyle w:val="BodyText"/>
              <w:numPr>
                <w:ilvl w:val="0"/>
                <w:numId w:val="0"/>
              </w:numPr>
              <w:rPr>
                <w:sz w:val="22"/>
              </w:rPr>
            </w:pPr>
            <w:r w:rsidRPr="00FC657B">
              <w:rPr>
                <w:sz w:val="22"/>
              </w:rPr>
              <w:t>Transboundary</w:t>
            </w:r>
          </w:p>
        </w:tc>
        <w:tc>
          <w:tcPr>
            <w:tcW w:w="8009" w:type="dxa"/>
          </w:tcPr>
          <w:p w:rsidR="0084701C" w:rsidRPr="000A3C73" w:rsidRDefault="004C09B7" w:rsidP="004C09B7">
            <w:pPr>
              <w:pStyle w:val="BodyText"/>
              <w:numPr>
                <w:ilvl w:val="0"/>
                <w:numId w:val="0"/>
              </w:numPr>
              <w:rPr>
                <w:rFonts w:cs="Arial"/>
                <w:snapToGrid w:val="0"/>
                <w:sz w:val="22"/>
                <w:szCs w:val="22"/>
              </w:rPr>
            </w:pPr>
            <w:r w:rsidRPr="00FC657B">
              <w:rPr>
                <w:rFonts w:cs="Arial"/>
                <w:snapToGrid w:val="0"/>
                <w:sz w:val="22"/>
                <w:szCs w:val="22"/>
              </w:rPr>
              <w:t xml:space="preserve">The </w:t>
            </w:r>
            <w:r w:rsidR="008F3BE2" w:rsidRPr="00D77DF1">
              <w:rPr>
                <w:rFonts w:cs="Arial"/>
                <w:snapToGrid w:val="0"/>
                <w:sz w:val="22"/>
                <w:szCs w:val="22"/>
              </w:rPr>
              <w:t xml:space="preserve">five year </w:t>
            </w:r>
            <w:r w:rsidRPr="00CD42DE">
              <w:rPr>
                <w:rFonts w:cs="Arial"/>
                <w:snapToGrid w:val="0"/>
                <w:sz w:val="22"/>
                <w:szCs w:val="22"/>
              </w:rPr>
              <w:t>regional tourism strategy is another positive result of the transboundary component, and is one</w:t>
            </w:r>
            <w:r w:rsidRPr="00AA7D1F">
              <w:rPr>
                <w:rFonts w:cs="Arial"/>
                <w:snapToGrid w:val="0"/>
                <w:sz w:val="22"/>
                <w:szCs w:val="22"/>
              </w:rPr>
              <w:t xml:space="preserve"> that has found resonance with local stakeholders.</w:t>
            </w:r>
            <w:r w:rsidR="0025217C" w:rsidRPr="005E69C8">
              <w:rPr>
                <w:rFonts w:cs="Arial"/>
                <w:snapToGrid w:val="0"/>
                <w:sz w:val="22"/>
                <w:szCs w:val="22"/>
              </w:rPr>
              <w:t xml:space="preserve"> </w:t>
            </w:r>
            <w:r w:rsidR="009A6EEE" w:rsidRPr="00850A96">
              <w:rPr>
                <w:rFonts w:cs="Arial"/>
                <w:snapToGrid w:val="0"/>
                <w:sz w:val="22"/>
                <w:szCs w:val="22"/>
              </w:rPr>
              <w:t xml:space="preserve">Production </w:t>
            </w:r>
            <w:r w:rsidR="000F04BF" w:rsidRPr="008B7E9A">
              <w:rPr>
                <w:rFonts w:cs="Arial"/>
                <w:snapToGrid w:val="0"/>
                <w:sz w:val="22"/>
                <w:szCs w:val="22"/>
              </w:rPr>
              <w:t>of t</w:t>
            </w:r>
            <w:r w:rsidR="009A6EEE" w:rsidRPr="000126EE">
              <w:rPr>
                <w:rFonts w:cs="Arial"/>
                <w:snapToGrid w:val="0"/>
                <w:sz w:val="22"/>
                <w:szCs w:val="22"/>
              </w:rPr>
              <w:t>he tourism strategy thro</w:t>
            </w:r>
            <w:r w:rsidR="009A6EEE" w:rsidRPr="00B71D27">
              <w:rPr>
                <w:rFonts w:cs="Arial"/>
                <w:snapToGrid w:val="0"/>
                <w:sz w:val="22"/>
                <w:szCs w:val="22"/>
              </w:rPr>
              <w:t>ugh a consultative process that has garnered support from local government in all three countries is a significant achievement. An even bigger effort may be required to ensure that the strategy in fact acts as a reference in the coming years for developmen</w:t>
            </w:r>
            <w:r w:rsidR="009A6EEE" w:rsidRPr="00595792">
              <w:rPr>
                <w:rFonts w:cs="Arial"/>
                <w:snapToGrid w:val="0"/>
                <w:sz w:val="22"/>
                <w:szCs w:val="22"/>
              </w:rPr>
              <w:t xml:space="preserve">t in the region. </w:t>
            </w:r>
            <w:r w:rsidR="000B06C2" w:rsidRPr="00602E30">
              <w:rPr>
                <w:rFonts w:cs="Arial"/>
                <w:snapToGrid w:val="0"/>
                <w:sz w:val="22"/>
                <w:szCs w:val="22"/>
              </w:rPr>
              <w:t>This activity was carried out in collaboration with the Netherlands Development Organization (SNV), building on a</w:t>
            </w:r>
            <w:r w:rsidR="000B06C2" w:rsidRPr="002A69B7">
              <w:rPr>
                <w:rFonts w:cs="Arial"/>
                <w:snapToGrid w:val="0"/>
                <w:sz w:val="22"/>
                <w:szCs w:val="22"/>
              </w:rPr>
              <w:t xml:space="preserve"> tourism action plan developed by SN</w:t>
            </w:r>
            <w:r w:rsidR="000B06C2" w:rsidRPr="002C744B">
              <w:rPr>
                <w:rFonts w:cs="Arial"/>
                <w:snapToGrid w:val="0"/>
                <w:sz w:val="22"/>
                <w:szCs w:val="22"/>
              </w:rPr>
              <w:t>V for Prespa National Park in Albania in 2007-2008.</w:t>
            </w:r>
            <w:r w:rsidRPr="00C56966">
              <w:rPr>
                <w:rFonts w:cs="Arial"/>
                <w:snapToGrid w:val="0"/>
                <w:sz w:val="22"/>
                <w:szCs w:val="22"/>
              </w:rPr>
              <w:t xml:space="preserve"> A stakeholder consultation on the development of a tourism strategy was held in October 24</w:t>
            </w:r>
            <w:r w:rsidRPr="002D3949">
              <w:rPr>
                <w:rFonts w:cs="Arial"/>
                <w:snapToGrid w:val="0"/>
                <w:sz w:val="22"/>
                <w:szCs w:val="22"/>
                <w:vertAlign w:val="superscript"/>
              </w:rPr>
              <w:t>th</w:t>
            </w:r>
            <w:r w:rsidRPr="000A3C73">
              <w:rPr>
                <w:rFonts w:cs="Arial"/>
                <w:snapToGrid w:val="0"/>
                <w:sz w:val="22"/>
                <w:szCs w:val="22"/>
              </w:rPr>
              <w:t xml:space="preserve">, 2008, following which an initial consultant report was produced on the situation analysis and proposal for preparation of a trilateral tourism strategy and action plan for the Prespa region. </w:t>
            </w:r>
            <w:r w:rsidR="00042A08" w:rsidRPr="000A3C73">
              <w:rPr>
                <w:rFonts w:cs="Arial"/>
                <w:snapToGrid w:val="0"/>
                <w:sz w:val="22"/>
                <w:szCs w:val="22"/>
              </w:rPr>
              <w:t>The final Trilateral Tourism Strategy and Action Plan for the Prespa Lakes Basin (2012-2016</w:t>
            </w:r>
            <w:r w:rsidR="00B36554" w:rsidRPr="000A3C73">
              <w:rPr>
                <w:rFonts w:cs="Arial"/>
                <w:snapToGrid w:val="0"/>
                <w:sz w:val="22"/>
                <w:szCs w:val="22"/>
              </w:rPr>
              <w:t xml:space="preserve">) was produced in December 2011, following consultations with stakeholders in September-October 2011. </w:t>
            </w:r>
            <w:r w:rsidR="005D2FEE" w:rsidRPr="000A3C73">
              <w:rPr>
                <w:rFonts w:cs="Arial"/>
                <w:snapToGrid w:val="0"/>
                <w:sz w:val="22"/>
                <w:szCs w:val="22"/>
              </w:rPr>
              <w:t xml:space="preserve">The </w:t>
            </w:r>
            <w:r w:rsidR="00FD17F1" w:rsidRPr="000A3C73">
              <w:rPr>
                <w:rFonts w:cs="Arial"/>
                <w:snapToGrid w:val="0"/>
                <w:sz w:val="22"/>
                <w:szCs w:val="22"/>
              </w:rPr>
              <w:t>mayors of the three municipal districts in the three littoral states adopted the strategy in June 2012</w:t>
            </w:r>
            <w:r w:rsidR="005D2FEE" w:rsidRPr="000A3C73">
              <w:rPr>
                <w:rFonts w:cs="Arial"/>
                <w:snapToGrid w:val="0"/>
                <w:sz w:val="22"/>
                <w:szCs w:val="22"/>
              </w:rPr>
              <w:t xml:space="preserve">. </w:t>
            </w:r>
          </w:p>
          <w:p w:rsidR="001C5CA2" w:rsidRPr="000A3C73" w:rsidRDefault="00B36554" w:rsidP="001C5CA2">
            <w:pPr>
              <w:pStyle w:val="BodyText"/>
              <w:numPr>
                <w:ilvl w:val="0"/>
                <w:numId w:val="0"/>
              </w:numPr>
              <w:rPr>
                <w:rFonts w:cs="Arial"/>
                <w:snapToGrid w:val="0"/>
                <w:sz w:val="22"/>
                <w:szCs w:val="22"/>
              </w:rPr>
            </w:pPr>
            <w:r w:rsidRPr="000A3C73">
              <w:rPr>
                <w:rFonts w:cs="Arial"/>
                <w:snapToGrid w:val="0"/>
                <w:sz w:val="22"/>
                <w:szCs w:val="22"/>
              </w:rPr>
              <w:t>Ecotourism is frequently cited a panacea for sustainable development, tho</w:t>
            </w:r>
            <w:r w:rsidR="005D2FEE" w:rsidRPr="000A3C73">
              <w:rPr>
                <w:rFonts w:cs="Arial"/>
                <w:snapToGrid w:val="0"/>
                <w:sz w:val="22"/>
                <w:szCs w:val="22"/>
              </w:rPr>
              <w:t xml:space="preserve">ugh in many cases tangible results are yet to be fully realized. There is clearly a potential for increased tourism in the Prespa region, as neighboring Ohrid is perhaps the most significant tourist destination in Macedonia, though the vision for Prespa is not necessarily to emulate the experience of Ohrid. The tourism strategy cites the vision for tourism development in the region as follows: </w:t>
            </w:r>
            <w:r w:rsidR="005D2FEE" w:rsidRPr="000A3C73">
              <w:rPr>
                <w:rFonts w:cs="Arial"/>
                <w:i/>
                <w:snapToGrid w:val="0"/>
                <w:sz w:val="22"/>
                <w:szCs w:val="22"/>
              </w:rPr>
              <w:t>“The Prespa lakes basin will be developed as a model of sustainable and responsible tourism development, building on its superb natural and cultural features. It will have high quality attractions and activities for both domestic and international visitors in a stunning landscape protected by National Parks. It will continue to develop as a model of cross-border cooperation to the economic and socio-cultural benefit of its inhabitants. It will be managed as a trans-boundary Biosphere Reserve and achieve World Heritage Site enlisting.”</w:t>
            </w:r>
          </w:p>
          <w:p w:rsidR="001C5CA2" w:rsidRPr="000A3C73" w:rsidRDefault="009A6EEE" w:rsidP="001C5CA2">
            <w:pPr>
              <w:pStyle w:val="BodyText"/>
              <w:numPr>
                <w:ilvl w:val="0"/>
                <w:numId w:val="0"/>
              </w:numPr>
              <w:rPr>
                <w:rFonts w:cs="Arial"/>
                <w:snapToGrid w:val="0"/>
                <w:sz w:val="22"/>
                <w:szCs w:val="22"/>
              </w:rPr>
            </w:pPr>
            <w:r w:rsidRPr="000A3C73">
              <w:rPr>
                <w:rFonts w:cs="Arial"/>
                <w:snapToGrid w:val="0"/>
                <w:sz w:val="22"/>
                <w:szCs w:val="22"/>
              </w:rPr>
              <w:t xml:space="preserve">Now that the strategy has been produced, actual implementation over time will be a much bigger task. </w:t>
            </w:r>
            <w:r w:rsidR="005D2FEE" w:rsidRPr="000A3C73">
              <w:rPr>
                <w:rFonts w:cs="Arial"/>
                <w:snapToGrid w:val="0"/>
                <w:sz w:val="22"/>
                <w:szCs w:val="22"/>
              </w:rPr>
              <w:t>With no further transboundary activity planned with respect to tourism development, and the PPMC not yet fully operational, it is not clear who will take responsibility for ensuring the stra</w:t>
            </w:r>
            <w:r w:rsidR="008A0D66" w:rsidRPr="000A3C73">
              <w:rPr>
                <w:rFonts w:cs="Arial"/>
                <w:snapToGrid w:val="0"/>
                <w:sz w:val="22"/>
                <w:szCs w:val="22"/>
              </w:rPr>
              <w:t xml:space="preserve">tegy is followed over time. </w:t>
            </w:r>
            <w:r w:rsidR="001C5CA2" w:rsidRPr="000A3C73">
              <w:rPr>
                <w:rFonts w:cs="Arial"/>
                <w:snapToGrid w:val="0"/>
                <w:sz w:val="22"/>
                <w:szCs w:val="22"/>
              </w:rPr>
              <w:t>The strategy itself sees an important role for the PPMC</w:t>
            </w:r>
            <w:r w:rsidR="00021D42" w:rsidRPr="000A3C73">
              <w:rPr>
                <w:rFonts w:cs="Arial"/>
                <w:snapToGrid w:val="0"/>
                <w:sz w:val="22"/>
                <w:szCs w:val="22"/>
              </w:rPr>
              <w:t xml:space="preserve"> as the way forward for the strategy</w:t>
            </w:r>
            <w:r w:rsidR="001C5CA2" w:rsidRPr="000A3C73">
              <w:rPr>
                <w:rFonts w:cs="Arial"/>
                <w:snapToGrid w:val="0"/>
                <w:sz w:val="22"/>
                <w:szCs w:val="22"/>
              </w:rPr>
              <w:t>: “</w:t>
            </w:r>
            <w:r w:rsidR="001C5CA2" w:rsidRPr="000A3C73">
              <w:rPr>
                <w:rFonts w:cs="Arial"/>
                <w:i/>
                <w:snapToGrid w:val="0"/>
                <w:sz w:val="22"/>
                <w:szCs w:val="22"/>
              </w:rPr>
              <w:t>The PPMC is an ideal vehicle for taking forward the establishment of a Prespa Park Biosphere Reserve, as it includes both environmental and local community interests. It should also play a strong role in seeking funding for the flagship projects tourism projects recommended in this strategy, and ensuring their quality delivery and quality delivery of training. PPMC, being made up mostly of government bodies (including national parks) has an obvious strategic guiding role. In this strategic role, commissioning market research and feasibility studies for flagship projects can also be usefully undertaken. PPMC also should have a strong monitoring role.</w:t>
            </w:r>
            <w:r w:rsidR="001C5CA2" w:rsidRPr="000A3C73">
              <w:rPr>
                <w:rFonts w:cs="Arial"/>
                <w:snapToGrid w:val="0"/>
                <w:sz w:val="22"/>
                <w:szCs w:val="22"/>
              </w:rPr>
              <w:t>”</w:t>
            </w:r>
          </w:p>
          <w:p w:rsidR="00B36554" w:rsidRPr="000A3C73" w:rsidRDefault="008A0D66" w:rsidP="001C5CA2">
            <w:pPr>
              <w:pStyle w:val="BodyText"/>
              <w:numPr>
                <w:ilvl w:val="0"/>
                <w:numId w:val="0"/>
              </w:numPr>
              <w:rPr>
                <w:rFonts w:cs="Arial"/>
                <w:snapToGrid w:val="0"/>
                <w:sz w:val="22"/>
                <w:szCs w:val="22"/>
              </w:rPr>
            </w:pPr>
            <w:r w:rsidRPr="000A3C73">
              <w:rPr>
                <w:rFonts w:cs="Arial"/>
                <w:snapToGrid w:val="0"/>
                <w:sz w:val="22"/>
                <w:szCs w:val="22"/>
              </w:rPr>
              <w:t>At present, t</w:t>
            </w:r>
            <w:r w:rsidR="005D2FEE" w:rsidRPr="000A3C73">
              <w:rPr>
                <w:rFonts w:cs="Arial"/>
                <w:snapToGrid w:val="0"/>
                <w:sz w:val="22"/>
                <w:szCs w:val="22"/>
              </w:rPr>
              <w:t xml:space="preserve">he municipalities in Albania, Greece and Macedonia will have to take it upon themselves to actually apply the strategy and use it as a reference in decision-making related to economic development. </w:t>
            </w:r>
            <w:r w:rsidRPr="000A3C73">
              <w:rPr>
                <w:rFonts w:cs="Arial"/>
                <w:snapToGrid w:val="0"/>
                <w:sz w:val="22"/>
                <w:szCs w:val="22"/>
              </w:rPr>
              <w:t>There has been discussion about the possible designation of Prespa as a UNESCO Man and Biosphere reserve, which could be another pathway for future transboundary cooperation. A regional conference on Prespa as a possible biosphere reserve was held February 17</w:t>
            </w:r>
            <w:r w:rsidRPr="000A3C73">
              <w:rPr>
                <w:rFonts w:cs="Arial"/>
                <w:snapToGrid w:val="0"/>
                <w:sz w:val="22"/>
                <w:szCs w:val="22"/>
                <w:vertAlign w:val="superscript"/>
              </w:rPr>
              <w:t>th</w:t>
            </w:r>
            <w:r w:rsidRPr="000A3C73">
              <w:rPr>
                <w:rFonts w:cs="Arial"/>
                <w:snapToGrid w:val="0"/>
                <w:sz w:val="22"/>
                <w:szCs w:val="22"/>
              </w:rPr>
              <w:t xml:space="preserve"> – 18</w:t>
            </w:r>
            <w:r w:rsidRPr="000A3C73">
              <w:rPr>
                <w:rFonts w:cs="Arial"/>
                <w:snapToGrid w:val="0"/>
                <w:sz w:val="22"/>
                <w:szCs w:val="22"/>
                <w:vertAlign w:val="superscript"/>
              </w:rPr>
              <w:t>th</w:t>
            </w:r>
            <w:r w:rsidR="004A1F8D" w:rsidRPr="000A3C73">
              <w:rPr>
                <w:rFonts w:cs="Arial"/>
                <w:snapToGrid w:val="0"/>
                <w:sz w:val="22"/>
                <w:szCs w:val="22"/>
              </w:rPr>
              <w:t>, 2011 in Ohrid with 60 attendees.</w:t>
            </w:r>
          </w:p>
          <w:p w:rsidR="001657BB" w:rsidRPr="000A3C73" w:rsidRDefault="0084701C" w:rsidP="0084701C">
            <w:pPr>
              <w:pStyle w:val="BodyText"/>
              <w:numPr>
                <w:ilvl w:val="0"/>
                <w:numId w:val="0"/>
              </w:numPr>
              <w:rPr>
                <w:rFonts w:cs="Arial"/>
                <w:snapToGrid w:val="0"/>
                <w:sz w:val="22"/>
                <w:szCs w:val="22"/>
              </w:rPr>
            </w:pPr>
            <w:r w:rsidRPr="000A3C73">
              <w:rPr>
                <w:rFonts w:cs="Arial"/>
                <w:snapToGrid w:val="0"/>
                <w:sz w:val="22"/>
                <w:szCs w:val="22"/>
              </w:rPr>
              <w:t>The</w:t>
            </w:r>
            <w:r w:rsidR="00B822D5" w:rsidRPr="000A3C73">
              <w:rPr>
                <w:rFonts w:cs="Arial"/>
                <w:snapToGrid w:val="0"/>
                <w:sz w:val="22"/>
                <w:szCs w:val="22"/>
              </w:rPr>
              <w:t xml:space="preserve"> trans-boundary Ecotourism Strategy and Action Plan </w:t>
            </w:r>
            <w:r w:rsidRPr="000A3C73">
              <w:rPr>
                <w:rFonts w:cs="Arial"/>
                <w:snapToGrid w:val="0"/>
                <w:sz w:val="22"/>
                <w:szCs w:val="22"/>
              </w:rPr>
              <w:t>was produced under the following process</w:t>
            </w:r>
            <w:r w:rsidR="00B822D5" w:rsidRPr="000A3C73">
              <w:rPr>
                <w:rFonts w:cs="Arial"/>
                <w:snapToGrid w:val="0"/>
                <w:sz w:val="22"/>
                <w:szCs w:val="22"/>
              </w:rPr>
              <w:t>: (1) r</w:t>
            </w:r>
            <w:r w:rsidR="00B822D5" w:rsidRPr="000A3C73">
              <w:rPr>
                <w:rFonts w:cs="Arial"/>
                <w:bCs/>
                <w:sz w:val="22"/>
                <w:szCs w:val="22"/>
              </w:rPr>
              <w:t xml:space="preserve">eview of existing and relevant strategies/plans/studies </w:t>
            </w:r>
            <w:r w:rsidR="00B822D5" w:rsidRPr="000A3C73">
              <w:rPr>
                <w:rFonts w:cs="Arial"/>
                <w:sz w:val="22"/>
                <w:szCs w:val="22"/>
              </w:rPr>
              <w:t xml:space="preserve">pertaining to the Prespa region; (2) </w:t>
            </w:r>
            <w:r w:rsidR="00B822D5" w:rsidRPr="000A3C73">
              <w:rPr>
                <w:rFonts w:cs="Arial"/>
                <w:bCs/>
                <w:sz w:val="22"/>
                <w:szCs w:val="22"/>
              </w:rPr>
              <w:t xml:space="preserve">in-depth assessment and evaluation of the current status of the Tourism sector </w:t>
            </w:r>
            <w:r w:rsidR="00B822D5" w:rsidRPr="000A3C73">
              <w:rPr>
                <w:rFonts w:cs="Arial"/>
                <w:sz w:val="22"/>
                <w:szCs w:val="22"/>
              </w:rPr>
              <w:t>in the Prespa region; (3) r</w:t>
            </w:r>
            <w:r w:rsidR="00B822D5" w:rsidRPr="000A3C73">
              <w:rPr>
                <w:rFonts w:cs="Arial"/>
                <w:bCs/>
                <w:sz w:val="22"/>
                <w:szCs w:val="22"/>
              </w:rPr>
              <w:t xml:space="preserve">eview and analysis of existing institutional structures </w:t>
            </w:r>
            <w:r w:rsidR="00B822D5" w:rsidRPr="000A3C73">
              <w:rPr>
                <w:rFonts w:cs="Arial"/>
                <w:sz w:val="22"/>
                <w:szCs w:val="22"/>
              </w:rPr>
              <w:t xml:space="preserve">for tourism at national, regional and local level, and existing tourism industry organization arrangements including relevant associations, networks, personnel, tourism stakeholders, etc.; (4) </w:t>
            </w:r>
            <w:r w:rsidR="00B822D5" w:rsidRPr="000A3C73">
              <w:rPr>
                <w:rFonts w:cs="Arial"/>
                <w:bCs/>
                <w:sz w:val="22"/>
                <w:szCs w:val="22"/>
              </w:rPr>
              <w:t xml:space="preserve">preparation of detailed inventory </w:t>
            </w:r>
            <w:r w:rsidR="00B822D5" w:rsidRPr="000A3C73">
              <w:rPr>
                <w:rFonts w:cs="Arial"/>
                <w:sz w:val="22"/>
                <w:szCs w:val="22"/>
              </w:rPr>
              <w:t xml:space="preserve">of all cultural, natural, historic, religious, ecotourism, adventure tourism, spa, rural tourism, and special interest tourist resources in the Prespa Lakes basin; (5) </w:t>
            </w:r>
            <w:r w:rsidR="00B822D5" w:rsidRPr="000A3C73">
              <w:rPr>
                <w:rFonts w:cs="Arial"/>
                <w:bCs/>
                <w:sz w:val="22"/>
                <w:szCs w:val="22"/>
              </w:rPr>
              <w:t xml:space="preserve">assessment of tourism supply </w:t>
            </w:r>
            <w:r w:rsidR="00B822D5" w:rsidRPr="000A3C73">
              <w:rPr>
                <w:rFonts w:cs="Arial"/>
                <w:sz w:val="22"/>
                <w:szCs w:val="22"/>
              </w:rPr>
              <w:t xml:space="preserve">in the Prespa lakes basin in the three countries; (6) </w:t>
            </w:r>
            <w:r w:rsidR="00B822D5" w:rsidRPr="000A3C73">
              <w:rPr>
                <w:rFonts w:cs="Arial"/>
                <w:bCs/>
                <w:sz w:val="22"/>
                <w:szCs w:val="22"/>
              </w:rPr>
              <w:t xml:space="preserve">assessment of tourism demand </w:t>
            </w:r>
            <w:r w:rsidR="00B822D5" w:rsidRPr="000A3C73">
              <w:rPr>
                <w:rFonts w:cs="Arial"/>
                <w:sz w:val="22"/>
                <w:szCs w:val="22"/>
              </w:rPr>
              <w:t xml:space="preserve">and development of market projections; (7) </w:t>
            </w:r>
            <w:r w:rsidR="00B822D5" w:rsidRPr="000A3C73">
              <w:rPr>
                <w:rFonts w:cs="Arial"/>
                <w:bCs/>
                <w:sz w:val="22"/>
                <w:szCs w:val="22"/>
              </w:rPr>
              <w:t xml:space="preserve">evaluation of all aspects of the cultural and natural heritage </w:t>
            </w:r>
            <w:r w:rsidR="00B822D5" w:rsidRPr="000A3C73">
              <w:rPr>
                <w:rFonts w:cs="Arial"/>
                <w:sz w:val="22"/>
                <w:szCs w:val="22"/>
              </w:rPr>
              <w:t xml:space="preserve">in Prespa with recommendations for their enhancement as tourist attractions; (8) </w:t>
            </w:r>
            <w:r w:rsidR="00B822D5" w:rsidRPr="000A3C73">
              <w:rPr>
                <w:rFonts w:cs="Arial"/>
                <w:bCs/>
                <w:sz w:val="22"/>
                <w:szCs w:val="22"/>
              </w:rPr>
              <w:t>evaluation of tourism product (s) for the Prespa region; (9) formulation of a vision for tourism development</w:t>
            </w:r>
            <w:r w:rsidR="00B822D5" w:rsidRPr="000A3C73">
              <w:rPr>
                <w:rFonts w:cs="Arial"/>
                <w:sz w:val="22"/>
                <w:szCs w:val="22"/>
              </w:rPr>
              <w:t>; (10) d</w:t>
            </w:r>
            <w:r w:rsidR="00B822D5" w:rsidRPr="000A3C73">
              <w:rPr>
                <w:rFonts w:cs="Arial"/>
                <w:bCs/>
                <w:sz w:val="22"/>
                <w:szCs w:val="22"/>
              </w:rPr>
              <w:t xml:space="preserve">evelopment of destination network; (11) development of tourism awareness programme </w:t>
            </w:r>
            <w:r w:rsidR="00B822D5" w:rsidRPr="000A3C73">
              <w:rPr>
                <w:rFonts w:cs="Arial"/>
                <w:sz w:val="22"/>
                <w:szCs w:val="22"/>
              </w:rPr>
              <w:t>to mitigate negative impacts of tourism; (12) s</w:t>
            </w:r>
            <w:r w:rsidR="00B822D5" w:rsidRPr="000A3C73">
              <w:rPr>
                <w:rFonts w:cs="Arial"/>
                <w:bCs/>
                <w:sz w:val="22"/>
                <w:szCs w:val="22"/>
              </w:rPr>
              <w:t xml:space="preserve">trategic marketing analysis; (13) </w:t>
            </w:r>
            <w:r w:rsidR="00B822D5" w:rsidRPr="000A3C73">
              <w:rPr>
                <w:rFonts w:cs="Arial"/>
                <w:sz w:val="22"/>
                <w:szCs w:val="22"/>
              </w:rPr>
              <w:t>qualitative and quantitative assessment of human resources in tourism needs to be undertaken and a human resource development plan; and (14) preparation of Tourism Action Plan (2010 – 2015).</w:t>
            </w:r>
          </w:p>
        </w:tc>
      </w:tr>
      <w:tr w:rsidR="00250311" w:rsidRPr="000A3C73" w:rsidTr="00250311">
        <w:tc>
          <w:tcPr>
            <w:tcW w:w="1567" w:type="dxa"/>
          </w:tcPr>
          <w:p w:rsidR="00250311" w:rsidRPr="000A3C73" w:rsidRDefault="00250311" w:rsidP="00370B8E">
            <w:pPr>
              <w:pStyle w:val="BodyText"/>
              <w:numPr>
                <w:ilvl w:val="0"/>
                <w:numId w:val="0"/>
              </w:numPr>
              <w:rPr>
                <w:sz w:val="22"/>
              </w:rPr>
            </w:pPr>
            <w:r w:rsidRPr="000A3C73">
              <w:rPr>
                <w:sz w:val="22"/>
              </w:rPr>
              <w:t>Albania</w:t>
            </w:r>
          </w:p>
        </w:tc>
        <w:tc>
          <w:tcPr>
            <w:tcW w:w="8009" w:type="dxa"/>
            <w:vMerge w:val="restart"/>
          </w:tcPr>
          <w:p w:rsidR="00250311" w:rsidRPr="000A3C73" w:rsidRDefault="00250311" w:rsidP="006F1932">
            <w:pPr>
              <w:pStyle w:val="BodyText"/>
              <w:numPr>
                <w:ilvl w:val="0"/>
                <w:numId w:val="0"/>
              </w:numPr>
              <w:rPr>
                <w:sz w:val="22"/>
              </w:rPr>
            </w:pPr>
            <w:r w:rsidRPr="000A3C73">
              <w:rPr>
                <w:sz w:val="22"/>
              </w:rPr>
              <w:t>Local government leaders in Albania and Macedonia Prespa (as well as in Greek Prespa) endorsed the tri-lateral ecotourism strategy</w:t>
            </w:r>
            <w:r w:rsidR="006F1932" w:rsidRPr="000A3C73">
              <w:rPr>
                <w:sz w:val="22"/>
              </w:rPr>
              <w:t xml:space="preserve"> at the informal first meeting of the PPMC in June 2012</w:t>
            </w:r>
            <w:r w:rsidRPr="000A3C73">
              <w:rPr>
                <w:sz w:val="22"/>
              </w:rPr>
              <w:t>, highlighting its importance for the future sustainable economic development of the region. The municipalities are using the document as a basis for future fundraising (donor and investment), and this is one of the key areas for likely strong future transboundary cooperation at the local level.</w:t>
            </w:r>
          </w:p>
        </w:tc>
      </w:tr>
      <w:tr w:rsidR="00250311" w:rsidRPr="000A3C73" w:rsidTr="00250311">
        <w:tc>
          <w:tcPr>
            <w:tcW w:w="1567" w:type="dxa"/>
          </w:tcPr>
          <w:p w:rsidR="00250311" w:rsidRPr="000A3C73" w:rsidRDefault="00250311" w:rsidP="00370B8E">
            <w:pPr>
              <w:pStyle w:val="BodyText"/>
              <w:numPr>
                <w:ilvl w:val="0"/>
                <w:numId w:val="0"/>
              </w:numPr>
              <w:rPr>
                <w:sz w:val="22"/>
              </w:rPr>
            </w:pPr>
            <w:r w:rsidRPr="000A3C73">
              <w:rPr>
                <w:sz w:val="22"/>
              </w:rPr>
              <w:t>FYR Macedonia</w:t>
            </w:r>
          </w:p>
        </w:tc>
        <w:tc>
          <w:tcPr>
            <w:tcW w:w="8009" w:type="dxa"/>
            <w:vMerge/>
          </w:tcPr>
          <w:p w:rsidR="00250311" w:rsidRPr="000A3C73" w:rsidRDefault="00250311" w:rsidP="00250311">
            <w:pPr>
              <w:pStyle w:val="BodyText"/>
              <w:numPr>
                <w:ilvl w:val="0"/>
                <w:numId w:val="0"/>
              </w:numPr>
              <w:rPr>
                <w:sz w:val="22"/>
              </w:rPr>
            </w:pPr>
          </w:p>
        </w:tc>
      </w:tr>
    </w:tbl>
    <w:p w:rsidR="00582FD5" w:rsidRPr="0089284E" w:rsidRDefault="00582FD5" w:rsidP="001657BB">
      <w:pPr>
        <w:pStyle w:val="BodyText"/>
        <w:numPr>
          <w:ilvl w:val="0"/>
          <w:numId w:val="0"/>
        </w:numPr>
        <w:rPr>
          <w:bCs/>
          <w:i/>
          <w:u w:val="single"/>
        </w:rPr>
      </w:pPr>
    </w:p>
    <w:p w:rsidR="007708EB" w:rsidRPr="0089284E" w:rsidRDefault="008C3DDF" w:rsidP="00ED656A">
      <w:pPr>
        <w:pStyle w:val="BodyText"/>
        <w:rPr>
          <w:bCs/>
          <w:i/>
          <w:u w:val="single"/>
        </w:rPr>
      </w:pPr>
      <w:r w:rsidRPr="0089284E">
        <w:rPr>
          <w:b/>
          <w:bCs/>
          <w:i/>
          <w:u w:val="single"/>
        </w:rPr>
        <w:t>Output 4.6</w:t>
      </w:r>
      <w:r w:rsidRPr="0089284E">
        <w:rPr>
          <w:bCs/>
          <w:i/>
          <w:u w:val="single"/>
        </w:rPr>
        <w:t xml:space="preserve"> Supplementary trans-boundary diagnostic analysis fills gaps in existing analysis of environmental stress, related socio-economic consequences and trans-boundary coordination requirements</w:t>
      </w:r>
    </w:p>
    <w:tbl>
      <w:tblPr>
        <w:tblStyle w:val="TableGrid"/>
        <w:tblW w:w="0" w:type="auto"/>
        <w:tblLook w:val="04A0"/>
      </w:tblPr>
      <w:tblGrid>
        <w:gridCol w:w="1567"/>
        <w:gridCol w:w="8009"/>
      </w:tblGrid>
      <w:tr w:rsidR="001657BB" w:rsidRPr="000A3C73" w:rsidTr="00370B8E">
        <w:tc>
          <w:tcPr>
            <w:tcW w:w="558" w:type="dxa"/>
          </w:tcPr>
          <w:p w:rsidR="001657BB" w:rsidRPr="00FC657B" w:rsidRDefault="001657BB" w:rsidP="00370B8E">
            <w:pPr>
              <w:pStyle w:val="BodyText"/>
              <w:numPr>
                <w:ilvl w:val="0"/>
                <w:numId w:val="0"/>
              </w:numPr>
              <w:rPr>
                <w:sz w:val="22"/>
              </w:rPr>
            </w:pPr>
            <w:r w:rsidRPr="00FC657B">
              <w:rPr>
                <w:sz w:val="22"/>
              </w:rPr>
              <w:t>Transboundary</w:t>
            </w:r>
          </w:p>
        </w:tc>
        <w:tc>
          <w:tcPr>
            <w:tcW w:w="9018" w:type="dxa"/>
          </w:tcPr>
          <w:p w:rsidR="00433A14" w:rsidRPr="002D3949" w:rsidRDefault="00297CFA" w:rsidP="00370B8E">
            <w:pPr>
              <w:pStyle w:val="BodyText"/>
              <w:numPr>
                <w:ilvl w:val="0"/>
                <w:numId w:val="0"/>
              </w:numPr>
              <w:rPr>
                <w:rFonts w:cs="Arial"/>
                <w:sz w:val="22"/>
                <w:szCs w:val="22"/>
              </w:rPr>
            </w:pPr>
            <w:r w:rsidRPr="00FC657B">
              <w:rPr>
                <w:rFonts w:cs="Arial"/>
                <w:sz w:val="22"/>
                <w:szCs w:val="22"/>
              </w:rPr>
              <w:t xml:space="preserve">The project document </w:t>
            </w:r>
            <w:r w:rsidR="00D16FCB" w:rsidRPr="00D77DF1">
              <w:rPr>
                <w:rFonts w:cs="Arial"/>
                <w:sz w:val="22"/>
                <w:szCs w:val="22"/>
              </w:rPr>
              <w:t>foresaw two main activities under this output: 1.) Development of a preliminary water balance model, to be completed as part of a reg</w:t>
            </w:r>
            <w:r w:rsidR="00D16FCB" w:rsidRPr="00CD42DE">
              <w:rPr>
                <w:rFonts w:cs="Arial"/>
                <w:sz w:val="22"/>
                <w:szCs w:val="22"/>
              </w:rPr>
              <w:t xml:space="preserve">ional project funded by the North Atlantic Treaty Organization (NATO). 2.) Analysis of impacts of environmental stress and the assessment of socio-economic consequences. </w:t>
            </w:r>
            <w:r w:rsidR="00433A14" w:rsidRPr="00AA7D1F">
              <w:rPr>
                <w:rFonts w:cs="Arial"/>
                <w:sz w:val="22"/>
                <w:szCs w:val="22"/>
              </w:rPr>
              <w:t xml:space="preserve">These two activities were to build on and fill gaps in the </w:t>
            </w:r>
            <w:r w:rsidR="00B90035" w:rsidRPr="005E69C8">
              <w:rPr>
                <w:rFonts w:cs="Arial"/>
                <w:sz w:val="22"/>
                <w:szCs w:val="22"/>
              </w:rPr>
              <w:t xml:space="preserve">work done on updating </w:t>
            </w:r>
            <w:r w:rsidR="00933FDC" w:rsidRPr="00850A96">
              <w:rPr>
                <w:rFonts w:cs="Arial"/>
                <w:sz w:val="22"/>
                <w:szCs w:val="22"/>
              </w:rPr>
              <w:t>the TDA during the PDF-B phase (</w:t>
            </w:r>
            <w:r w:rsidR="00B90035" w:rsidRPr="008B7E9A">
              <w:rPr>
                <w:rFonts w:cs="Arial"/>
                <w:sz w:val="22"/>
                <w:szCs w:val="22"/>
              </w:rPr>
              <w:t>although the revised and updated T</w:t>
            </w:r>
            <w:r w:rsidR="00933FDC" w:rsidRPr="000126EE">
              <w:rPr>
                <w:rFonts w:cs="Arial"/>
                <w:sz w:val="22"/>
                <w:szCs w:val="22"/>
              </w:rPr>
              <w:t>DA wasn’t completed until 200</w:t>
            </w:r>
            <w:r w:rsidR="00933FDC" w:rsidRPr="00B71D27">
              <w:rPr>
                <w:rFonts w:cs="Arial"/>
                <w:sz w:val="22"/>
                <w:szCs w:val="22"/>
              </w:rPr>
              <w:t xml:space="preserve">9; </w:t>
            </w:r>
            <w:r w:rsidR="00B90035" w:rsidRPr="00595792">
              <w:rPr>
                <w:rFonts w:cs="Arial"/>
                <w:sz w:val="22"/>
                <w:szCs w:val="22"/>
              </w:rPr>
              <w:t xml:space="preserve">see Output 4.7 below). </w:t>
            </w:r>
            <w:r w:rsidR="002577D2" w:rsidRPr="00602E30">
              <w:rPr>
                <w:rFonts w:cs="Arial"/>
                <w:sz w:val="22"/>
                <w:szCs w:val="22"/>
              </w:rPr>
              <w:t>The second activity was to focus on water quality monitoring in Golema Reka stream in Macedonia, and ass</w:t>
            </w:r>
            <w:r w:rsidR="002577D2" w:rsidRPr="002A69B7">
              <w:rPr>
                <w:rFonts w:cs="Arial"/>
                <w:sz w:val="22"/>
                <w:szCs w:val="22"/>
              </w:rPr>
              <w:t>ociated effects such as impacts on f</w:t>
            </w:r>
            <w:r w:rsidR="002577D2" w:rsidRPr="002C744B">
              <w:rPr>
                <w:rFonts w:cs="Arial"/>
                <w:sz w:val="22"/>
                <w:szCs w:val="22"/>
              </w:rPr>
              <w:t>ish larvae, total economic impacts associated with environmental degradation, and contribute to capacity development for cost-benefits analysis of ecosy</w:t>
            </w:r>
            <w:r w:rsidR="002577D2" w:rsidRPr="00C56966">
              <w:rPr>
                <w:rFonts w:cs="Arial"/>
                <w:sz w:val="22"/>
                <w:szCs w:val="22"/>
              </w:rPr>
              <w:t>stem management and habitat restoration.</w:t>
            </w:r>
          </w:p>
          <w:p w:rsidR="00433A14" w:rsidRPr="000A3C73" w:rsidRDefault="00D16FCB" w:rsidP="00370B8E">
            <w:pPr>
              <w:pStyle w:val="BodyText"/>
              <w:numPr>
                <w:ilvl w:val="0"/>
                <w:numId w:val="0"/>
              </w:numPr>
              <w:rPr>
                <w:rFonts w:cs="Arial"/>
                <w:sz w:val="22"/>
                <w:szCs w:val="22"/>
              </w:rPr>
            </w:pPr>
            <w:r w:rsidRPr="000A3C73">
              <w:rPr>
                <w:rFonts w:cs="Arial"/>
                <w:sz w:val="22"/>
                <w:szCs w:val="22"/>
              </w:rPr>
              <w:t>The NATO project was completed</w:t>
            </w:r>
            <w:r w:rsidR="008D571C" w:rsidRPr="000A3C73">
              <w:rPr>
                <w:rFonts w:cs="Arial"/>
                <w:sz w:val="22"/>
                <w:szCs w:val="22"/>
              </w:rPr>
              <w:t xml:space="preserve"> (in 2007-2008)</w:t>
            </w:r>
            <w:r w:rsidRPr="000A3C73">
              <w:rPr>
                <w:rFonts w:cs="Arial"/>
                <w:sz w:val="22"/>
                <w:szCs w:val="22"/>
              </w:rPr>
              <w:t xml:space="preserve">, but it appears this was carried out more as an activity of “associated” financing rather than an activity that was well integrated with the project workplan; little information is available about the results of this work, other than that the </w:t>
            </w:r>
            <w:r w:rsidR="00B31E9E" w:rsidRPr="000A3C73">
              <w:rPr>
                <w:rFonts w:cs="Arial"/>
                <w:sz w:val="22"/>
                <w:szCs w:val="22"/>
              </w:rPr>
              <w:t xml:space="preserve">minimum water level observed in 2007 was 844.17 meters above sea level, which was below previous minimum levels reached in 2002 (844.39), 1996 (845.46) and 1978 (848.91); the water level dropped even further in 2008. </w:t>
            </w:r>
          </w:p>
          <w:p w:rsidR="00834EC6" w:rsidRPr="000A3C73" w:rsidRDefault="0045139F" w:rsidP="00370B8E">
            <w:pPr>
              <w:pStyle w:val="BodyText"/>
              <w:numPr>
                <w:ilvl w:val="0"/>
                <w:numId w:val="0"/>
              </w:numPr>
              <w:rPr>
                <w:rFonts w:cs="Arial"/>
                <w:sz w:val="22"/>
                <w:szCs w:val="22"/>
              </w:rPr>
            </w:pPr>
            <w:r w:rsidRPr="000A3C73">
              <w:rPr>
                <w:rFonts w:cs="Arial"/>
                <w:sz w:val="22"/>
                <w:szCs w:val="22"/>
              </w:rPr>
              <w:t xml:space="preserve">Some water quality monitoring of Golema Reka is taking place, but it is not clear that other activities directly supporting Output 4.6.2 have been carried out other than any activities under other outputs that may be relevant. </w:t>
            </w:r>
            <w:r w:rsidR="00B538C2" w:rsidRPr="000A3C73">
              <w:rPr>
                <w:rFonts w:cs="Arial"/>
                <w:sz w:val="22"/>
                <w:szCs w:val="22"/>
              </w:rPr>
              <w:t xml:space="preserve">This may be because the project team took a results-based approach of focusing on activities with specific indicators and targets in the project results framework, rather than attempting to strictly follow the project document. </w:t>
            </w:r>
          </w:p>
          <w:p w:rsidR="001657BB" w:rsidRPr="000A3C73" w:rsidRDefault="001216EA" w:rsidP="00551262">
            <w:pPr>
              <w:pStyle w:val="BodyText"/>
              <w:numPr>
                <w:ilvl w:val="0"/>
                <w:numId w:val="0"/>
              </w:numPr>
              <w:rPr>
                <w:sz w:val="22"/>
              </w:rPr>
            </w:pPr>
            <w:r w:rsidRPr="000A3C73">
              <w:rPr>
                <w:rFonts w:cs="Arial"/>
                <w:sz w:val="22"/>
                <w:szCs w:val="22"/>
              </w:rPr>
              <w:t xml:space="preserve">The project’s work on </w:t>
            </w:r>
            <w:r w:rsidRPr="000A3C73">
              <w:rPr>
                <w:rFonts w:cs="Arial"/>
                <w:sz w:val="22"/>
                <w:szCs w:val="22"/>
                <w:u w:val="single"/>
              </w:rPr>
              <w:t>transboundary fisheries management</w:t>
            </w:r>
            <w:r w:rsidRPr="000A3C73">
              <w:rPr>
                <w:rFonts w:cs="Arial"/>
                <w:sz w:val="22"/>
                <w:szCs w:val="22"/>
              </w:rPr>
              <w:t xml:space="preserve"> was also classified under this output.</w:t>
            </w:r>
            <w:r w:rsidR="0025217C" w:rsidRPr="000A3C73">
              <w:rPr>
                <w:rFonts w:cs="Arial"/>
                <w:sz w:val="22"/>
                <w:szCs w:val="22"/>
              </w:rPr>
              <w:t xml:space="preserve"> </w:t>
            </w:r>
            <w:r w:rsidR="00723197" w:rsidRPr="000A3C73">
              <w:rPr>
                <w:rFonts w:cs="Arial"/>
                <w:sz w:val="22"/>
                <w:szCs w:val="22"/>
              </w:rPr>
              <w:t xml:space="preserve">The activities on fisheries were restarted in mid-2010, with the development of draft Terms of Reference for a fisheries working group under the PPCC, and a tri-lateral expert meeting was organized in December 2010. </w:t>
            </w:r>
            <w:r w:rsidR="00C948C6" w:rsidRPr="000A3C73">
              <w:rPr>
                <w:rFonts w:cs="Arial"/>
                <w:sz w:val="22"/>
                <w:szCs w:val="22"/>
              </w:rPr>
              <w:t xml:space="preserve">A group of approximately 13 experts </w:t>
            </w:r>
            <w:r w:rsidR="0012447B" w:rsidRPr="000A3C73">
              <w:rPr>
                <w:rFonts w:cs="Arial"/>
                <w:sz w:val="22"/>
                <w:szCs w:val="22"/>
              </w:rPr>
              <w:t xml:space="preserve">from Albania and Macedonia </w:t>
            </w:r>
            <w:r w:rsidR="00C948C6" w:rsidRPr="000A3C73">
              <w:rPr>
                <w:rFonts w:cs="Arial"/>
                <w:sz w:val="22"/>
                <w:szCs w:val="22"/>
              </w:rPr>
              <w:t xml:space="preserve">on various aspects of fisheries produced the </w:t>
            </w:r>
            <w:r w:rsidR="00370B8E" w:rsidRPr="000A3C73">
              <w:rPr>
                <w:rFonts w:cs="Arial"/>
                <w:sz w:val="22"/>
                <w:szCs w:val="22"/>
              </w:rPr>
              <w:t xml:space="preserve">first </w:t>
            </w:r>
            <w:r w:rsidR="008D7FFA" w:rsidRPr="000A3C73">
              <w:rPr>
                <w:rFonts w:cs="Arial"/>
                <w:sz w:val="22"/>
                <w:szCs w:val="22"/>
              </w:rPr>
              <w:t>T</w:t>
            </w:r>
            <w:r w:rsidR="00370B8E" w:rsidRPr="000A3C73">
              <w:rPr>
                <w:rFonts w:cs="Arial"/>
                <w:sz w:val="22"/>
                <w:szCs w:val="22"/>
              </w:rPr>
              <w:t>rans</w:t>
            </w:r>
            <w:r w:rsidR="008D7FFA" w:rsidRPr="000A3C73">
              <w:rPr>
                <w:rFonts w:cs="Arial"/>
                <w:sz w:val="22"/>
                <w:szCs w:val="22"/>
              </w:rPr>
              <w:t>boundary Fish and Fisheries Management P</w:t>
            </w:r>
            <w:r w:rsidR="00370B8E" w:rsidRPr="000A3C73">
              <w:rPr>
                <w:rFonts w:cs="Arial"/>
                <w:sz w:val="22"/>
                <w:szCs w:val="22"/>
              </w:rPr>
              <w:t>la</w:t>
            </w:r>
            <w:r w:rsidR="008D7FFA" w:rsidRPr="000A3C73">
              <w:rPr>
                <w:rFonts w:cs="Arial"/>
                <w:sz w:val="22"/>
                <w:szCs w:val="22"/>
              </w:rPr>
              <w:t xml:space="preserve">n for the Prespa Lake Basin, 2012 – 2016. The management plan is organized into four medium term objectives: (i) a programme, and supporting actions to strengthen the administrative structures; (ii) a programme to strengthen the organizational structures; (iii) actions supporting the operational policies; (iv) enhancing information and public awareness. </w:t>
            </w:r>
            <w:r w:rsidR="00DC3035" w:rsidRPr="000A3C73">
              <w:rPr>
                <w:rFonts w:cs="Arial"/>
                <w:sz w:val="22"/>
                <w:szCs w:val="22"/>
              </w:rPr>
              <w:t xml:space="preserve">The management plan proposes a ban on catch of the Prespa barbel for six years, and a ban on catch of Prespa trout in all </w:t>
            </w:r>
            <w:r w:rsidR="001045C6" w:rsidRPr="000A3C73">
              <w:rPr>
                <w:rFonts w:cs="Arial"/>
                <w:sz w:val="22"/>
                <w:szCs w:val="22"/>
              </w:rPr>
              <w:t xml:space="preserve">Prespa </w:t>
            </w:r>
            <w:r w:rsidR="00DC3035" w:rsidRPr="000A3C73">
              <w:rPr>
                <w:rFonts w:cs="Arial"/>
                <w:sz w:val="22"/>
                <w:szCs w:val="22"/>
              </w:rPr>
              <w:t xml:space="preserve">tributaries for three years. </w:t>
            </w:r>
            <w:r w:rsidR="003502E7" w:rsidRPr="000A3C73">
              <w:rPr>
                <w:rFonts w:cs="Arial"/>
                <w:sz w:val="22"/>
                <w:szCs w:val="22"/>
              </w:rPr>
              <w:t>In contrast to some of the other transboundary activities, there is a more consistent level of transboundary cooperation on fisheries at the technical and basin-level, although there is not a well-established transboundary management framework.</w:t>
            </w:r>
            <w:r w:rsidR="00551262" w:rsidRPr="000A3C73">
              <w:rPr>
                <w:rFonts w:cs="Arial"/>
                <w:sz w:val="22"/>
                <w:szCs w:val="22"/>
              </w:rPr>
              <w:t xml:space="preserve"> For example, SPP organized a transboundary meeting on May 4</w:t>
            </w:r>
            <w:r w:rsidR="00551262" w:rsidRPr="000A3C73">
              <w:rPr>
                <w:rFonts w:cs="Arial"/>
                <w:sz w:val="22"/>
                <w:szCs w:val="22"/>
                <w:vertAlign w:val="superscript"/>
              </w:rPr>
              <w:t>th</w:t>
            </w:r>
            <w:r w:rsidR="00551262" w:rsidRPr="000A3C73">
              <w:rPr>
                <w:rFonts w:cs="Arial"/>
                <w:sz w:val="22"/>
                <w:szCs w:val="22"/>
              </w:rPr>
              <w:t xml:space="preserve"> 2012 at the Greek Prespa National Park information center on Fish and Fisheries, under the auspices of the Life+ programme: </w:t>
            </w:r>
            <w:r w:rsidR="004D39FF" w:rsidRPr="000A3C73">
              <w:rPr>
                <w:rFonts w:cs="Arial"/>
                <w:sz w:val="22"/>
                <w:szCs w:val="22"/>
              </w:rPr>
              <w:t>“</w:t>
            </w:r>
            <w:r w:rsidR="00551262" w:rsidRPr="000A3C73">
              <w:rPr>
                <w:rFonts w:cs="Arial"/>
                <w:sz w:val="22"/>
                <w:szCs w:val="22"/>
              </w:rPr>
              <w:t xml:space="preserve">Information and Communication – Fish, Fisheries and European Policy in the Prespa </w:t>
            </w:r>
            <w:r w:rsidR="00D163CA" w:rsidRPr="000A3C73">
              <w:rPr>
                <w:rFonts w:cs="Arial"/>
                <w:sz w:val="22"/>
                <w:szCs w:val="22"/>
              </w:rPr>
              <w:t>Basin. “At</w:t>
            </w:r>
            <w:r w:rsidR="003502E7" w:rsidRPr="000A3C73">
              <w:rPr>
                <w:rFonts w:cs="Arial"/>
                <w:sz w:val="22"/>
                <w:szCs w:val="22"/>
              </w:rPr>
              <w:t xml:space="preserve"> the same time, without the overarching umbrella of the </w:t>
            </w:r>
            <w:r w:rsidR="00551262" w:rsidRPr="000A3C73">
              <w:rPr>
                <w:rFonts w:cs="Arial"/>
                <w:sz w:val="22"/>
                <w:szCs w:val="22"/>
              </w:rPr>
              <w:t xml:space="preserve">PPMC, it is hard to see significant progress on this issue in the near-term. </w:t>
            </w:r>
          </w:p>
        </w:tc>
      </w:tr>
      <w:tr w:rsidR="001657BB" w:rsidRPr="000A3C73" w:rsidTr="00370B8E">
        <w:tc>
          <w:tcPr>
            <w:tcW w:w="558" w:type="dxa"/>
          </w:tcPr>
          <w:p w:rsidR="001657BB" w:rsidRPr="000A3C73" w:rsidRDefault="001657BB" w:rsidP="00370B8E">
            <w:pPr>
              <w:pStyle w:val="BodyText"/>
              <w:numPr>
                <w:ilvl w:val="0"/>
                <w:numId w:val="0"/>
              </w:numPr>
              <w:rPr>
                <w:sz w:val="22"/>
              </w:rPr>
            </w:pPr>
            <w:r w:rsidRPr="000A3C73">
              <w:rPr>
                <w:sz w:val="22"/>
              </w:rPr>
              <w:t>Albania</w:t>
            </w:r>
          </w:p>
        </w:tc>
        <w:tc>
          <w:tcPr>
            <w:tcW w:w="9018" w:type="dxa"/>
          </w:tcPr>
          <w:p w:rsidR="001657BB" w:rsidRPr="000A3C73" w:rsidRDefault="00C948C6" w:rsidP="00370B8E">
            <w:pPr>
              <w:pStyle w:val="BodyText"/>
              <w:numPr>
                <w:ilvl w:val="0"/>
                <w:numId w:val="0"/>
              </w:numPr>
              <w:rPr>
                <w:sz w:val="22"/>
              </w:rPr>
            </w:pPr>
            <w:r w:rsidRPr="000A3C73">
              <w:rPr>
                <w:sz w:val="22"/>
              </w:rPr>
              <w:t xml:space="preserve">Albanian national contributions to this process followed the steps outlined below for Macedonia. </w:t>
            </w:r>
          </w:p>
        </w:tc>
      </w:tr>
      <w:tr w:rsidR="001657BB" w:rsidRPr="000A3C73" w:rsidTr="00370B8E">
        <w:tc>
          <w:tcPr>
            <w:tcW w:w="558" w:type="dxa"/>
          </w:tcPr>
          <w:p w:rsidR="001657BB" w:rsidRPr="000A3C73" w:rsidRDefault="001657BB" w:rsidP="00370B8E">
            <w:pPr>
              <w:pStyle w:val="BodyText"/>
              <w:numPr>
                <w:ilvl w:val="0"/>
                <w:numId w:val="0"/>
              </w:numPr>
              <w:rPr>
                <w:sz w:val="22"/>
              </w:rPr>
            </w:pPr>
            <w:r w:rsidRPr="000A3C73">
              <w:rPr>
                <w:sz w:val="22"/>
              </w:rPr>
              <w:t>FYR Macedonia</w:t>
            </w:r>
          </w:p>
        </w:tc>
        <w:tc>
          <w:tcPr>
            <w:tcW w:w="9018" w:type="dxa"/>
          </w:tcPr>
          <w:p w:rsidR="001657BB" w:rsidRPr="000A3C73" w:rsidRDefault="00C948C6" w:rsidP="00370B8E">
            <w:pPr>
              <w:pStyle w:val="BodyText"/>
              <w:numPr>
                <w:ilvl w:val="0"/>
                <w:numId w:val="0"/>
              </w:numPr>
              <w:rPr>
                <w:sz w:val="22"/>
              </w:rPr>
            </w:pPr>
            <w:r w:rsidRPr="000A3C73">
              <w:rPr>
                <w:rFonts w:cs="Arial"/>
                <w:sz w:val="22"/>
                <w:szCs w:val="22"/>
              </w:rPr>
              <w:t xml:space="preserve">The work on the national component in this process involved: (1) conceptualization of the work and drafting of TOR; (2) </w:t>
            </w:r>
            <w:r w:rsidRPr="000A3C73">
              <w:rPr>
                <w:rFonts w:cs="Arial"/>
                <w:snapToGrid w:val="0"/>
                <w:sz w:val="22"/>
                <w:szCs w:val="22"/>
              </w:rPr>
              <w:t>ensuring active participation of the Macedonian stakeholders in the trans-boundary consultations; (3) support in organizing meetings, workshops, etc.; (4) review and commenting on the expert work (reports, draft management plan, fish publication, training material and other); and (5) support in the implementation of the field work (fish stock assessment in the lake and its tributaries and similar).</w:t>
            </w:r>
          </w:p>
        </w:tc>
      </w:tr>
    </w:tbl>
    <w:p w:rsidR="00582FD5" w:rsidRPr="0089284E" w:rsidRDefault="00582FD5" w:rsidP="001657BB">
      <w:pPr>
        <w:pStyle w:val="BodyText"/>
        <w:numPr>
          <w:ilvl w:val="0"/>
          <w:numId w:val="0"/>
        </w:numPr>
        <w:rPr>
          <w:bCs/>
          <w:i/>
          <w:u w:val="single"/>
        </w:rPr>
      </w:pPr>
    </w:p>
    <w:p w:rsidR="008C3DDF" w:rsidRPr="0089284E" w:rsidRDefault="008C3DDF" w:rsidP="00ED656A">
      <w:pPr>
        <w:pStyle w:val="BodyText"/>
        <w:rPr>
          <w:bCs/>
          <w:i/>
          <w:u w:val="single"/>
        </w:rPr>
      </w:pPr>
      <w:r w:rsidRPr="0089284E">
        <w:rPr>
          <w:b/>
          <w:bCs/>
          <w:i/>
          <w:u w:val="single"/>
        </w:rPr>
        <w:t>Output 4.7</w:t>
      </w:r>
      <w:r w:rsidRPr="0089284E">
        <w:rPr>
          <w:bCs/>
          <w:i/>
          <w:u w:val="single"/>
        </w:rPr>
        <w:t xml:space="preserve"> Strategic Action Program for Prespa Lakes Basin developed and negotiated and committed to by highest levels of Government in Albania, Greece and Macedonia</w:t>
      </w:r>
    </w:p>
    <w:tbl>
      <w:tblPr>
        <w:tblStyle w:val="TableGrid"/>
        <w:tblW w:w="0" w:type="auto"/>
        <w:tblLook w:val="04A0"/>
      </w:tblPr>
      <w:tblGrid>
        <w:gridCol w:w="1567"/>
        <w:gridCol w:w="8009"/>
      </w:tblGrid>
      <w:tr w:rsidR="001657BB" w:rsidRPr="000A3C73" w:rsidTr="00370B8E">
        <w:tc>
          <w:tcPr>
            <w:tcW w:w="558" w:type="dxa"/>
          </w:tcPr>
          <w:p w:rsidR="001657BB" w:rsidRPr="00FC657B" w:rsidRDefault="001657BB" w:rsidP="00370B8E">
            <w:pPr>
              <w:pStyle w:val="BodyText"/>
              <w:numPr>
                <w:ilvl w:val="0"/>
                <w:numId w:val="0"/>
              </w:numPr>
              <w:rPr>
                <w:sz w:val="22"/>
              </w:rPr>
            </w:pPr>
            <w:r w:rsidRPr="00FC657B">
              <w:rPr>
                <w:sz w:val="22"/>
              </w:rPr>
              <w:t>Transboundary</w:t>
            </w:r>
          </w:p>
        </w:tc>
        <w:tc>
          <w:tcPr>
            <w:tcW w:w="9018" w:type="dxa"/>
          </w:tcPr>
          <w:p w:rsidR="00DB6393" w:rsidRPr="000A3C73" w:rsidRDefault="00897835" w:rsidP="000672DC">
            <w:pPr>
              <w:pStyle w:val="BodyText"/>
              <w:numPr>
                <w:ilvl w:val="0"/>
                <w:numId w:val="0"/>
              </w:numPr>
              <w:rPr>
                <w:rFonts w:cs="Arial"/>
                <w:snapToGrid w:val="0"/>
                <w:sz w:val="22"/>
                <w:szCs w:val="22"/>
              </w:rPr>
            </w:pPr>
            <w:r w:rsidRPr="00FC657B">
              <w:rPr>
                <w:rFonts w:cs="Arial"/>
                <w:snapToGrid w:val="0"/>
                <w:sz w:val="22"/>
                <w:szCs w:val="22"/>
              </w:rPr>
              <w:t xml:space="preserve">The original TDA/SAP was completed in 2002 under the auspices of the PPCC. </w:t>
            </w:r>
            <w:r w:rsidRPr="00D77DF1">
              <w:rPr>
                <w:rFonts w:cs="Arial"/>
                <w:snapToGrid w:val="0"/>
                <w:sz w:val="22"/>
                <w:szCs w:val="22"/>
              </w:rPr>
              <w:t>The project sought to updated the TDA/SAP and adapt it to an integrated ecosystem management approach, where land, water, and biodiversity</w:t>
            </w:r>
            <w:r w:rsidRPr="00CD42DE">
              <w:rPr>
                <w:rFonts w:cs="Arial"/>
                <w:snapToGrid w:val="0"/>
                <w:sz w:val="22"/>
                <w:szCs w:val="22"/>
              </w:rPr>
              <w:t xml:space="preserve"> were considered equally. The </w:t>
            </w:r>
            <w:r w:rsidR="00EC1769" w:rsidRPr="00AA7D1F">
              <w:rPr>
                <w:rFonts w:cs="Arial"/>
                <w:snapToGrid w:val="0"/>
                <w:sz w:val="22"/>
                <w:szCs w:val="22"/>
              </w:rPr>
              <w:t>project document also noted “A GEF SAP must be endorsed at the highest levels of all three governments.”</w:t>
            </w:r>
            <w:r w:rsidR="00A90D08" w:rsidRPr="005E69C8">
              <w:rPr>
                <w:rFonts w:cs="Arial"/>
                <w:snapToGrid w:val="0"/>
                <w:sz w:val="22"/>
                <w:szCs w:val="22"/>
              </w:rPr>
              <w:t xml:space="preserve"> This has thus far not been the case for the revised Prespa SAP. </w:t>
            </w:r>
            <w:r w:rsidR="00DB6393" w:rsidRPr="00850A96">
              <w:rPr>
                <w:rFonts w:cs="Arial"/>
                <w:snapToGrid w:val="0"/>
                <w:sz w:val="22"/>
                <w:szCs w:val="22"/>
              </w:rPr>
              <w:t xml:space="preserve">Although there are likely many contributing factors to this, one factor may be the approach of contracting an external third party </w:t>
            </w:r>
            <w:r w:rsidR="006C7008" w:rsidRPr="008B7E9A">
              <w:rPr>
                <w:rFonts w:cs="Arial"/>
                <w:snapToGrid w:val="0"/>
                <w:sz w:val="22"/>
                <w:szCs w:val="22"/>
              </w:rPr>
              <w:t>(the Regional En</w:t>
            </w:r>
            <w:r w:rsidR="006C7008" w:rsidRPr="000126EE">
              <w:rPr>
                <w:rFonts w:cs="Arial"/>
                <w:snapToGrid w:val="0"/>
                <w:sz w:val="22"/>
                <w:szCs w:val="22"/>
              </w:rPr>
              <w:t xml:space="preserve">vironment Centre) </w:t>
            </w:r>
            <w:r w:rsidR="00DB6393" w:rsidRPr="00B71D27">
              <w:rPr>
                <w:rFonts w:cs="Arial"/>
                <w:snapToGrid w:val="0"/>
                <w:sz w:val="22"/>
                <w:szCs w:val="22"/>
              </w:rPr>
              <w:t xml:space="preserve">to </w:t>
            </w:r>
            <w:r w:rsidR="00A35F89">
              <w:rPr>
                <w:rFonts w:cs="Arial"/>
                <w:snapToGrid w:val="0"/>
                <w:sz w:val="22"/>
                <w:szCs w:val="22"/>
              </w:rPr>
              <w:t>facilitate production of</w:t>
            </w:r>
            <w:r w:rsidR="00A35F89" w:rsidRPr="00B71D27">
              <w:rPr>
                <w:rFonts w:cs="Arial"/>
                <w:snapToGrid w:val="0"/>
                <w:sz w:val="22"/>
                <w:szCs w:val="22"/>
              </w:rPr>
              <w:t xml:space="preserve"> </w:t>
            </w:r>
            <w:r w:rsidR="00DB6393" w:rsidRPr="00B71D27">
              <w:rPr>
                <w:rFonts w:cs="Arial"/>
                <w:snapToGrid w:val="0"/>
                <w:sz w:val="22"/>
                <w:szCs w:val="22"/>
              </w:rPr>
              <w:t xml:space="preserve">the SAP document, as previously discussed in Section </w:t>
            </w:r>
            <w:r w:rsidR="008269C6" w:rsidRPr="00F92C45">
              <w:rPr>
                <w:rFonts w:cs="Arial"/>
                <w:snapToGrid w:val="0"/>
                <w:sz w:val="22"/>
                <w:szCs w:val="22"/>
              </w:rPr>
              <w:fldChar w:fldCharType="begin"/>
            </w:r>
            <w:r w:rsidR="00545DEB" w:rsidRPr="000A3C73">
              <w:rPr>
                <w:rFonts w:cs="Arial"/>
                <w:snapToGrid w:val="0"/>
                <w:sz w:val="22"/>
                <w:szCs w:val="22"/>
              </w:rPr>
              <w:instrText xml:space="preserve"> REF _Ref209709397 \w \h </w:instrText>
            </w:r>
            <w:r w:rsidR="008269C6" w:rsidRPr="00F92C45">
              <w:rPr>
                <w:rFonts w:cs="Arial"/>
                <w:snapToGrid w:val="0"/>
                <w:sz w:val="22"/>
                <w:szCs w:val="22"/>
              </w:rPr>
            </w:r>
            <w:r w:rsidR="008269C6" w:rsidRPr="00F92C45">
              <w:rPr>
                <w:rFonts w:cs="Arial"/>
                <w:snapToGrid w:val="0"/>
                <w:sz w:val="22"/>
                <w:szCs w:val="22"/>
              </w:rPr>
              <w:fldChar w:fldCharType="separate"/>
            </w:r>
            <w:r w:rsidR="006E18A7" w:rsidRPr="000A3C73">
              <w:rPr>
                <w:rFonts w:cs="Arial"/>
                <w:snapToGrid w:val="0"/>
                <w:sz w:val="22"/>
                <w:szCs w:val="22"/>
              </w:rPr>
              <w:t>IV.A.ii</w:t>
            </w:r>
            <w:r w:rsidR="008269C6" w:rsidRPr="00F92C45">
              <w:rPr>
                <w:rFonts w:cs="Arial"/>
                <w:snapToGrid w:val="0"/>
                <w:sz w:val="22"/>
                <w:szCs w:val="22"/>
              </w:rPr>
              <w:fldChar w:fldCharType="end"/>
            </w:r>
            <w:r w:rsidR="00545DEB" w:rsidRPr="000A3C73">
              <w:rPr>
                <w:rFonts w:cs="Arial"/>
                <w:snapToGrid w:val="0"/>
                <w:sz w:val="22"/>
                <w:szCs w:val="22"/>
              </w:rPr>
              <w:t xml:space="preserve"> of this evaluation report.</w:t>
            </w:r>
            <w:r w:rsidR="00021BB5" w:rsidRPr="000A3C73">
              <w:rPr>
                <w:rFonts w:cs="Arial"/>
                <w:snapToGrid w:val="0"/>
                <w:sz w:val="22"/>
                <w:szCs w:val="22"/>
              </w:rPr>
              <w:t xml:space="preserve"> Stakeholders have also noted that the SAP was directly adapted from another SAP in the region (for the Black Sea); this provided a framework based on a previous positive experience, but this has influenced the Prespa SAP’s utility and somewhat reduced its direct relevance for the Prespa basin. </w:t>
            </w:r>
            <w:r w:rsidR="00166523" w:rsidRPr="000A3C73">
              <w:rPr>
                <w:rFonts w:cs="Arial"/>
                <w:snapToGrid w:val="0"/>
                <w:sz w:val="22"/>
                <w:szCs w:val="22"/>
              </w:rPr>
              <w:t>The political buy-in and stakeholder ownership of the SAP is relatively lower in Greece, and some stakeholders questioned whether the Technical Task Team responsible for compiling the national report actually visited and interviewed stakeholders in the Greek Prespa region; the terminal evaluation tea</w:t>
            </w:r>
            <w:r w:rsidR="00F30732" w:rsidRPr="000A3C73">
              <w:rPr>
                <w:rFonts w:cs="Arial"/>
                <w:snapToGrid w:val="0"/>
                <w:sz w:val="22"/>
                <w:szCs w:val="22"/>
              </w:rPr>
              <w:t xml:space="preserve">m was not able to confirm this, but the Greek national report does contain detailed data on the environmental aspects of Greek Prespa. </w:t>
            </w:r>
          </w:p>
          <w:p w:rsidR="00B90035" w:rsidRPr="000A3C73" w:rsidRDefault="00102F51" w:rsidP="00364F12">
            <w:pPr>
              <w:pStyle w:val="BodyText"/>
              <w:numPr>
                <w:ilvl w:val="0"/>
                <w:numId w:val="0"/>
              </w:numPr>
              <w:rPr>
                <w:sz w:val="22"/>
              </w:rPr>
            </w:pPr>
            <w:r w:rsidRPr="000A3C73">
              <w:rPr>
                <w:rFonts w:cs="Arial"/>
                <w:snapToGrid w:val="0"/>
                <w:sz w:val="22"/>
                <w:szCs w:val="22"/>
              </w:rPr>
              <w:t>The TDA and SAP were prepared with input from a Technical Task Team</w:t>
            </w:r>
            <w:r w:rsidR="006C7008" w:rsidRPr="000A3C73">
              <w:rPr>
                <w:rFonts w:cs="Arial"/>
                <w:snapToGrid w:val="0"/>
                <w:sz w:val="22"/>
                <w:szCs w:val="22"/>
              </w:rPr>
              <w:t xml:space="preserve"> (within the contract of the Regional Environment Centre) with representation from all three countries</w:t>
            </w:r>
            <w:r w:rsidRPr="000A3C73">
              <w:rPr>
                <w:rFonts w:cs="Arial"/>
                <w:snapToGrid w:val="0"/>
                <w:sz w:val="22"/>
                <w:szCs w:val="22"/>
              </w:rPr>
              <w:t xml:space="preserve">. </w:t>
            </w:r>
            <w:r w:rsidR="00A90D08" w:rsidRPr="000A3C73">
              <w:rPr>
                <w:rFonts w:cs="Arial"/>
                <w:snapToGrid w:val="0"/>
                <w:sz w:val="22"/>
                <w:szCs w:val="22"/>
              </w:rPr>
              <w:t>The SAP was developed following the TDA/SAP methodology, with the final trilateral consultation in October 2010, and the document being finalized in November 2010.</w:t>
            </w:r>
            <w:r w:rsidR="00873875" w:rsidRPr="000A3C73">
              <w:rPr>
                <w:rFonts w:cs="Arial"/>
                <w:snapToGrid w:val="0"/>
                <w:sz w:val="22"/>
                <w:szCs w:val="22"/>
              </w:rPr>
              <w:t xml:space="preserve"> See </w:t>
            </w:r>
            <w:r w:rsidR="008269C6" w:rsidRPr="00206E7A">
              <w:rPr>
                <w:rFonts w:cs="Arial"/>
                <w:snapToGrid w:val="0"/>
                <w:sz w:val="22"/>
                <w:szCs w:val="22"/>
              </w:rPr>
              <w:fldChar w:fldCharType="begin"/>
            </w:r>
            <w:r w:rsidR="00873875" w:rsidRPr="000A3C73">
              <w:rPr>
                <w:rFonts w:cs="Arial"/>
                <w:snapToGrid w:val="0"/>
                <w:sz w:val="22"/>
                <w:szCs w:val="22"/>
              </w:rPr>
              <w:instrText xml:space="preserve"> REF _Ref209710858 \h </w:instrText>
            </w:r>
            <w:r w:rsidR="008269C6" w:rsidRPr="00206E7A">
              <w:rPr>
                <w:rFonts w:cs="Arial"/>
                <w:snapToGrid w:val="0"/>
                <w:sz w:val="22"/>
                <w:szCs w:val="22"/>
              </w:rPr>
            </w:r>
            <w:r w:rsidR="008269C6" w:rsidRPr="00206E7A">
              <w:rPr>
                <w:rFonts w:cs="Arial"/>
                <w:snapToGrid w:val="0"/>
                <w:sz w:val="22"/>
                <w:szCs w:val="22"/>
              </w:rPr>
              <w:fldChar w:fldCharType="separate"/>
            </w:r>
            <w:r w:rsidR="006E18A7" w:rsidRPr="000A3C73">
              <w:t xml:space="preserve">Box </w:t>
            </w:r>
            <w:r w:rsidR="006E18A7" w:rsidRPr="000A3C73">
              <w:rPr>
                <w:noProof/>
              </w:rPr>
              <w:t>4</w:t>
            </w:r>
            <w:r w:rsidR="008269C6" w:rsidRPr="00206E7A">
              <w:rPr>
                <w:rFonts w:cs="Arial"/>
                <w:snapToGrid w:val="0"/>
                <w:sz w:val="22"/>
                <w:szCs w:val="22"/>
              </w:rPr>
              <w:fldChar w:fldCharType="end"/>
            </w:r>
            <w:r w:rsidR="00873875" w:rsidRPr="000A3C73">
              <w:rPr>
                <w:rFonts w:cs="Arial"/>
                <w:snapToGrid w:val="0"/>
                <w:sz w:val="22"/>
                <w:szCs w:val="22"/>
              </w:rPr>
              <w:t xml:space="preserve"> below for additional detailed information on the SAP.</w:t>
            </w:r>
            <w:r w:rsidR="00364F12">
              <w:rPr>
                <w:rFonts w:cs="Arial"/>
                <w:snapToGrid w:val="0"/>
                <w:sz w:val="22"/>
                <w:szCs w:val="22"/>
              </w:rPr>
              <w:t xml:space="preserve"> </w:t>
            </w:r>
            <w:r w:rsidR="00FE2D74" w:rsidRPr="000A3C73">
              <w:rPr>
                <w:rFonts w:cs="Arial"/>
                <w:snapToGrid w:val="0"/>
                <w:sz w:val="22"/>
                <w:szCs w:val="22"/>
              </w:rPr>
              <w:t>The initiation workshop for the SAP was held November 26</w:t>
            </w:r>
            <w:r w:rsidR="00FE2D74" w:rsidRPr="000A3C73">
              <w:rPr>
                <w:rFonts w:cs="Arial"/>
                <w:snapToGrid w:val="0"/>
                <w:sz w:val="22"/>
                <w:szCs w:val="22"/>
                <w:vertAlign w:val="superscript"/>
              </w:rPr>
              <w:t>th</w:t>
            </w:r>
            <w:r w:rsidR="00FE2D74" w:rsidRPr="000A3C73">
              <w:rPr>
                <w:rFonts w:cs="Arial"/>
                <w:snapToGrid w:val="0"/>
                <w:sz w:val="22"/>
                <w:szCs w:val="22"/>
              </w:rPr>
              <w:t xml:space="preserve"> 2008, and the first stakeholder workshop was held February 3-5</w:t>
            </w:r>
            <w:r w:rsidR="00FE2D74" w:rsidRPr="000A3C73">
              <w:rPr>
                <w:rFonts w:cs="Arial"/>
                <w:snapToGrid w:val="0"/>
                <w:sz w:val="22"/>
                <w:szCs w:val="22"/>
                <w:vertAlign w:val="superscript"/>
              </w:rPr>
              <w:t>th</w:t>
            </w:r>
            <w:r w:rsidR="00FE2D74" w:rsidRPr="000A3C73">
              <w:rPr>
                <w:rFonts w:cs="Arial"/>
                <w:snapToGrid w:val="0"/>
                <w:sz w:val="22"/>
                <w:szCs w:val="22"/>
              </w:rPr>
              <w:t xml:space="preserve"> 2009 with more than 40 participants from all three countries. </w:t>
            </w:r>
            <w:r w:rsidR="006C7008" w:rsidRPr="000A3C73">
              <w:rPr>
                <w:rFonts w:cs="Arial"/>
                <w:snapToGrid w:val="0"/>
                <w:sz w:val="22"/>
                <w:szCs w:val="22"/>
              </w:rPr>
              <w:t>The Technical Task Team</w:t>
            </w:r>
            <w:r w:rsidR="00A92B37" w:rsidRPr="000A3C73">
              <w:rPr>
                <w:rFonts w:cs="Arial"/>
                <w:snapToGrid w:val="0"/>
                <w:sz w:val="22"/>
                <w:szCs w:val="22"/>
              </w:rPr>
              <w:t xml:space="preserve"> held “extensive” discussions with national stakeholders </w:t>
            </w:r>
            <w:r w:rsidR="00364F12">
              <w:rPr>
                <w:rFonts w:cs="Arial"/>
                <w:snapToGrid w:val="0"/>
                <w:sz w:val="22"/>
                <w:szCs w:val="22"/>
              </w:rPr>
              <w:t xml:space="preserve">through nine workshops </w:t>
            </w:r>
            <w:r w:rsidR="00A92B37" w:rsidRPr="000A3C73">
              <w:rPr>
                <w:rFonts w:cs="Arial"/>
                <w:snapToGrid w:val="0"/>
                <w:sz w:val="22"/>
                <w:szCs w:val="22"/>
              </w:rPr>
              <w:t>to further refine the initial five priority transboundary concerns identified in the TDA.</w:t>
            </w:r>
            <w:r w:rsidR="0025217C" w:rsidRPr="000A3C73">
              <w:rPr>
                <w:rFonts w:cs="Arial"/>
                <w:snapToGrid w:val="0"/>
                <w:sz w:val="22"/>
                <w:szCs w:val="22"/>
              </w:rPr>
              <w:t xml:space="preserve"> </w:t>
            </w:r>
            <w:r w:rsidR="002D5DEE" w:rsidRPr="000A3C73">
              <w:rPr>
                <w:rFonts w:cs="Arial"/>
                <w:snapToGrid w:val="0"/>
                <w:sz w:val="22"/>
                <w:szCs w:val="22"/>
              </w:rPr>
              <w:t xml:space="preserve">Based on the research, analysis, data collection and stakeholders consultations, national preparatory reports for all three countries were produced in early 2009, which served as the primary inputs to the full regional SAP. </w:t>
            </w:r>
            <w:r w:rsidR="00B822D5" w:rsidRPr="000A3C73">
              <w:rPr>
                <w:rFonts w:cs="Arial"/>
                <w:snapToGrid w:val="0"/>
                <w:sz w:val="22"/>
                <w:szCs w:val="22"/>
              </w:rPr>
              <w:t xml:space="preserve">Preparation of the TDA and SAP included: (1) preparation of a </w:t>
            </w:r>
            <w:r w:rsidR="00B822D5" w:rsidRPr="000A3C73">
              <w:rPr>
                <w:rFonts w:cs="Tahoma"/>
                <w:sz w:val="22"/>
                <w:szCs w:val="22"/>
                <w:lang w:eastAsia="da-DK"/>
              </w:rPr>
              <w:t xml:space="preserve">technical report containing information regarding </w:t>
            </w:r>
            <w:r w:rsidR="00B822D5" w:rsidRPr="000A3C73">
              <w:rPr>
                <w:rStyle w:val="contentfont12"/>
                <w:rFonts w:cs="Tahoma"/>
                <w:sz w:val="22"/>
                <w:szCs w:val="22"/>
              </w:rPr>
              <w:t xml:space="preserve">significant ecosystem management or other related initiatives, current Strategic Action Plan for the Prespa Park, gap assessment, </w:t>
            </w:r>
            <w:r w:rsidR="00D163CA" w:rsidRPr="000A3C73">
              <w:rPr>
                <w:rStyle w:val="contentfont12"/>
                <w:rFonts w:cs="Tahoma"/>
                <w:sz w:val="22"/>
                <w:szCs w:val="22"/>
              </w:rPr>
              <w:t>etc.</w:t>
            </w:r>
            <w:r w:rsidR="00B822D5" w:rsidRPr="000A3C73">
              <w:rPr>
                <w:rStyle w:val="contentfont12"/>
                <w:rFonts w:cs="Tahoma"/>
                <w:sz w:val="22"/>
                <w:szCs w:val="22"/>
              </w:rPr>
              <w:t>; (2) presentation of the report and the findings at multi-stakeholder forum; (3) development of draft and f</w:t>
            </w:r>
            <w:r w:rsidR="00B822D5" w:rsidRPr="000A3C73">
              <w:rPr>
                <w:rFonts w:cs="Tahoma"/>
                <w:sz w:val="22"/>
                <w:szCs w:val="22"/>
                <w:lang w:eastAsia="da-DK"/>
              </w:rPr>
              <w:t xml:space="preserve">inal TDA; (4) </w:t>
            </w:r>
            <w:r w:rsidR="00B822D5" w:rsidRPr="000A3C73">
              <w:rPr>
                <w:rStyle w:val="contentfont12"/>
                <w:rFonts w:cs="Tahoma"/>
                <w:sz w:val="22"/>
                <w:szCs w:val="22"/>
              </w:rPr>
              <w:t>development of draft and f</w:t>
            </w:r>
            <w:r w:rsidR="00B822D5" w:rsidRPr="000A3C73">
              <w:rPr>
                <w:rFonts w:cs="Tahoma"/>
                <w:sz w:val="22"/>
                <w:szCs w:val="22"/>
                <w:lang w:eastAsia="da-DK"/>
              </w:rPr>
              <w:t>inal SAP.</w:t>
            </w:r>
          </w:p>
        </w:tc>
      </w:tr>
      <w:tr w:rsidR="001657BB" w:rsidRPr="000A3C73" w:rsidTr="00370B8E">
        <w:tc>
          <w:tcPr>
            <w:tcW w:w="558" w:type="dxa"/>
          </w:tcPr>
          <w:p w:rsidR="001657BB" w:rsidRPr="000A3C73" w:rsidRDefault="001657BB" w:rsidP="00370B8E">
            <w:pPr>
              <w:pStyle w:val="BodyText"/>
              <w:numPr>
                <w:ilvl w:val="0"/>
                <w:numId w:val="0"/>
              </w:numPr>
              <w:rPr>
                <w:sz w:val="22"/>
              </w:rPr>
            </w:pPr>
            <w:r w:rsidRPr="000A3C73">
              <w:rPr>
                <w:sz w:val="22"/>
              </w:rPr>
              <w:t>Albania</w:t>
            </w:r>
          </w:p>
        </w:tc>
        <w:tc>
          <w:tcPr>
            <w:tcW w:w="9018" w:type="dxa"/>
          </w:tcPr>
          <w:p w:rsidR="001657BB" w:rsidRPr="000A3C73" w:rsidRDefault="000672DC" w:rsidP="00370B8E">
            <w:pPr>
              <w:pStyle w:val="BodyText"/>
              <w:numPr>
                <w:ilvl w:val="0"/>
                <w:numId w:val="0"/>
              </w:numPr>
              <w:rPr>
                <w:sz w:val="22"/>
              </w:rPr>
            </w:pPr>
            <w:r w:rsidRPr="000A3C73">
              <w:rPr>
                <w:sz w:val="22"/>
              </w:rPr>
              <w:t>The Albanian central government has not made any official formal affirmations or approvals of the TDA/SAP for Prespa.</w:t>
            </w:r>
          </w:p>
        </w:tc>
      </w:tr>
      <w:tr w:rsidR="001657BB" w:rsidRPr="000A3C73" w:rsidTr="00370B8E">
        <w:tc>
          <w:tcPr>
            <w:tcW w:w="558" w:type="dxa"/>
          </w:tcPr>
          <w:p w:rsidR="001657BB" w:rsidRPr="000A3C73" w:rsidRDefault="001657BB" w:rsidP="00370B8E">
            <w:pPr>
              <w:pStyle w:val="BodyText"/>
              <w:numPr>
                <w:ilvl w:val="0"/>
                <w:numId w:val="0"/>
              </w:numPr>
              <w:rPr>
                <w:sz w:val="22"/>
              </w:rPr>
            </w:pPr>
            <w:r w:rsidRPr="000A3C73">
              <w:rPr>
                <w:sz w:val="22"/>
              </w:rPr>
              <w:t>FYR Macedonia</w:t>
            </w:r>
          </w:p>
        </w:tc>
        <w:tc>
          <w:tcPr>
            <w:tcW w:w="9018" w:type="dxa"/>
          </w:tcPr>
          <w:p w:rsidR="001657BB" w:rsidRPr="000A3C73" w:rsidRDefault="000672DC" w:rsidP="00370B8E">
            <w:pPr>
              <w:pStyle w:val="BodyText"/>
              <w:numPr>
                <w:ilvl w:val="0"/>
                <w:numId w:val="0"/>
              </w:numPr>
              <w:rPr>
                <w:sz w:val="22"/>
              </w:rPr>
            </w:pPr>
            <w:r w:rsidRPr="000A3C73">
              <w:rPr>
                <w:rFonts w:cs="Arial"/>
                <w:snapToGrid w:val="0"/>
                <w:sz w:val="22"/>
                <w:szCs w:val="22"/>
              </w:rPr>
              <w:t>The MK government has not officially endorsed the Prespa SAP, although the government has adopted and is implementing the Prespa Watershed Management plan in Macedonian Prespa. The MK national project component has contributed to the TDA/SAP process by supporting the national level consultations with all relevant stakeholders. Besides the trans-boundary workshops, the national component has been organizing national workshops and meetings to facilitate the process of reaching agreement on the Ecosystem Quality Objectives for the basin, but also the future trans-boundary actions to achieve them. Upon its endorsement by the three states, the SAP will replace the old Strategic Action Plan whose validity has expired.</w:t>
            </w:r>
          </w:p>
        </w:tc>
      </w:tr>
    </w:tbl>
    <w:p w:rsidR="00BA1A42" w:rsidRPr="0089284E" w:rsidRDefault="00BA1A42" w:rsidP="001657BB">
      <w:pPr>
        <w:pStyle w:val="BodyText"/>
        <w:numPr>
          <w:ilvl w:val="0"/>
          <w:numId w:val="0"/>
        </w:numPr>
        <w:rPr>
          <w:bCs/>
        </w:rPr>
      </w:pPr>
    </w:p>
    <w:p w:rsidR="00BA1A42" w:rsidRPr="000A3C73" w:rsidRDefault="00BA1A42" w:rsidP="00BA1A42">
      <w:pPr>
        <w:pStyle w:val="Caption"/>
        <w:jc w:val="both"/>
      </w:pPr>
      <w:bookmarkStart w:id="123" w:name="_Ref209710858"/>
      <w:r w:rsidRPr="00FC657B">
        <w:t xml:space="preserve">Box </w:t>
      </w:r>
      <w:r w:rsidR="008269C6" w:rsidRPr="00F92C45">
        <w:fldChar w:fldCharType="begin"/>
      </w:r>
      <w:r w:rsidR="00CF23E9" w:rsidRPr="000A3C73">
        <w:instrText xml:space="preserve"> SEQ Box \* ARABIC </w:instrText>
      </w:r>
      <w:r w:rsidR="008269C6" w:rsidRPr="00F92C45">
        <w:fldChar w:fldCharType="separate"/>
      </w:r>
      <w:r w:rsidR="006E18A7" w:rsidRPr="000A3C73">
        <w:rPr>
          <w:noProof/>
        </w:rPr>
        <w:t>4</w:t>
      </w:r>
      <w:r w:rsidR="008269C6" w:rsidRPr="00F92C45">
        <w:rPr>
          <w:noProof/>
        </w:rPr>
        <w:fldChar w:fldCharType="end"/>
      </w:r>
      <w:bookmarkEnd w:id="123"/>
      <w:r w:rsidRPr="000A3C73">
        <w:t xml:space="preserve"> The Prespa Lakes Basin Strategic Action Programme (2010)</w:t>
      </w:r>
    </w:p>
    <w:p w:rsidR="00BA1A42" w:rsidRPr="0089284E" w:rsidRDefault="008269C6" w:rsidP="001657BB">
      <w:pPr>
        <w:pStyle w:val="BodyText"/>
        <w:numPr>
          <w:ilvl w:val="0"/>
          <w:numId w:val="0"/>
        </w:numPr>
        <w:rPr>
          <w:bCs/>
        </w:rPr>
      </w:pPr>
      <w:r>
        <w:rPr>
          <w:bCs/>
          <w:noProof/>
        </w:rPr>
      </w:r>
      <w:r>
        <w:rPr>
          <w:bCs/>
          <w:noProof/>
        </w:rPr>
        <w:pict>
          <v:shape id="Text Box 12" o:spid="_x0000_s1028" type="#_x0000_t202" style="width:468pt;height:377.35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" fillcolor="#bfbfbf">
            <v:path arrowok="t"/>
            <v:textbox>
              <w:txbxContent>
                <w:p w:rsidR="00B43AFE" w:rsidRPr="007D5F91" w:rsidRDefault="00B43AFE" w:rsidP="00BA1A42">
                  <w:pPr>
                    <w:autoSpaceDE w:val="0"/>
                    <w:autoSpaceDN w:val="0"/>
                    <w:adjustRightInd w:val="0"/>
                    <w:spacing w:before="60" w:line="276" w:lineRule="auto"/>
                    <w:jc w:val="both"/>
                    <w:rPr>
                      <w:rFonts w:ascii="Calibri" w:hAnsi="Calibri" w:cs="ArialMT"/>
                      <w:sz w:val="21"/>
                      <w:szCs w:val="21"/>
                    </w:rPr>
                  </w:pPr>
                  <w:r w:rsidRPr="007D5F91">
                    <w:rPr>
                      <w:rFonts w:ascii="Calibri" w:hAnsi="Calibri" w:cs="ArialMT"/>
                      <w:sz w:val="21"/>
                      <w:szCs w:val="21"/>
                    </w:rPr>
                    <w:t>The Prespa Lakes Basin Strategic Action Programme (SAP) established a framework on agreed management actions that address the key trans-boundary concerns shared between the three Prespa Lakes Basin countries – Albania, Macedonia and Greece. The main objective of the SAP is to preserve the ecosystem values outlined in the Trans-boundary Diagnostic Analysis that was discussed at a tri-lateral stakeholder meeting in November 2009.</w:t>
                  </w:r>
                </w:p>
                <w:p w:rsidR="00B43AFE" w:rsidRPr="007D5F91" w:rsidRDefault="00B43AFE" w:rsidP="00BA1A42">
                  <w:pPr>
                    <w:autoSpaceDE w:val="0"/>
                    <w:autoSpaceDN w:val="0"/>
                    <w:adjustRightInd w:val="0"/>
                    <w:spacing w:line="276" w:lineRule="auto"/>
                    <w:jc w:val="both"/>
                    <w:rPr>
                      <w:rFonts w:ascii="Calibri" w:hAnsi="Calibri" w:cs="ArialMT"/>
                      <w:sz w:val="21"/>
                      <w:szCs w:val="21"/>
                    </w:rPr>
                  </w:pPr>
                  <w:r w:rsidRPr="007D5F91">
                    <w:rPr>
                      <w:rFonts w:ascii="Calibri" w:hAnsi="Calibri" w:cs="ArialMT"/>
                      <w:sz w:val="21"/>
                      <w:szCs w:val="21"/>
                    </w:rPr>
                    <w:t>The SAP has been developed by a Technical Task Team in discussion with national and regional stakeholders. The SAP builds on the work of the PPCC activities in preparing a Strategic Action Plan in 2002. This SAP is also fully supportive of the Joint Agreement signed by the three countries in 2010 (Box 6), to manage and protect the Prespa Park Area as well as other activities implemented earlier by the three countries.</w:t>
                  </w:r>
                </w:p>
                <w:p w:rsidR="00B43AFE" w:rsidRPr="007D5F91" w:rsidRDefault="00B43AFE" w:rsidP="00BA1A42">
                  <w:pPr>
                    <w:autoSpaceDE w:val="0"/>
                    <w:autoSpaceDN w:val="0"/>
                    <w:adjustRightInd w:val="0"/>
                    <w:spacing w:line="276" w:lineRule="auto"/>
                    <w:jc w:val="both"/>
                    <w:rPr>
                      <w:rFonts w:ascii="Calibri" w:hAnsi="Calibri" w:cs="ArialMT"/>
                      <w:sz w:val="21"/>
                      <w:szCs w:val="21"/>
                    </w:rPr>
                  </w:pPr>
                  <w:r w:rsidRPr="007D5F91">
                    <w:rPr>
                      <w:rFonts w:ascii="Calibri" w:hAnsi="Calibri" w:cs="ArialMT"/>
                      <w:sz w:val="21"/>
                      <w:szCs w:val="21"/>
                    </w:rPr>
                    <w:t>The SAP adheres to two key environmental management principles: (1) Ecosystem Based Management Approach, and (2) integrated River Basin Management, based on which coordinated actions that will be implemented by 2025 have been identified and scheduled.</w:t>
                  </w:r>
                </w:p>
                <w:p w:rsidR="00B43AFE" w:rsidRPr="007D5F91" w:rsidRDefault="00B43AFE" w:rsidP="00BA1A42">
                  <w:pPr>
                    <w:autoSpaceDE w:val="0"/>
                    <w:autoSpaceDN w:val="0"/>
                    <w:adjustRightInd w:val="0"/>
                    <w:spacing w:line="276" w:lineRule="auto"/>
                    <w:jc w:val="both"/>
                    <w:rPr>
                      <w:rFonts w:ascii="Calibri" w:hAnsi="Calibri" w:cs="ArialMT"/>
                      <w:sz w:val="21"/>
                      <w:szCs w:val="21"/>
                    </w:rPr>
                  </w:pPr>
                  <w:r w:rsidRPr="007D5F91">
                    <w:rPr>
                      <w:rFonts w:ascii="Calibri" w:hAnsi="Calibri" w:cs="ArialMT"/>
                      <w:sz w:val="21"/>
                      <w:szCs w:val="21"/>
                    </w:rPr>
                    <w:t>To achieve the vision for the Prespa Lakes Basin, four Environmental Quality Objectives have been designed by the SAP that address the identified key trans-boundary concerns. These Objectives include:</w:t>
                  </w:r>
                </w:p>
                <w:p w:rsidR="00B43AFE" w:rsidRPr="007D5F91" w:rsidRDefault="00B43AFE" w:rsidP="000A0F25">
                  <w:pPr>
                    <w:numPr>
                      <w:ilvl w:val="0"/>
                      <w:numId w:val="17"/>
                    </w:numPr>
                    <w:autoSpaceDE w:val="0"/>
                    <w:autoSpaceDN w:val="0"/>
                    <w:adjustRightInd w:val="0"/>
                    <w:spacing w:after="60"/>
                    <w:ind w:left="714" w:hanging="357"/>
                    <w:jc w:val="both"/>
                    <w:rPr>
                      <w:rFonts w:ascii="Calibri" w:hAnsi="Calibri" w:cs="ArialMT"/>
                      <w:sz w:val="21"/>
                      <w:szCs w:val="21"/>
                    </w:rPr>
                  </w:pPr>
                  <w:r w:rsidRPr="007D5F91">
                    <w:rPr>
                      <w:rFonts w:ascii="Calibri" w:hAnsi="Calibri" w:cs="ArialMT"/>
                      <w:sz w:val="21"/>
                      <w:szCs w:val="21"/>
                    </w:rPr>
                    <w:t>Preservation of ecological values of surface and ground water resources</w:t>
                  </w:r>
                </w:p>
                <w:p w:rsidR="00B43AFE" w:rsidRPr="007D5F91" w:rsidRDefault="00B43AFE" w:rsidP="000A0F25">
                  <w:pPr>
                    <w:numPr>
                      <w:ilvl w:val="0"/>
                      <w:numId w:val="17"/>
                    </w:numPr>
                    <w:autoSpaceDE w:val="0"/>
                    <w:autoSpaceDN w:val="0"/>
                    <w:adjustRightInd w:val="0"/>
                    <w:spacing w:after="60"/>
                    <w:ind w:left="714" w:hanging="357"/>
                    <w:jc w:val="both"/>
                    <w:rPr>
                      <w:rFonts w:ascii="Calibri" w:hAnsi="Calibri" w:cs="ArialMT"/>
                      <w:sz w:val="21"/>
                      <w:szCs w:val="21"/>
                    </w:rPr>
                  </w:pPr>
                  <w:r w:rsidRPr="007D5F91">
                    <w:rPr>
                      <w:rFonts w:ascii="Calibri" w:hAnsi="Calibri" w:cs="ArialMT"/>
                      <w:sz w:val="21"/>
                      <w:szCs w:val="21"/>
                    </w:rPr>
                    <w:t>Strengthening land-use management and planning</w:t>
                  </w:r>
                </w:p>
                <w:p w:rsidR="00B43AFE" w:rsidRPr="007D5F91" w:rsidRDefault="00B43AFE" w:rsidP="000A0F25">
                  <w:pPr>
                    <w:numPr>
                      <w:ilvl w:val="0"/>
                      <w:numId w:val="17"/>
                    </w:numPr>
                    <w:autoSpaceDE w:val="0"/>
                    <w:autoSpaceDN w:val="0"/>
                    <w:adjustRightInd w:val="0"/>
                    <w:spacing w:after="60"/>
                    <w:ind w:left="714" w:hanging="357"/>
                    <w:jc w:val="both"/>
                    <w:rPr>
                      <w:rFonts w:ascii="Calibri" w:hAnsi="Calibri" w:cs="ArialMT"/>
                      <w:sz w:val="21"/>
                      <w:szCs w:val="21"/>
                    </w:rPr>
                  </w:pPr>
                  <w:r w:rsidRPr="007D5F91">
                    <w:rPr>
                      <w:rFonts w:ascii="Calibri" w:hAnsi="Calibri" w:cs="ArialMT"/>
                      <w:sz w:val="21"/>
                      <w:szCs w:val="21"/>
                    </w:rPr>
                    <w:t>Conservation of Prespa Lakes Basin’s biodiversity and habitats</w:t>
                  </w:r>
                </w:p>
                <w:p w:rsidR="00B43AFE" w:rsidRPr="007D5F91" w:rsidRDefault="00B43AFE" w:rsidP="000A0F25">
                  <w:pPr>
                    <w:numPr>
                      <w:ilvl w:val="0"/>
                      <w:numId w:val="17"/>
                    </w:numPr>
                    <w:autoSpaceDE w:val="0"/>
                    <w:autoSpaceDN w:val="0"/>
                    <w:adjustRightInd w:val="0"/>
                    <w:jc w:val="both"/>
                    <w:rPr>
                      <w:rFonts w:ascii="Calibri" w:hAnsi="Calibri" w:cs="Arial"/>
                      <w:bCs/>
                      <w:sz w:val="21"/>
                      <w:szCs w:val="21"/>
                    </w:rPr>
                  </w:pPr>
                  <w:r w:rsidRPr="007D5F91">
                    <w:rPr>
                      <w:rFonts w:ascii="Calibri" w:hAnsi="Calibri" w:cs="ArialMT"/>
                      <w:sz w:val="21"/>
                      <w:szCs w:val="21"/>
                    </w:rPr>
                    <w:t>Improvement of livelihoods of the local communities by ensuring sustainable forestry, agriculture and fisheries</w:t>
                  </w:r>
                  <w:r w:rsidRPr="007D5F91">
                    <w:rPr>
                      <w:rFonts w:ascii="Calibri" w:hAnsi="Calibri" w:cs="Arial"/>
                      <w:bCs/>
                      <w:sz w:val="21"/>
                      <w:szCs w:val="21"/>
                    </w:rPr>
                    <w:t>.</w:t>
                  </w:r>
                </w:p>
                <w:p w:rsidR="00B43AFE" w:rsidRPr="00BA1A42" w:rsidRDefault="00B43AFE" w:rsidP="00BA1A42">
                  <w:pPr>
                    <w:autoSpaceDE w:val="0"/>
                    <w:autoSpaceDN w:val="0"/>
                    <w:adjustRightInd w:val="0"/>
                    <w:spacing w:line="276" w:lineRule="auto"/>
                    <w:jc w:val="both"/>
                    <w:rPr>
                      <w:rFonts w:ascii="Calibri" w:hAnsi="Calibri" w:cs="ArialMT"/>
                      <w:sz w:val="21"/>
                      <w:szCs w:val="21"/>
                    </w:rPr>
                  </w:pPr>
                  <w:r w:rsidRPr="007D5F91">
                    <w:rPr>
                      <w:rFonts w:ascii="Calibri" w:hAnsi="Calibri" w:cs="ArialMT"/>
                      <w:sz w:val="21"/>
                      <w:szCs w:val="21"/>
                    </w:rPr>
                    <w:t>The SAP also recognized the challenges of raising finances for its implementation.  Overall, it is acknowledged that the sustainability of the SAP interventions will be highly dependent on national sources of all three Prespa Lakes Basin countries; however, it is also expected that the countries will need considerable assistance from multi- and bi-lateral donors active in the region to enable the process of SAP implementation to proceed</w:t>
                  </w:r>
                  <w:r>
                    <w:rPr>
                      <w:rFonts w:ascii="Calibri" w:hAnsi="Calibri" w:cs="ArialMT"/>
                      <w:sz w:val="21"/>
                      <w:szCs w:val="21"/>
                    </w:rPr>
                    <w:t>.</w:t>
                  </w:r>
                </w:p>
              </w:txbxContent>
            </v:textbox>
            <w10:anchorlock/>
          </v:shape>
        </w:pict>
      </w:r>
    </w:p>
    <w:p w:rsidR="00BA1A42" w:rsidRPr="0089284E" w:rsidRDefault="00BA1A42" w:rsidP="001657BB">
      <w:pPr>
        <w:pStyle w:val="BodyText"/>
        <w:numPr>
          <w:ilvl w:val="0"/>
          <w:numId w:val="0"/>
        </w:numPr>
        <w:rPr>
          <w:bCs/>
        </w:rPr>
      </w:pPr>
    </w:p>
    <w:p w:rsidR="00943474" w:rsidRPr="0089284E" w:rsidRDefault="00943474" w:rsidP="00943474">
      <w:pPr>
        <w:pStyle w:val="Heading3"/>
        <w:ind w:left="1440"/>
      </w:pPr>
      <w:bookmarkStart w:id="124" w:name="_Toc238551076"/>
      <w:r w:rsidRPr="00FC657B">
        <w:t xml:space="preserve">Outcome 5: </w:t>
      </w:r>
      <w:r w:rsidR="008C3DDF" w:rsidRPr="0089284E">
        <w:t>Lessons learned and adaptive management of project</w:t>
      </w:r>
      <w:bookmarkEnd w:id="124"/>
    </w:p>
    <w:p w:rsidR="00AD3D26" w:rsidRPr="000126EE" w:rsidRDefault="00AD3D26" w:rsidP="00AD3D26">
      <w:pPr>
        <w:pStyle w:val="BodyText"/>
      </w:pPr>
      <w:r w:rsidRPr="00FC657B">
        <w:t>Although a significant amount of the project budget was planned for this outcome</w:t>
      </w:r>
      <w:r w:rsidR="007F4B33" w:rsidRPr="00FC657B">
        <w:t xml:space="preserve"> ($1.02 million or 25% of the GEF funding)</w:t>
      </w:r>
      <w:r w:rsidRPr="00D77DF1">
        <w:t>, it is difficult to distinguish specific activities planned and c</w:t>
      </w:r>
      <w:r w:rsidRPr="00CD42DE">
        <w:t>arried out under Outcome 5 as distinct from the other four outcomes. In fact, the activities under Outcome 5</w:t>
      </w:r>
      <w:r w:rsidR="009C7CC0" w:rsidRPr="00AA7D1F">
        <w:t>,</w:t>
      </w:r>
      <w:r w:rsidR="0025217C" w:rsidRPr="005E69C8">
        <w:t xml:space="preserve"> </w:t>
      </w:r>
      <w:r w:rsidR="009C7CC0" w:rsidRPr="008B7E9A">
        <w:t xml:space="preserve">including efficient and effective project management, </w:t>
      </w:r>
      <w:r w:rsidRPr="000126EE">
        <w:t>should suppo</w:t>
      </w:r>
      <w:r w:rsidR="009C7CC0" w:rsidRPr="00B71D27">
        <w:t>rt each of the other activities</w:t>
      </w:r>
      <w:r w:rsidRPr="00595792">
        <w:t xml:space="preserve">. </w:t>
      </w:r>
      <w:r w:rsidR="008202C9" w:rsidRPr="00602E30">
        <w:t>Results fra</w:t>
      </w:r>
      <w:r w:rsidR="008202C9" w:rsidRPr="002A69B7">
        <w:t>mework indicators for this outcome i</w:t>
      </w:r>
      <w:r w:rsidR="008202C9" w:rsidRPr="002C744B">
        <w:t xml:space="preserve">ncluded the project’s delivery rate and the positive evaluations from the independent external mid-term and final evaluations. </w:t>
      </w:r>
      <w:r w:rsidR="00514885" w:rsidRPr="00C56966">
        <w:t xml:space="preserve">As discussed in Section </w:t>
      </w:r>
      <w:r w:rsidR="008269C6" w:rsidRPr="000126EE">
        <w:fldChar w:fldCharType="begin"/>
      </w:r>
      <w:r w:rsidR="00C11444" w:rsidRPr="000A3C73">
        <w:instrText xml:space="preserve"> REF _Ref209780167 \w \h </w:instrText>
      </w:r>
      <w:r w:rsidR="008269C6" w:rsidRPr="000126EE">
        <w:fldChar w:fldCharType="separate"/>
      </w:r>
      <w:r w:rsidR="006E18A7" w:rsidRPr="000126EE">
        <w:t>IV.E.i</w:t>
      </w:r>
      <w:r w:rsidR="008269C6" w:rsidRPr="000126EE">
        <w:fldChar w:fldCharType="end"/>
      </w:r>
      <w:r w:rsidR="00364F12">
        <w:t xml:space="preserve"> </w:t>
      </w:r>
      <w:r w:rsidR="00514885" w:rsidRPr="005E69C8">
        <w:t>on financial management, the Albanian component achieved 100% financial delivery, the Macedonian component reached 99.64%, and the transboundary component reach</w:t>
      </w:r>
      <w:r w:rsidR="00514885" w:rsidRPr="008B7E9A">
        <w:t xml:space="preserve">ed 95.6%. </w:t>
      </w:r>
    </w:p>
    <w:p w:rsidR="008C3DDF" w:rsidRPr="0089284E" w:rsidRDefault="008C3DDF" w:rsidP="008C3DDF">
      <w:pPr>
        <w:pStyle w:val="BodyText"/>
        <w:rPr>
          <w:bCs/>
          <w:i/>
          <w:u w:val="single"/>
        </w:rPr>
      </w:pPr>
      <w:r w:rsidRPr="0089284E">
        <w:rPr>
          <w:b/>
          <w:bCs/>
          <w:i/>
          <w:u w:val="single"/>
        </w:rPr>
        <w:t xml:space="preserve">Output 5.1 </w:t>
      </w:r>
      <w:r w:rsidRPr="0089284E">
        <w:rPr>
          <w:bCs/>
          <w:i/>
          <w:u w:val="single"/>
        </w:rPr>
        <w:t>Monitoring and evaluation enables lessons to be elaborated, learned and shared worldwide and project management to be adaptive</w:t>
      </w:r>
    </w:p>
    <w:p w:rsidR="0010541F" w:rsidRPr="000126EE" w:rsidRDefault="00E72F74" w:rsidP="008C3DDF">
      <w:pPr>
        <w:pStyle w:val="BodyText"/>
      </w:pPr>
      <w:r w:rsidRPr="00FC657B">
        <w:t xml:space="preserve">Monitoring and evaluation are discussed in Section </w:t>
      </w:r>
      <w:r w:rsidR="008269C6" w:rsidRPr="005E69C8">
        <w:fldChar w:fldCharType="begin"/>
      </w:r>
      <w:r w:rsidRPr="000A3C73">
        <w:instrText xml:space="preserve"> REF _Ref147244308 \w \h </w:instrText>
      </w:r>
      <w:r w:rsidR="008269C6" w:rsidRPr="005E69C8">
        <w:fldChar w:fldCharType="separate"/>
      </w:r>
      <w:r w:rsidR="006E18A7" w:rsidRPr="005E69C8">
        <w:t>VI.C</w:t>
      </w:r>
      <w:r w:rsidR="008269C6" w:rsidRPr="005E69C8">
        <w:fldChar w:fldCharType="end"/>
      </w:r>
      <w:r w:rsidR="00364F12">
        <w:t xml:space="preserve"> </w:t>
      </w:r>
      <w:r w:rsidRPr="005E69C8">
        <w:t>of this evaluation repo</w:t>
      </w:r>
      <w:r w:rsidRPr="008B7E9A">
        <w:t xml:space="preserve">rt. </w:t>
      </w:r>
    </w:p>
    <w:p w:rsidR="008C3DDF" w:rsidRPr="0089284E" w:rsidRDefault="008C3DDF" w:rsidP="008C3DDF">
      <w:pPr>
        <w:pStyle w:val="BodyText"/>
        <w:rPr>
          <w:bCs/>
          <w:i/>
          <w:u w:val="single"/>
        </w:rPr>
      </w:pPr>
      <w:r w:rsidRPr="0089284E">
        <w:rPr>
          <w:b/>
          <w:bCs/>
          <w:i/>
          <w:u w:val="single"/>
        </w:rPr>
        <w:t>Output 5.2.</w:t>
      </w:r>
      <w:r w:rsidRPr="0089284E">
        <w:rPr>
          <w:bCs/>
          <w:i/>
          <w:u w:val="single"/>
        </w:rPr>
        <w:t xml:space="preserve">  Lessons learned are shared and replicated nationally and internationally</w:t>
      </w:r>
    </w:p>
    <w:p w:rsidR="0010541F" w:rsidRPr="008B7E9A" w:rsidRDefault="00AD3D26" w:rsidP="00A00B42">
      <w:pPr>
        <w:pStyle w:val="BodyText"/>
      </w:pPr>
      <w:r w:rsidRPr="00FC657B">
        <w:t xml:space="preserve">Outputs 5.1, 5.3 and 5.4 relate to specific aspects of project management, while Output 5.2 focuses on knowledge sharing. It is unclear what specific activities were funded under this outcome. The </w:t>
      </w:r>
      <w:r w:rsidR="009D1027" w:rsidRPr="00D77DF1">
        <w:t xml:space="preserve">2011 </w:t>
      </w:r>
      <w:r w:rsidRPr="00CD42DE">
        <w:t>project workplan for the Albania component, for example, states for Output 5.3: “</w:t>
      </w:r>
      <w:r w:rsidRPr="00AA7D1F">
        <w:rPr>
          <w:i/>
        </w:rPr>
        <w:t>Continue with communication and exchanges betwee</w:t>
      </w:r>
      <w:r w:rsidRPr="005E69C8">
        <w:rPr>
          <w:i/>
        </w:rPr>
        <w:t>n stakeholders in both countries (best practices, visits, resource materials, etc</w:t>
      </w:r>
      <w:r w:rsidR="00364F12">
        <w:rPr>
          <w:i/>
        </w:rPr>
        <w:t>.</w:t>
      </w:r>
      <w:r w:rsidRPr="005E69C8">
        <w:rPr>
          <w:i/>
        </w:rPr>
        <w:t>) + regul</w:t>
      </w:r>
      <w:r w:rsidRPr="008B7E9A">
        <w:rPr>
          <w:i/>
        </w:rPr>
        <w:t>ar staff meetings</w:t>
      </w:r>
      <w:r w:rsidRPr="000126EE">
        <w:t xml:space="preserve">.” This is a reasonable approach, allowing </w:t>
      </w:r>
      <w:r w:rsidR="00C04564" w:rsidRPr="00B71D27">
        <w:t>the project to opportunistically take advantage of knowledge sharing opportunities, but it would be helpful to have a better understanding of how resources budgeted under this output were utilized</w:t>
      </w:r>
      <w:r w:rsidR="00C04564" w:rsidRPr="00595792">
        <w:t xml:space="preserve"> to support sharing of lessons and knowledge management. The project produced multiple publications and public awareness and commu</w:t>
      </w:r>
      <w:r w:rsidR="00C04564" w:rsidRPr="00602E30">
        <w:t xml:space="preserve">nications materials, and it may be that the project team utilized Outcome 5 resources for these outputs. </w:t>
      </w:r>
      <w:r w:rsidR="009D1027" w:rsidRPr="002A69B7">
        <w:t>The 2010 workplan for the transboundary component states for Outcome 5, “</w:t>
      </w:r>
      <w:r w:rsidR="009D1027" w:rsidRPr="002C744B">
        <w:rPr>
          <w:i/>
        </w:rPr>
        <w:t>Operationa</w:t>
      </w:r>
      <w:r w:rsidR="009D1027" w:rsidRPr="00C56966">
        <w:rPr>
          <w:i/>
        </w:rPr>
        <w:t>l Costs (phone costs, petty cash, advertisements, salaries, travel costs…); Regular project staff coordination meetings to ensure coordination between national and TB components; Continue collaboration with GEF IW-LEARN and GWP-MED for joint initiatives</w:t>
      </w:r>
      <w:r w:rsidR="009D1027" w:rsidRPr="002D3949">
        <w:t>.”</w:t>
      </w:r>
      <w:r w:rsidR="00F45F42" w:rsidRPr="000A3C73">
        <w:t xml:space="preserve"> Clearly elements of project management were budgeted under Outcome 5. Cost-effectiveness of project management is discussed in the previous Section </w:t>
      </w:r>
      <w:r w:rsidR="008269C6" w:rsidRPr="008B7E9A">
        <w:fldChar w:fldCharType="begin"/>
      </w:r>
      <w:r w:rsidR="00F45F42" w:rsidRPr="000A3C73">
        <w:instrText xml:space="preserve"> REF _Ref209771654 \w \h </w:instrText>
      </w:r>
      <w:r w:rsidR="008269C6" w:rsidRPr="008B7E9A">
        <w:fldChar w:fldCharType="separate"/>
      </w:r>
      <w:r w:rsidR="006E18A7" w:rsidRPr="008B7E9A">
        <w:t>IV.E</w:t>
      </w:r>
      <w:r w:rsidR="008269C6" w:rsidRPr="008B7E9A">
        <w:fldChar w:fldCharType="end"/>
      </w:r>
      <w:r w:rsidR="00F45F42" w:rsidRPr="005E69C8">
        <w:t xml:space="preserve">. </w:t>
      </w:r>
    </w:p>
    <w:p w:rsidR="00F45F42" w:rsidRPr="00C56966" w:rsidRDefault="00C25224" w:rsidP="00A00B42">
      <w:pPr>
        <w:pStyle w:val="BodyText"/>
      </w:pPr>
      <w:r w:rsidRPr="000126EE">
        <w:t xml:space="preserve">There are </w:t>
      </w:r>
      <w:r w:rsidRPr="00B71D27">
        <w:t>some project results that have contributed to sharing of lessons learned, and potential replication at the national and international levels. For example, the River Basin Management manual produced under the Macedonian component that is now in used in a co</w:t>
      </w:r>
      <w:r w:rsidRPr="00595792">
        <w:t>urse on this topic in Macedonia at the university level.</w:t>
      </w:r>
      <w:r w:rsidR="00071A00" w:rsidRPr="00602E30">
        <w:t xml:space="preserve"> Additional information on catalytic results is included in Section </w:t>
      </w:r>
      <w:r w:rsidR="008269C6" w:rsidRPr="008B7E9A">
        <w:fldChar w:fldCharType="begin"/>
      </w:r>
      <w:r w:rsidR="00071A00" w:rsidRPr="000A3C73">
        <w:instrText xml:space="preserve"> REF _Ref209771985 \w \h </w:instrText>
      </w:r>
      <w:r w:rsidR="008269C6" w:rsidRPr="008B7E9A">
        <w:fldChar w:fldCharType="separate"/>
      </w:r>
      <w:r w:rsidR="006E18A7" w:rsidRPr="008B7E9A">
        <w:t>VI.B</w:t>
      </w:r>
      <w:r w:rsidR="008269C6" w:rsidRPr="008B7E9A">
        <w:fldChar w:fldCharType="end"/>
      </w:r>
      <w:r w:rsidR="00071A00" w:rsidRPr="005E69C8">
        <w:t xml:space="preserve"> below.</w:t>
      </w:r>
      <w:r w:rsidRPr="008B7E9A">
        <w:t xml:space="preserve"> Also, for example, the project was recently included as a </w:t>
      </w:r>
      <w:r w:rsidR="002D1EFF" w:rsidRPr="000126EE">
        <w:t>success story</w:t>
      </w:r>
      <w:r w:rsidRPr="00B71D27">
        <w:t xml:space="preserve"> in</w:t>
      </w:r>
      <w:r w:rsidR="002D1EFF" w:rsidRPr="00595792">
        <w:t xml:space="preserve"> the regional UNDP publication “Empowering Lives, Building Resilience: Development Stories from Europe and Central Asia.”</w:t>
      </w:r>
      <w:r w:rsidR="008C374E" w:rsidRPr="00602E30">
        <w:t xml:space="preserve"> This is in addition to th</w:t>
      </w:r>
      <w:r w:rsidR="008C374E" w:rsidRPr="002A69B7">
        <w:t>e various national and local level i</w:t>
      </w:r>
      <w:r w:rsidR="008C374E" w:rsidRPr="002C744B">
        <w:t xml:space="preserve">nformation sharing activities, such as participation in local community events, publication of brochures, etc. </w:t>
      </w:r>
    </w:p>
    <w:p w:rsidR="00E72F74" w:rsidRPr="0089284E" w:rsidRDefault="008C3DDF" w:rsidP="00E72F74">
      <w:pPr>
        <w:pStyle w:val="BodyText"/>
        <w:rPr>
          <w:bCs/>
          <w:i/>
          <w:u w:val="single"/>
        </w:rPr>
      </w:pPr>
      <w:r w:rsidRPr="0089284E">
        <w:rPr>
          <w:b/>
          <w:bCs/>
          <w:i/>
          <w:u w:val="single"/>
        </w:rPr>
        <w:t xml:space="preserve">Output 5.3 </w:t>
      </w:r>
      <w:r w:rsidRPr="0089284E">
        <w:rPr>
          <w:bCs/>
          <w:i/>
          <w:u w:val="single"/>
        </w:rPr>
        <w:t>Adaptive management at national levels</w:t>
      </w:r>
      <w:r w:rsidR="00C367FF" w:rsidRPr="0089284E">
        <w:rPr>
          <w:bCs/>
          <w:i/>
          <w:u w:val="single"/>
        </w:rPr>
        <w:t xml:space="preserve"> </w:t>
      </w:r>
      <w:r w:rsidR="00E72F74" w:rsidRPr="0089284E">
        <w:rPr>
          <w:bCs/>
        </w:rPr>
        <w:t>and</w:t>
      </w:r>
      <w:r w:rsidR="00C367FF" w:rsidRPr="0089284E">
        <w:rPr>
          <w:bCs/>
        </w:rPr>
        <w:t xml:space="preserve"> </w:t>
      </w:r>
      <w:r w:rsidR="00E72F74" w:rsidRPr="0089284E">
        <w:rPr>
          <w:b/>
          <w:bCs/>
          <w:i/>
          <w:u w:val="single"/>
        </w:rPr>
        <w:t xml:space="preserve">Output 5.4 </w:t>
      </w:r>
      <w:r w:rsidR="00E72F74" w:rsidRPr="0089284E">
        <w:rPr>
          <w:bCs/>
          <w:i/>
          <w:u w:val="single"/>
        </w:rPr>
        <w:t>Adaptive management at trans-boundary level</w:t>
      </w:r>
    </w:p>
    <w:p w:rsidR="0010541F" w:rsidRPr="008B7E9A" w:rsidRDefault="00E72F74" w:rsidP="00E72F74">
      <w:pPr>
        <w:pStyle w:val="BodyText"/>
      </w:pPr>
      <w:r w:rsidRPr="00FC657B">
        <w:t xml:space="preserve">Adaptive management is discussed in Section </w:t>
      </w:r>
      <w:r w:rsidR="008269C6" w:rsidRPr="005E69C8">
        <w:fldChar w:fldCharType="begin"/>
      </w:r>
      <w:r w:rsidRPr="000A3C73">
        <w:instrText xml:space="preserve"> REF _Ref209502984 \w \h </w:instrText>
      </w:r>
      <w:r w:rsidR="008269C6" w:rsidRPr="005E69C8">
        <w:fldChar w:fldCharType="separate"/>
      </w:r>
      <w:r w:rsidR="006E18A7" w:rsidRPr="005E69C8">
        <w:t>107</w:t>
      </w:r>
      <w:r w:rsidR="008269C6" w:rsidRPr="005E69C8">
        <w:fldChar w:fldCharType="end"/>
      </w:r>
      <w:r w:rsidR="003C386F" w:rsidRPr="005E69C8">
        <w:t>of this evaluation report, and project management</w:t>
      </w:r>
      <w:r w:rsidR="003C386F" w:rsidRPr="008B7E9A">
        <w:t xml:space="preserve"> generally is discussed in Section </w:t>
      </w:r>
      <w:r w:rsidR="008269C6" w:rsidRPr="008B7E9A">
        <w:fldChar w:fldCharType="begin"/>
      </w:r>
      <w:r w:rsidR="003C386F" w:rsidRPr="000A3C73">
        <w:instrText xml:space="preserve"> REF _Ref209765183 \w \h </w:instrText>
      </w:r>
      <w:r w:rsidR="008269C6" w:rsidRPr="008B7E9A">
        <w:fldChar w:fldCharType="separate"/>
      </w:r>
      <w:r w:rsidR="006E18A7" w:rsidRPr="008B7E9A">
        <w:t>IV.E</w:t>
      </w:r>
      <w:r w:rsidR="008269C6" w:rsidRPr="008B7E9A">
        <w:fldChar w:fldCharType="end"/>
      </w:r>
      <w:r w:rsidR="003C386F" w:rsidRPr="005E69C8">
        <w:t xml:space="preserve">. </w:t>
      </w:r>
    </w:p>
    <w:p w:rsidR="006B1B6C" w:rsidRPr="00602E30" w:rsidRDefault="006B1B6C" w:rsidP="006B1B6C">
      <w:pPr>
        <w:pStyle w:val="Heading2"/>
        <w:ind w:left="1080" w:hanging="360"/>
      </w:pPr>
      <w:bookmarkStart w:id="125" w:name="_Toc238551077"/>
      <w:r w:rsidRPr="000126EE">
        <w:t xml:space="preserve">Stakeholder Participation </w:t>
      </w:r>
      <w:r w:rsidR="001C34D2" w:rsidRPr="00B71D27">
        <w:t xml:space="preserve">and Partnerships </w:t>
      </w:r>
      <w:r w:rsidRPr="00595792">
        <w:t>During Implement</w:t>
      </w:r>
      <w:r w:rsidRPr="00602E30">
        <w:t>ation</w:t>
      </w:r>
      <w:bookmarkEnd w:id="125"/>
    </w:p>
    <w:p w:rsidR="006B1B6C" w:rsidRPr="000A3C73" w:rsidRDefault="003B5A3E" w:rsidP="006B1B6C">
      <w:pPr>
        <w:pStyle w:val="BodyText"/>
      </w:pPr>
      <w:r w:rsidRPr="002A69B7">
        <w:t>Various elements related to st</w:t>
      </w:r>
      <w:r w:rsidRPr="002C744B">
        <w:t xml:space="preserve">akeholder participation have been mentioned throughout this evaluation report, in particular in Sections </w:t>
      </w:r>
      <w:r w:rsidR="008269C6" w:rsidRPr="008B7E9A">
        <w:fldChar w:fldCharType="begin"/>
      </w:r>
      <w:r w:rsidRPr="000A3C73">
        <w:instrText xml:space="preserve"> REF _Ref209709397 \w \h </w:instrText>
      </w:r>
      <w:r w:rsidR="008269C6" w:rsidRPr="008B7E9A">
        <w:fldChar w:fldCharType="separate"/>
      </w:r>
      <w:r w:rsidR="006E18A7" w:rsidRPr="008B7E9A">
        <w:t>IV.A.ii</w:t>
      </w:r>
      <w:r w:rsidR="008269C6" w:rsidRPr="008B7E9A">
        <w:fldChar w:fldCharType="end"/>
      </w:r>
      <w:r w:rsidRPr="005E69C8">
        <w:t xml:space="preserve"> on project design and Section </w:t>
      </w:r>
      <w:r w:rsidR="008269C6" w:rsidRPr="008B7E9A">
        <w:fldChar w:fldCharType="begin"/>
      </w:r>
      <w:r w:rsidRPr="000A3C73">
        <w:instrText xml:space="preserve"> REF _Ref209772383 \w \h </w:instrText>
      </w:r>
      <w:r w:rsidR="008269C6" w:rsidRPr="008B7E9A">
        <w:fldChar w:fldCharType="separate"/>
      </w:r>
      <w:r w:rsidR="006E18A7" w:rsidRPr="008B7E9A">
        <w:t>V.A</w:t>
      </w:r>
      <w:r w:rsidR="008269C6" w:rsidRPr="008B7E9A">
        <w:fldChar w:fldCharType="end"/>
      </w:r>
      <w:r w:rsidRPr="005E69C8">
        <w:t xml:space="preserve"> on factors affecting implementation, as well as throughout the results section covering each of the five outcomes. </w:t>
      </w:r>
      <w:r w:rsidR="004D6CDE" w:rsidRPr="008B7E9A">
        <w:t xml:space="preserve">To summarize, </w:t>
      </w:r>
      <w:r w:rsidR="00BB227E" w:rsidRPr="000126EE">
        <w:t xml:space="preserve">stakeholder </w:t>
      </w:r>
      <w:r w:rsidR="00BB227E" w:rsidRPr="00B71D27">
        <w:t>involvement – though generally strong – varied between the three components, and between the local and national levels. In both the Macedonian and Albanian national components there was good participation from local level stakeholders; in both countries th</w:t>
      </w:r>
      <w:r w:rsidR="00BB227E" w:rsidRPr="00595792">
        <w:t>e project involved local government, local resource users, environmental managers, and teachers and schoolchildren. The Macedonian</w:t>
      </w:r>
      <w:r w:rsidR="00BB227E" w:rsidRPr="00602E30">
        <w:t xml:space="preserve"> component’s partnership with the Municipality of Resen is a good practice example that should be emulated in other projects with similar contexts. Although the project did not fund activities in Greek Prespa, there is also strong support for the project’s</w:t>
      </w:r>
      <w:r w:rsidR="00BB227E" w:rsidRPr="002A69B7">
        <w:t xml:space="preserve"> objective at the local government l</w:t>
      </w:r>
      <w:r w:rsidR="00BB227E" w:rsidRPr="002C744B">
        <w:t xml:space="preserve">evel. The national level governments have not demonstrated as strong a commitment, particularly with respect to the transboundary governance aspect, in relation to the PPMC. </w:t>
      </w:r>
      <w:r w:rsidR="00483246" w:rsidRPr="00C56966">
        <w:t xml:space="preserve">In other transboundary activities multiple stakeholders interviewed for the terminal evaluation cited irregular participation from the Greek side. </w:t>
      </w:r>
      <w:r w:rsidR="00826506" w:rsidRPr="002D3949">
        <w:t xml:space="preserve">As one project </w:t>
      </w:r>
      <w:r w:rsidR="00826506" w:rsidRPr="000A3C73">
        <w:t xml:space="preserve">participant noted, </w:t>
      </w:r>
      <w:r w:rsidR="0055750D" w:rsidRPr="000A3C73">
        <w:t>“In a way, [the project] aimed too high, aiming for international agreements when we should have been aiming for tri-lateral municipal strategies. At the local level they can see the possibilities.”</w:t>
      </w:r>
    </w:p>
    <w:p w:rsidR="00CE2D51" w:rsidRPr="000A3C73" w:rsidRDefault="00CE2D51" w:rsidP="00CE2D51">
      <w:pPr>
        <w:pStyle w:val="BodyText"/>
        <w:numPr>
          <w:ilvl w:val="0"/>
          <w:numId w:val="0"/>
        </w:numPr>
      </w:pPr>
    </w:p>
    <w:p w:rsidR="00B41E00" w:rsidRPr="000A3C73" w:rsidRDefault="00B41E00" w:rsidP="00B41E00">
      <w:pPr>
        <w:pStyle w:val="Heading1"/>
        <w:ind w:left="360" w:hanging="360"/>
      </w:pPr>
      <w:bookmarkStart w:id="126" w:name="_Toc152154286"/>
      <w:bookmarkStart w:id="127" w:name="_Toc238551078"/>
      <w:r w:rsidRPr="000A3C73">
        <w:t>Key GEF Performance Parameters</w:t>
      </w:r>
      <w:bookmarkEnd w:id="126"/>
      <w:bookmarkEnd w:id="127"/>
    </w:p>
    <w:p w:rsidR="00E30CDE" w:rsidRPr="000A3C73" w:rsidRDefault="00B41E00" w:rsidP="00B41E00">
      <w:pPr>
        <w:pStyle w:val="Heading2"/>
        <w:ind w:left="1080" w:hanging="360"/>
      </w:pPr>
      <w:bookmarkStart w:id="128" w:name="_Toc152154287"/>
      <w:bookmarkStart w:id="129" w:name="_Ref179449923"/>
      <w:bookmarkStart w:id="130" w:name="_Ref198478145"/>
      <w:bookmarkStart w:id="131" w:name="_Ref210906401"/>
      <w:bookmarkStart w:id="132" w:name="_Toc238551079"/>
      <w:r w:rsidRPr="000A3C73">
        <w:t>Sustainability</w:t>
      </w:r>
      <w:bookmarkEnd w:id="128"/>
      <w:bookmarkEnd w:id="129"/>
      <w:bookmarkEnd w:id="130"/>
      <w:bookmarkEnd w:id="131"/>
      <w:bookmarkEnd w:id="132"/>
    </w:p>
    <w:p w:rsidR="00E30CDE" w:rsidRPr="000A3C73" w:rsidRDefault="00E30CDE" w:rsidP="00E30CDE">
      <w:pPr>
        <w:pStyle w:val="BodyText"/>
      </w:pPr>
      <w:r w:rsidRPr="000A3C73">
        <w:t xml:space="preserve">While a sustainability rating is provided here as required, sustainability is a temporal and dynamic state that is influenced by a broad range of </w:t>
      </w:r>
      <w:r w:rsidR="000309E1" w:rsidRPr="000A3C73">
        <w:t xml:space="preserve">constantly </w:t>
      </w:r>
      <w:r w:rsidR="007F2BBC" w:rsidRPr="000A3C73">
        <w:t xml:space="preserve">shifting factors. </w:t>
      </w:r>
      <w:r w:rsidRPr="000A3C73">
        <w:t>It should be kept in mind that the important aspect of sustainability of GEF projects is the sustainability of results, not necessarily the sustainability of act</w:t>
      </w:r>
      <w:r w:rsidR="000309E1" w:rsidRPr="000A3C73">
        <w:t xml:space="preserve">ivities that produced results. </w:t>
      </w:r>
      <w:r w:rsidRPr="000A3C73">
        <w:t xml:space="preserve">In the context of GEF projects there is no clearly defined timeframe for which results should be sustained, although </w:t>
      </w:r>
      <w:r w:rsidR="000309E1" w:rsidRPr="000A3C73">
        <w:t>it is implied</w:t>
      </w:r>
      <w:r w:rsidRPr="000A3C73">
        <w:t xml:space="preserve"> that they sh</w:t>
      </w:r>
      <w:r w:rsidR="000309E1" w:rsidRPr="000A3C73">
        <w:t>ould be sustained indefinitely.</w:t>
      </w:r>
      <w:r w:rsidR="00C367FF" w:rsidRPr="000A3C73">
        <w:t xml:space="preserve"> </w:t>
      </w:r>
      <w:r w:rsidR="000309E1" w:rsidRPr="000A3C73">
        <w:t>When evaluating sustainability, t</w:t>
      </w:r>
      <w:r w:rsidRPr="000A3C73">
        <w:t>he greater the time horizon, the lower the degree of certainty possible</w:t>
      </w:r>
      <w:r w:rsidR="000309E1" w:rsidRPr="000A3C73">
        <w:t>.</w:t>
      </w:r>
    </w:p>
    <w:tbl>
      <w:tblPr>
        <w:tblpPr w:leftFromText="187" w:rightFromText="187" w:vertAnchor="text" w:horzAnchor="page" w:tblpX="1563" w:tblpY="1271"/>
        <w:tblOverlap w:val="never"/>
        <w:tblW w:w="6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158"/>
        <w:gridCol w:w="810"/>
        <w:gridCol w:w="630"/>
        <w:gridCol w:w="540"/>
        <w:gridCol w:w="540"/>
      </w:tblGrid>
      <w:tr w:rsidR="00320617" w:rsidRPr="000A3C73" w:rsidTr="00662E8F">
        <w:tc>
          <w:tcPr>
            <w:tcW w:w="6678" w:type="dxa"/>
            <w:gridSpan w:val="5"/>
            <w:tcBorders>
              <w:top w:val="nil"/>
              <w:left w:val="nil"/>
              <w:right w:val="nil"/>
            </w:tcBorders>
          </w:tcPr>
          <w:p w:rsidR="00320617" w:rsidRPr="00FC657B" w:rsidRDefault="00320617" w:rsidP="00320617">
            <w:pPr>
              <w:tabs>
                <w:tab w:val="left" w:pos="4987"/>
              </w:tabs>
              <w:contextualSpacing/>
              <w:rPr>
                <w:rFonts w:asciiTheme="majorHAnsi" w:hAnsiTheme="majorHAnsi"/>
              </w:rPr>
            </w:pPr>
            <w:bookmarkStart w:id="133" w:name="_Ref209781045"/>
            <w:r w:rsidRPr="000A3C73">
              <w:rPr>
                <w:rFonts w:ascii="Calibri" w:hAnsi="Calibri"/>
                <w:b/>
              </w:rPr>
              <w:t xml:space="preserve">Table </w:t>
            </w:r>
            <w:r w:rsidR="008269C6" w:rsidRPr="00FC657B">
              <w:rPr>
                <w:rFonts w:ascii="Calibri" w:hAnsi="Calibri"/>
                <w:b/>
              </w:rPr>
              <w:fldChar w:fldCharType="begin"/>
            </w:r>
            <w:r w:rsidRPr="000A3C73">
              <w:rPr>
                <w:rFonts w:ascii="Calibri" w:hAnsi="Calibri"/>
                <w:b/>
              </w:rPr>
              <w:instrText xml:space="preserve"> SEQ Table \* ARABIC </w:instrText>
            </w:r>
            <w:r w:rsidR="008269C6" w:rsidRPr="00FC657B">
              <w:rPr>
                <w:rFonts w:ascii="Calibri" w:hAnsi="Calibri"/>
                <w:b/>
              </w:rPr>
              <w:fldChar w:fldCharType="separate"/>
            </w:r>
            <w:r w:rsidR="006E18A7" w:rsidRPr="00FC657B">
              <w:rPr>
                <w:rFonts w:ascii="Calibri" w:hAnsi="Calibri"/>
                <w:b/>
                <w:noProof/>
              </w:rPr>
              <w:t>11</w:t>
            </w:r>
            <w:r w:rsidR="008269C6" w:rsidRPr="00FC657B">
              <w:rPr>
                <w:rFonts w:ascii="Calibri" w:hAnsi="Calibri"/>
                <w:b/>
              </w:rPr>
              <w:fldChar w:fldCharType="end"/>
            </w:r>
            <w:bookmarkEnd w:id="133"/>
            <w:r w:rsidRPr="00FC657B">
              <w:rPr>
                <w:rFonts w:ascii="Calibri" w:hAnsi="Calibri"/>
                <w:b/>
              </w:rPr>
              <w:t xml:space="preserve"> Sustainability Ratings by Component</w:t>
            </w:r>
          </w:p>
        </w:tc>
      </w:tr>
      <w:tr w:rsidR="00CE2D51" w:rsidRPr="000A3C73" w:rsidTr="00662E8F">
        <w:tc>
          <w:tcPr>
            <w:tcW w:w="4158" w:type="dxa"/>
          </w:tcPr>
          <w:p w:rsidR="00CE2D51" w:rsidRPr="000A3C73" w:rsidRDefault="00CE2D51" w:rsidP="00320617">
            <w:pPr>
              <w:contextualSpacing/>
              <w:jc w:val="right"/>
              <w:rPr>
                <w:rFonts w:asciiTheme="majorHAnsi" w:hAnsiTheme="majorHAnsi"/>
                <w:b/>
              </w:rPr>
            </w:pPr>
          </w:p>
        </w:tc>
        <w:tc>
          <w:tcPr>
            <w:tcW w:w="810" w:type="dxa"/>
          </w:tcPr>
          <w:p w:rsidR="00CE2D51" w:rsidRPr="000A3C73" w:rsidRDefault="00662E8F" w:rsidP="00320617">
            <w:pPr>
              <w:contextualSpacing/>
              <w:rPr>
                <w:rFonts w:asciiTheme="majorHAnsi" w:hAnsiTheme="majorHAnsi"/>
                <w:b/>
                <w:sz w:val="18"/>
              </w:rPr>
            </w:pPr>
            <w:r w:rsidRPr="000A3C73">
              <w:rPr>
                <w:rFonts w:asciiTheme="majorHAnsi" w:hAnsiTheme="majorHAnsi"/>
                <w:b/>
                <w:sz w:val="18"/>
              </w:rPr>
              <w:t>Overall</w:t>
            </w:r>
          </w:p>
        </w:tc>
        <w:tc>
          <w:tcPr>
            <w:tcW w:w="630" w:type="dxa"/>
          </w:tcPr>
          <w:p w:rsidR="00CE2D51" w:rsidRPr="000A3C73" w:rsidRDefault="00662E8F" w:rsidP="00320617">
            <w:pPr>
              <w:contextualSpacing/>
              <w:rPr>
                <w:rFonts w:asciiTheme="majorHAnsi" w:hAnsiTheme="majorHAnsi"/>
                <w:b/>
                <w:sz w:val="22"/>
              </w:rPr>
            </w:pPr>
            <w:r w:rsidRPr="000A3C73">
              <w:rPr>
                <w:rFonts w:asciiTheme="majorHAnsi" w:hAnsiTheme="majorHAnsi"/>
                <w:b/>
                <w:sz w:val="22"/>
              </w:rPr>
              <w:t>TB</w:t>
            </w:r>
          </w:p>
        </w:tc>
        <w:tc>
          <w:tcPr>
            <w:tcW w:w="540" w:type="dxa"/>
          </w:tcPr>
          <w:p w:rsidR="00CE2D51" w:rsidRPr="000A3C73" w:rsidRDefault="00662E8F" w:rsidP="00320617">
            <w:pPr>
              <w:contextualSpacing/>
              <w:rPr>
                <w:rFonts w:asciiTheme="majorHAnsi" w:hAnsiTheme="majorHAnsi"/>
                <w:b/>
                <w:sz w:val="22"/>
              </w:rPr>
            </w:pPr>
            <w:r w:rsidRPr="000A3C73">
              <w:rPr>
                <w:rFonts w:asciiTheme="majorHAnsi" w:hAnsiTheme="majorHAnsi"/>
                <w:b/>
                <w:sz w:val="22"/>
              </w:rPr>
              <w:t>MK</w:t>
            </w:r>
          </w:p>
        </w:tc>
        <w:tc>
          <w:tcPr>
            <w:tcW w:w="540" w:type="dxa"/>
          </w:tcPr>
          <w:p w:rsidR="00CE2D51" w:rsidRPr="000A3C73" w:rsidRDefault="00662E8F" w:rsidP="00320617">
            <w:pPr>
              <w:contextualSpacing/>
              <w:rPr>
                <w:rFonts w:asciiTheme="majorHAnsi" w:hAnsiTheme="majorHAnsi"/>
                <w:b/>
                <w:sz w:val="22"/>
              </w:rPr>
            </w:pPr>
            <w:r w:rsidRPr="000A3C73">
              <w:rPr>
                <w:rFonts w:asciiTheme="majorHAnsi" w:hAnsiTheme="majorHAnsi"/>
                <w:b/>
                <w:sz w:val="22"/>
              </w:rPr>
              <w:t>AL</w:t>
            </w:r>
          </w:p>
        </w:tc>
      </w:tr>
      <w:tr w:rsidR="00320617" w:rsidRPr="000A3C73" w:rsidTr="00662E8F">
        <w:tc>
          <w:tcPr>
            <w:tcW w:w="4158" w:type="dxa"/>
          </w:tcPr>
          <w:p w:rsidR="00320617" w:rsidRPr="000A3C73" w:rsidRDefault="00320617" w:rsidP="00320617">
            <w:pPr>
              <w:contextualSpacing/>
              <w:jc w:val="right"/>
              <w:rPr>
                <w:rFonts w:asciiTheme="majorHAnsi" w:hAnsiTheme="majorHAnsi"/>
                <w:b/>
              </w:rPr>
            </w:pPr>
            <w:r w:rsidRPr="000A3C73">
              <w:rPr>
                <w:rFonts w:asciiTheme="majorHAnsi" w:hAnsiTheme="majorHAnsi"/>
                <w:b/>
              </w:rPr>
              <w:t>Overall Sustainability</w:t>
            </w:r>
          </w:p>
        </w:tc>
        <w:tc>
          <w:tcPr>
            <w:tcW w:w="810" w:type="dxa"/>
          </w:tcPr>
          <w:p w:rsidR="00320617" w:rsidRPr="000A3C73" w:rsidRDefault="00320617" w:rsidP="00320617">
            <w:pPr>
              <w:contextualSpacing/>
              <w:rPr>
                <w:rFonts w:asciiTheme="majorHAnsi" w:hAnsiTheme="majorHAnsi"/>
              </w:rPr>
            </w:pPr>
            <w:r w:rsidRPr="000A3C73">
              <w:rPr>
                <w:rFonts w:asciiTheme="majorHAnsi" w:hAnsiTheme="majorHAnsi"/>
              </w:rPr>
              <w:t>ML</w:t>
            </w:r>
          </w:p>
        </w:tc>
        <w:tc>
          <w:tcPr>
            <w:tcW w:w="630" w:type="dxa"/>
          </w:tcPr>
          <w:p w:rsidR="00320617" w:rsidRPr="000A3C73" w:rsidRDefault="00320617" w:rsidP="00320617">
            <w:pPr>
              <w:contextualSpacing/>
              <w:rPr>
                <w:rFonts w:asciiTheme="majorHAnsi" w:hAnsiTheme="majorHAnsi"/>
              </w:rPr>
            </w:pPr>
            <w:r w:rsidRPr="000A3C73">
              <w:rPr>
                <w:rFonts w:asciiTheme="majorHAnsi" w:hAnsiTheme="majorHAnsi"/>
              </w:rPr>
              <w:t>U</w:t>
            </w:r>
          </w:p>
        </w:tc>
        <w:tc>
          <w:tcPr>
            <w:tcW w:w="540" w:type="dxa"/>
          </w:tcPr>
          <w:p w:rsidR="00320617" w:rsidRPr="000A3C73" w:rsidRDefault="00320617" w:rsidP="00320617">
            <w:pPr>
              <w:contextualSpacing/>
              <w:rPr>
                <w:rFonts w:asciiTheme="majorHAnsi" w:hAnsiTheme="majorHAnsi"/>
              </w:rPr>
            </w:pPr>
            <w:r w:rsidRPr="000A3C73">
              <w:rPr>
                <w:rFonts w:asciiTheme="majorHAnsi" w:hAnsiTheme="majorHAnsi"/>
              </w:rPr>
              <w:t>ML</w:t>
            </w:r>
          </w:p>
        </w:tc>
        <w:tc>
          <w:tcPr>
            <w:tcW w:w="540" w:type="dxa"/>
          </w:tcPr>
          <w:p w:rsidR="00320617" w:rsidRPr="000A3C73" w:rsidRDefault="00320617" w:rsidP="00320617">
            <w:pPr>
              <w:contextualSpacing/>
              <w:rPr>
                <w:rFonts w:asciiTheme="majorHAnsi" w:hAnsiTheme="majorHAnsi"/>
              </w:rPr>
            </w:pPr>
            <w:r w:rsidRPr="000A3C73">
              <w:rPr>
                <w:rFonts w:asciiTheme="majorHAnsi" w:hAnsiTheme="majorHAnsi"/>
              </w:rPr>
              <w:t>ML</w:t>
            </w:r>
          </w:p>
        </w:tc>
      </w:tr>
      <w:tr w:rsidR="00320617" w:rsidRPr="000A3C73" w:rsidTr="00662E8F">
        <w:tc>
          <w:tcPr>
            <w:tcW w:w="4158" w:type="dxa"/>
          </w:tcPr>
          <w:p w:rsidR="00320617" w:rsidRPr="000A3C73" w:rsidRDefault="00320617" w:rsidP="00320617">
            <w:pPr>
              <w:contextualSpacing/>
              <w:jc w:val="right"/>
              <w:rPr>
                <w:rFonts w:asciiTheme="majorHAnsi" w:hAnsiTheme="majorHAnsi"/>
                <w:b/>
              </w:rPr>
            </w:pPr>
            <w:r w:rsidRPr="000A3C73">
              <w:rPr>
                <w:rFonts w:asciiTheme="majorHAnsi" w:hAnsiTheme="majorHAnsi"/>
              </w:rPr>
              <w:t xml:space="preserve">Financial </w:t>
            </w:r>
          </w:p>
        </w:tc>
        <w:tc>
          <w:tcPr>
            <w:tcW w:w="810" w:type="dxa"/>
          </w:tcPr>
          <w:p w:rsidR="00320617" w:rsidRPr="000A3C73" w:rsidRDefault="00320617" w:rsidP="00320617">
            <w:pPr>
              <w:contextualSpacing/>
              <w:rPr>
                <w:rFonts w:asciiTheme="majorHAnsi" w:hAnsiTheme="majorHAnsi"/>
              </w:rPr>
            </w:pPr>
            <w:r w:rsidRPr="000A3C73">
              <w:rPr>
                <w:rFonts w:asciiTheme="majorHAnsi" w:hAnsiTheme="majorHAnsi"/>
              </w:rPr>
              <w:t>N/A</w:t>
            </w:r>
          </w:p>
        </w:tc>
        <w:tc>
          <w:tcPr>
            <w:tcW w:w="630" w:type="dxa"/>
          </w:tcPr>
          <w:p w:rsidR="00320617" w:rsidRPr="000A3C73" w:rsidRDefault="00320617" w:rsidP="00320617">
            <w:pPr>
              <w:contextualSpacing/>
              <w:rPr>
                <w:rFonts w:asciiTheme="majorHAnsi" w:hAnsiTheme="majorHAnsi"/>
              </w:rPr>
            </w:pPr>
            <w:r w:rsidRPr="000A3C73">
              <w:rPr>
                <w:rFonts w:asciiTheme="majorHAnsi" w:hAnsiTheme="majorHAnsi"/>
              </w:rPr>
              <w:t>U</w:t>
            </w:r>
          </w:p>
        </w:tc>
        <w:tc>
          <w:tcPr>
            <w:tcW w:w="540" w:type="dxa"/>
          </w:tcPr>
          <w:p w:rsidR="00320617" w:rsidRPr="000A3C73" w:rsidRDefault="00320617" w:rsidP="00320617">
            <w:pPr>
              <w:contextualSpacing/>
              <w:rPr>
                <w:rFonts w:asciiTheme="majorHAnsi" w:hAnsiTheme="majorHAnsi"/>
              </w:rPr>
            </w:pPr>
            <w:r w:rsidRPr="000A3C73">
              <w:rPr>
                <w:rFonts w:asciiTheme="majorHAnsi" w:hAnsiTheme="majorHAnsi"/>
              </w:rPr>
              <w:t>L</w:t>
            </w:r>
          </w:p>
        </w:tc>
        <w:tc>
          <w:tcPr>
            <w:tcW w:w="540" w:type="dxa"/>
          </w:tcPr>
          <w:p w:rsidR="00320617" w:rsidRPr="000A3C73" w:rsidRDefault="00320617" w:rsidP="00320617">
            <w:pPr>
              <w:contextualSpacing/>
              <w:rPr>
                <w:rFonts w:asciiTheme="majorHAnsi" w:hAnsiTheme="majorHAnsi"/>
              </w:rPr>
            </w:pPr>
            <w:r w:rsidRPr="000A3C73">
              <w:rPr>
                <w:rFonts w:asciiTheme="majorHAnsi" w:hAnsiTheme="majorHAnsi"/>
              </w:rPr>
              <w:t>L</w:t>
            </w:r>
          </w:p>
        </w:tc>
      </w:tr>
      <w:tr w:rsidR="00320617" w:rsidRPr="000A3C73" w:rsidTr="00662E8F">
        <w:tc>
          <w:tcPr>
            <w:tcW w:w="4158" w:type="dxa"/>
          </w:tcPr>
          <w:p w:rsidR="00320617" w:rsidRPr="000A3C73" w:rsidRDefault="00320617" w:rsidP="00320617">
            <w:pPr>
              <w:contextualSpacing/>
              <w:jc w:val="right"/>
              <w:rPr>
                <w:rFonts w:asciiTheme="majorHAnsi" w:hAnsiTheme="majorHAnsi"/>
              </w:rPr>
            </w:pPr>
            <w:r w:rsidRPr="000A3C73">
              <w:rPr>
                <w:rFonts w:asciiTheme="majorHAnsi" w:hAnsiTheme="majorHAnsi"/>
              </w:rPr>
              <w:t xml:space="preserve">Socio-political </w:t>
            </w:r>
          </w:p>
        </w:tc>
        <w:tc>
          <w:tcPr>
            <w:tcW w:w="810" w:type="dxa"/>
          </w:tcPr>
          <w:p w:rsidR="00320617" w:rsidRPr="000A3C73" w:rsidRDefault="00320617" w:rsidP="00320617">
            <w:pPr>
              <w:contextualSpacing/>
              <w:rPr>
                <w:rFonts w:asciiTheme="majorHAnsi" w:hAnsiTheme="majorHAnsi"/>
              </w:rPr>
            </w:pPr>
            <w:r w:rsidRPr="000A3C73">
              <w:rPr>
                <w:rFonts w:asciiTheme="majorHAnsi" w:hAnsiTheme="majorHAnsi"/>
              </w:rPr>
              <w:t>N/A</w:t>
            </w:r>
          </w:p>
        </w:tc>
        <w:tc>
          <w:tcPr>
            <w:tcW w:w="630" w:type="dxa"/>
          </w:tcPr>
          <w:p w:rsidR="00320617" w:rsidRPr="000A3C73" w:rsidRDefault="00320617" w:rsidP="00320617">
            <w:pPr>
              <w:contextualSpacing/>
              <w:rPr>
                <w:rFonts w:asciiTheme="majorHAnsi" w:hAnsiTheme="majorHAnsi"/>
              </w:rPr>
            </w:pPr>
            <w:r w:rsidRPr="000A3C73">
              <w:rPr>
                <w:rFonts w:asciiTheme="majorHAnsi" w:hAnsiTheme="majorHAnsi"/>
              </w:rPr>
              <w:t>U</w:t>
            </w:r>
          </w:p>
        </w:tc>
        <w:tc>
          <w:tcPr>
            <w:tcW w:w="540" w:type="dxa"/>
          </w:tcPr>
          <w:p w:rsidR="00320617" w:rsidRPr="000A3C73" w:rsidRDefault="00320617" w:rsidP="00320617">
            <w:pPr>
              <w:contextualSpacing/>
              <w:rPr>
                <w:rFonts w:asciiTheme="majorHAnsi" w:hAnsiTheme="majorHAnsi"/>
              </w:rPr>
            </w:pPr>
            <w:r w:rsidRPr="000A3C73">
              <w:rPr>
                <w:rFonts w:asciiTheme="majorHAnsi" w:hAnsiTheme="majorHAnsi"/>
              </w:rPr>
              <w:t>L</w:t>
            </w:r>
          </w:p>
        </w:tc>
        <w:tc>
          <w:tcPr>
            <w:tcW w:w="540" w:type="dxa"/>
          </w:tcPr>
          <w:p w:rsidR="00320617" w:rsidRPr="000A3C73" w:rsidRDefault="00320617" w:rsidP="00320617">
            <w:pPr>
              <w:contextualSpacing/>
              <w:rPr>
                <w:rFonts w:asciiTheme="majorHAnsi" w:hAnsiTheme="majorHAnsi"/>
              </w:rPr>
            </w:pPr>
            <w:r w:rsidRPr="000A3C73">
              <w:rPr>
                <w:rFonts w:asciiTheme="majorHAnsi" w:hAnsiTheme="majorHAnsi"/>
              </w:rPr>
              <w:t>L</w:t>
            </w:r>
          </w:p>
        </w:tc>
      </w:tr>
      <w:tr w:rsidR="00320617" w:rsidRPr="000A3C73" w:rsidTr="00662E8F">
        <w:tc>
          <w:tcPr>
            <w:tcW w:w="4158" w:type="dxa"/>
          </w:tcPr>
          <w:p w:rsidR="00320617" w:rsidRPr="000A3C73" w:rsidRDefault="00320617" w:rsidP="00320617">
            <w:pPr>
              <w:contextualSpacing/>
              <w:jc w:val="right"/>
              <w:rPr>
                <w:rFonts w:asciiTheme="majorHAnsi" w:hAnsiTheme="majorHAnsi"/>
              </w:rPr>
            </w:pPr>
            <w:r w:rsidRPr="000A3C73">
              <w:rPr>
                <w:rFonts w:asciiTheme="majorHAnsi" w:hAnsiTheme="majorHAnsi"/>
              </w:rPr>
              <w:t xml:space="preserve">Institutional framework and governance </w:t>
            </w:r>
          </w:p>
        </w:tc>
        <w:tc>
          <w:tcPr>
            <w:tcW w:w="810" w:type="dxa"/>
          </w:tcPr>
          <w:p w:rsidR="00320617" w:rsidRPr="000A3C73" w:rsidRDefault="00320617" w:rsidP="00320617">
            <w:pPr>
              <w:contextualSpacing/>
              <w:rPr>
                <w:rFonts w:asciiTheme="majorHAnsi" w:hAnsiTheme="majorHAnsi"/>
              </w:rPr>
            </w:pPr>
            <w:r w:rsidRPr="000A3C73">
              <w:rPr>
                <w:rFonts w:asciiTheme="majorHAnsi" w:hAnsiTheme="majorHAnsi"/>
              </w:rPr>
              <w:t>N/A</w:t>
            </w:r>
          </w:p>
        </w:tc>
        <w:tc>
          <w:tcPr>
            <w:tcW w:w="630" w:type="dxa"/>
          </w:tcPr>
          <w:p w:rsidR="00320617" w:rsidRPr="000A3C73" w:rsidRDefault="00320617" w:rsidP="00320617">
            <w:pPr>
              <w:contextualSpacing/>
              <w:rPr>
                <w:rFonts w:asciiTheme="majorHAnsi" w:hAnsiTheme="majorHAnsi"/>
              </w:rPr>
            </w:pPr>
            <w:r w:rsidRPr="000A3C73">
              <w:rPr>
                <w:rFonts w:asciiTheme="majorHAnsi" w:hAnsiTheme="majorHAnsi"/>
              </w:rPr>
              <w:t>MU</w:t>
            </w:r>
          </w:p>
        </w:tc>
        <w:tc>
          <w:tcPr>
            <w:tcW w:w="540" w:type="dxa"/>
          </w:tcPr>
          <w:p w:rsidR="00320617" w:rsidRPr="000A3C73" w:rsidRDefault="00320617" w:rsidP="00320617">
            <w:pPr>
              <w:contextualSpacing/>
              <w:rPr>
                <w:rFonts w:asciiTheme="majorHAnsi" w:hAnsiTheme="majorHAnsi"/>
              </w:rPr>
            </w:pPr>
            <w:r w:rsidRPr="000A3C73">
              <w:rPr>
                <w:rFonts w:asciiTheme="majorHAnsi" w:hAnsiTheme="majorHAnsi"/>
              </w:rPr>
              <w:t>L</w:t>
            </w:r>
          </w:p>
        </w:tc>
        <w:tc>
          <w:tcPr>
            <w:tcW w:w="540" w:type="dxa"/>
          </w:tcPr>
          <w:p w:rsidR="00320617" w:rsidRPr="000A3C73" w:rsidRDefault="00320617" w:rsidP="00320617">
            <w:pPr>
              <w:contextualSpacing/>
              <w:rPr>
                <w:rFonts w:asciiTheme="majorHAnsi" w:hAnsiTheme="majorHAnsi"/>
              </w:rPr>
            </w:pPr>
            <w:r w:rsidRPr="000A3C73">
              <w:rPr>
                <w:rFonts w:asciiTheme="majorHAnsi" w:hAnsiTheme="majorHAnsi"/>
              </w:rPr>
              <w:t>ML</w:t>
            </w:r>
          </w:p>
        </w:tc>
      </w:tr>
      <w:tr w:rsidR="00320617" w:rsidRPr="000A3C73" w:rsidTr="00662E8F">
        <w:tc>
          <w:tcPr>
            <w:tcW w:w="4158" w:type="dxa"/>
          </w:tcPr>
          <w:p w:rsidR="00320617" w:rsidRPr="000A3C73" w:rsidRDefault="00320617" w:rsidP="00320617">
            <w:pPr>
              <w:contextualSpacing/>
              <w:jc w:val="right"/>
              <w:rPr>
                <w:rFonts w:asciiTheme="majorHAnsi" w:hAnsiTheme="majorHAnsi"/>
              </w:rPr>
            </w:pPr>
            <w:r w:rsidRPr="000A3C73">
              <w:rPr>
                <w:rFonts w:asciiTheme="majorHAnsi" w:hAnsiTheme="majorHAnsi"/>
              </w:rPr>
              <w:t>Environmental</w:t>
            </w:r>
          </w:p>
        </w:tc>
        <w:tc>
          <w:tcPr>
            <w:tcW w:w="810" w:type="dxa"/>
          </w:tcPr>
          <w:p w:rsidR="00320617" w:rsidRPr="000A3C73" w:rsidRDefault="00320617" w:rsidP="00320617">
            <w:pPr>
              <w:contextualSpacing/>
              <w:rPr>
                <w:rFonts w:asciiTheme="majorHAnsi" w:hAnsiTheme="majorHAnsi"/>
              </w:rPr>
            </w:pPr>
            <w:r w:rsidRPr="000A3C73">
              <w:rPr>
                <w:rFonts w:asciiTheme="majorHAnsi" w:hAnsiTheme="majorHAnsi"/>
              </w:rPr>
              <w:t>N/A</w:t>
            </w:r>
          </w:p>
        </w:tc>
        <w:tc>
          <w:tcPr>
            <w:tcW w:w="630" w:type="dxa"/>
          </w:tcPr>
          <w:p w:rsidR="00320617" w:rsidRPr="000A3C73" w:rsidRDefault="00320617" w:rsidP="00320617">
            <w:pPr>
              <w:contextualSpacing/>
              <w:rPr>
                <w:rFonts w:asciiTheme="majorHAnsi" w:hAnsiTheme="majorHAnsi"/>
              </w:rPr>
            </w:pPr>
            <w:r w:rsidRPr="000A3C73">
              <w:rPr>
                <w:rFonts w:asciiTheme="majorHAnsi" w:hAnsiTheme="majorHAnsi"/>
              </w:rPr>
              <w:t>N/A</w:t>
            </w:r>
          </w:p>
        </w:tc>
        <w:tc>
          <w:tcPr>
            <w:tcW w:w="540" w:type="dxa"/>
          </w:tcPr>
          <w:p w:rsidR="00320617" w:rsidRPr="000A3C73" w:rsidRDefault="00320617" w:rsidP="00320617">
            <w:pPr>
              <w:contextualSpacing/>
              <w:rPr>
                <w:rFonts w:asciiTheme="majorHAnsi" w:hAnsiTheme="majorHAnsi"/>
              </w:rPr>
            </w:pPr>
            <w:r w:rsidRPr="000A3C73">
              <w:rPr>
                <w:rFonts w:asciiTheme="majorHAnsi" w:hAnsiTheme="majorHAnsi"/>
              </w:rPr>
              <w:t>ML</w:t>
            </w:r>
          </w:p>
        </w:tc>
        <w:tc>
          <w:tcPr>
            <w:tcW w:w="540" w:type="dxa"/>
          </w:tcPr>
          <w:p w:rsidR="00320617" w:rsidRPr="000A3C73" w:rsidRDefault="00320617" w:rsidP="00320617">
            <w:pPr>
              <w:contextualSpacing/>
              <w:rPr>
                <w:rFonts w:asciiTheme="majorHAnsi" w:hAnsiTheme="majorHAnsi"/>
              </w:rPr>
            </w:pPr>
            <w:r w:rsidRPr="000A3C73">
              <w:rPr>
                <w:rFonts w:asciiTheme="majorHAnsi" w:hAnsiTheme="majorHAnsi"/>
              </w:rPr>
              <w:t>ML</w:t>
            </w:r>
          </w:p>
        </w:tc>
      </w:tr>
    </w:tbl>
    <w:p w:rsidR="00B41E00" w:rsidRPr="000A3C73" w:rsidRDefault="00E30CDE" w:rsidP="00E30CDE">
      <w:pPr>
        <w:pStyle w:val="BodyText"/>
      </w:pPr>
      <w:r w:rsidRPr="000A3C73">
        <w:t>Based on GEF evaluation policies and procedures, the overall rating for sustainability cannot be higher than the lowest rating for an</w:t>
      </w:r>
      <w:r w:rsidR="004A525A" w:rsidRPr="000A3C73">
        <w:t>y of the individual components.</w:t>
      </w:r>
      <w:r w:rsidR="00C367FF" w:rsidRPr="000A3C73">
        <w:t xml:space="preserve"> </w:t>
      </w:r>
      <w:r w:rsidR="00356DAD" w:rsidRPr="000A3C73">
        <w:t xml:space="preserve">This presents challenges in the case of the Prespa IEM project, as there are varying levels of sustainability for the national versus transboundary component, and the results of the three components are not interdependent. </w:t>
      </w:r>
      <w:r w:rsidR="00EB1752" w:rsidRPr="000A3C73">
        <w:t xml:space="preserve">In this case, the sustainability rating for one aspect of one of the components may not necessarily be the lowest common denominator for the overall sustainability rating. </w:t>
      </w:r>
      <w:r w:rsidR="00354CF9" w:rsidRPr="000A3C73">
        <w:t xml:space="preserve">This evaluation has refrained from giving an aggregate rating for the four components of sustainability, but recognizes that a single overall sustainability rating for the project is required. </w:t>
      </w:r>
      <w:r w:rsidR="00490DEA" w:rsidRPr="000A3C73">
        <w:t xml:space="preserve">Given that the national components make-up around 2/3rds of the project investment, the fact that sustainability for the results from these activities is considered moderately likely justifies an overall </w:t>
      </w:r>
      <w:r w:rsidRPr="000A3C73">
        <w:rPr>
          <w:b/>
        </w:rPr>
        <w:t>sustainability</w:t>
      </w:r>
      <w:r w:rsidRPr="000A3C73">
        <w:t xml:space="preserve"> rating for the </w:t>
      </w:r>
      <w:r w:rsidR="006C758C" w:rsidRPr="000A3C73">
        <w:t>Prespa IEM</w:t>
      </w:r>
      <w:r w:rsidRPr="000A3C73">
        <w:t xml:space="preserve"> project</w:t>
      </w:r>
      <w:r w:rsidR="00C367FF" w:rsidRPr="000A3C73">
        <w:t xml:space="preserve"> </w:t>
      </w:r>
      <w:r w:rsidR="00490DEA" w:rsidRPr="000A3C73">
        <w:t>of</w:t>
      </w:r>
      <w:r w:rsidR="00C367FF" w:rsidRPr="000A3C73">
        <w:t xml:space="preserve"> </w:t>
      </w:r>
      <w:r w:rsidRPr="000A3C73">
        <w:rPr>
          <w:b/>
          <w:i/>
          <w:u w:val="single"/>
        </w:rPr>
        <w:t>moderately likely</w:t>
      </w:r>
      <w:r w:rsidRPr="000A3C73">
        <w:rPr>
          <w:b/>
        </w:rPr>
        <w:t>.</w:t>
      </w:r>
      <w:r w:rsidR="00C367FF" w:rsidRPr="000A3C73">
        <w:rPr>
          <w:b/>
        </w:rPr>
        <w:t xml:space="preserve"> </w:t>
      </w:r>
      <w:r w:rsidR="008269C6" w:rsidRPr="00206E7A">
        <w:fldChar w:fldCharType="begin"/>
      </w:r>
      <w:r w:rsidR="00510CB5" w:rsidRPr="000A3C73">
        <w:instrText xml:space="preserve"> REF _Ref209781045 \h </w:instrText>
      </w:r>
      <w:r w:rsidR="008269C6" w:rsidRPr="00206E7A">
        <w:fldChar w:fldCharType="separate"/>
      </w:r>
      <w:r w:rsidR="006E18A7" w:rsidRPr="000A3C73">
        <w:rPr>
          <w:b/>
        </w:rPr>
        <w:t xml:space="preserve">Table </w:t>
      </w:r>
      <w:r w:rsidR="006E18A7" w:rsidRPr="000A3C73">
        <w:rPr>
          <w:b/>
          <w:noProof/>
        </w:rPr>
        <w:t>11</w:t>
      </w:r>
      <w:r w:rsidR="008269C6" w:rsidRPr="00206E7A">
        <w:fldChar w:fldCharType="end"/>
      </w:r>
      <w:r w:rsidR="00BD3DD2">
        <w:t xml:space="preserve"> </w:t>
      </w:r>
      <w:r w:rsidR="00EB1752" w:rsidRPr="000A3C73">
        <w:t>summarizes the sustainability ratings for the three components across each of the four aspects of sustainability.</w:t>
      </w:r>
    </w:p>
    <w:p w:rsidR="001009A0" w:rsidRPr="000A3C73" w:rsidRDefault="00B41E00" w:rsidP="005371F3">
      <w:pPr>
        <w:pStyle w:val="Heading3"/>
        <w:ind w:left="1440"/>
      </w:pPr>
      <w:bookmarkStart w:id="134" w:name="_Toc152154288"/>
      <w:bookmarkStart w:id="135" w:name="_Ref195113035"/>
      <w:bookmarkStart w:id="136" w:name="_Ref209513313"/>
      <w:bookmarkStart w:id="137" w:name="_Ref210981095"/>
      <w:bookmarkStart w:id="138" w:name="_Toc238551080"/>
      <w:r w:rsidRPr="000A3C73">
        <w:t>Financial Risks to Sustainability</w:t>
      </w:r>
      <w:bookmarkEnd w:id="134"/>
      <w:bookmarkEnd w:id="135"/>
      <w:bookmarkEnd w:id="136"/>
      <w:bookmarkEnd w:id="137"/>
      <w:bookmarkEnd w:id="138"/>
    </w:p>
    <w:p w:rsidR="009519DF" w:rsidRPr="000A3C73" w:rsidRDefault="009E713E" w:rsidP="005D3349">
      <w:pPr>
        <w:pStyle w:val="BodyText"/>
      </w:pPr>
      <w:r w:rsidRPr="000A3C73">
        <w:t xml:space="preserve">It is rare to encounter a project where there is a clear and fully adequate financial commitment to follow-up on project results </w:t>
      </w:r>
      <w:r w:rsidR="00186632" w:rsidRPr="000A3C73">
        <w:t xml:space="preserve">immediately </w:t>
      </w:r>
      <w:r w:rsidRPr="000A3C73">
        <w:t xml:space="preserve">following completion of GEF funding. This is in fact the case for both the Albania and Macedonia national components of the Prespa IEM project. In Macedonia the Swiss Development Corporation is funding implementation of the watershed management plan developed under the Prespa IEM project, for Macedonian Prespa. This is a </w:t>
      </w:r>
      <w:r w:rsidR="00796242" w:rsidRPr="000A3C73">
        <w:t xml:space="preserve">commitment of </w:t>
      </w:r>
      <w:r w:rsidRPr="000A3C73">
        <w:t xml:space="preserve">5 million </w:t>
      </w:r>
      <w:r w:rsidR="00796242" w:rsidRPr="000A3C73">
        <w:t>Swiss francs</w:t>
      </w:r>
      <w:r w:rsidR="00FD34C7" w:rsidRPr="000A3C73">
        <w:t xml:space="preserve"> ($5.36 million USD)</w:t>
      </w:r>
      <w:r w:rsidRPr="000A3C73">
        <w:t xml:space="preserve"> over six years, with the Municipality of Resen assuming full responsibility for watershed management at year four. </w:t>
      </w:r>
      <w:r w:rsidR="008269C6" w:rsidRPr="00206E7A">
        <w:fldChar w:fldCharType="begin"/>
      </w:r>
      <w:r w:rsidR="001E6547" w:rsidRPr="000A3C73">
        <w:instrText xml:space="preserve"> REF _Ref209782260 \h </w:instrText>
      </w:r>
      <w:r w:rsidR="008269C6" w:rsidRPr="00206E7A">
        <w:fldChar w:fldCharType="separate"/>
      </w:r>
      <w:r w:rsidR="006E18A7" w:rsidRPr="000A3C73">
        <w:t xml:space="preserve">Table </w:t>
      </w:r>
      <w:r w:rsidR="006E18A7" w:rsidRPr="000A3C73">
        <w:rPr>
          <w:noProof/>
        </w:rPr>
        <w:t>12</w:t>
      </w:r>
      <w:r w:rsidR="008269C6" w:rsidRPr="00206E7A">
        <w:fldChar w:fldCharType="end"/>
      </w:r>
      <w:r w:rsidR="001E6547" w:rsidRPr="000A3C73">
        <w:t xml:space="preserve"> shows the structure of</w:t>
      </w:r>
      <w:r w:rsidR="00D91AAA" w:rsidRPr="000A3C73">
        <w:t xml:space="preserve"> the planned</w:t>
      </w:r>
      <w:r w:rsidR="001E6547" w:rsidRPr="000A3C73">
        <w:t xml:space="preserve"> follow-up project.</w:t>
      </w:r>
      <w:r w:rsidR="00933E32" w:rsidRPr="000A3C73">
        <w:t xml:space="preserve"> </w:t>
      </w:r>
      <w:r w:rsidR="00B00BDB" w:rsidRPr="000A3C73">
        <w:t xml:space="preserve">The </w:t>
      </w:r>
      <w:r w:rsidR="00A7311E" w:rsidRPr="000A3C73">
        <w:t>Swiss ambassador signed the SDC project contract</w:t>
      </w:r>
      <w:r w:rsidR="00B00BDB" w:rsidRPr="000A3C73">
        <w:t xml:space="preserve"> in June during the terminal evaluation mis</w:t>
      </w:r>
      <w:r w:rsidR="00186632" w:rsidRPr="000A3C73">
        <w:t>sion of the Prespa IEM project. The GEF-funded Macedonian component was completed on June 30</w:t>
      </w:r>
      <w:r w:rsidR="00186632" w:rsidRPr="000A3C73">
        <w:rPr>
          <w:vertAlign w:val="superscript"/>
        </w:rPr>
        <w:t>th</w:t>
      </w:r>
      <w:r w:rsidR="00186632" w:rsidRPr="000A3C73">
        <w:t xml:space="preserve">, 2012 </w:t>
      </w:r>
      <w:r w:rsidR="00B00BDB" w:rsidRPr="000A3C73">
        <w:t>and the SDC project began July 1</w:t>
      </w:r>
      <w:r w:rsidR="00B00BDB" w:rsidRPr="000A3C73">
        <w:rPr>
          <w:vertAlign w:val="superscript"/>
        </w:rPr>
        <w:t>st</w:t>
      </w:r>
      <w:r w:rsidR="00186632" w:rsidRPr="000A3C73">
        <w:t>, 2012</w:t>
      </w:r>
      <w:r w:rsidR="00B00BDB" w:rsidRPr="000A3C73">
        <w:t xml:space="preserve">. </w:t>
      </w:r>
    </w:p>
    <w:p w:rsidR="00297764" w:rsidRPr="000A3C73" w:rsidRDefault="00297764" w:rsidP="00297764">
      <w:pPr>
        <w:pStyle w:val="Caption"/>
      </w:pPr>
      <w:bookmarkStart w:id="139" w:name="_Ref209782260"/>
      <w:r w:rsidRPr="000A3C73">
        <w:t xml:space="preserve">Table </w:t>
      </w:r>
      <w:r w:rsidR="008269C6" w:rsidRPr="00552EEF">
        <w:fldChar w:fldCharType="begin"/>
      </w:r>
      <w:r w:rsidR="00CF23E9" w:rsidRPr="000A3C73">
        <w:instrText xml:space="preserve"> SEQ Table \* ARABIC </w:instrText>
      </w:r>
      <w:r w:rsidR="008269C6" w:rsidRPr="00552EEF">
        <w:fldChar w:fldCharType="separate"/>
      </w:r>
      <w:r w:rsidR="006E18A7" w:rsidRPr="000A3C73">
        <w:rPr>
          <w:noProof/>
        </w:rPr>
        <w:t>12</w:t>
      </w:r>
      <w:r w:rsidR="008269C6" w:rsidRPr="00552EEF">
        <w:rPr>
          <w:noProof/>
        </w:rPr>
        <w:fldChar w:fldCharType="end"/>
      </w:r>
      <w:bookmarkEnd w:id="139"/>
      <w:r w:rsidRPr="000A3C73">
        <w:t xml:space="preserve"> Sum</w:t>
      </w:r>
      <w:r w:rsidR="003E13DC" w:rsidRPr="000A3C73">
        <w:t>mary of the Planned SDC-Funded F</w:t>
      </w:r>
      <w:r w:rsidRPr="000A3C73">
        <w:t>ollow-up to the Macedonian Component</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8"/>
        <w:gridCol w:w="7046"/>
      </w:tblGrid>
      <w:tr w:rsidR="002B34D8" w:rsidRPr="000A3C73" w:rsidTr="002B34D8">
        <w:trPr>
          <w:trHeight w:val="131"/>
        </w:trPr>
        <w:tc>
          <w:tcPr>
            <w:tcW w:w="1324" w:type="pct"/>
            <w:shd w:val="clear" w:color="auto" w:fill="CCCCCC"/>
            <w:vAlign w:val="center"/>
          </w:tcPr>
          <w:p w:rsidR="00D91AAA" w:rsidRPr="0089284E" w:rsidRDefault="00D91AAA" w:rsidP="000C2317">
            <w:pPr>
              <w:pStyle w:val="BodyTextIndent"/>
              <w:tabs>
                <w:tab w:val="left" w:pos="851"/>
              </w:tabs>
              <w:spacing w:after="0"/>
              <w:ind w:left="0"/>
              <w:jc w:val="center"/>
              <w:rPr>
                <w:rFonts w:ascii="Calibri" w:hAnsi="Calibri" w:cs="Arial"/>
                <w:b/>
                <w:sz w:val="18"/>
              </w:rPr>
            </w:pPr>
            <w:r w:rsidRPr="0089284E">
              <w:rPr>
                <w:rFonts w:ascii="Calibri" w:hAnsi="Calibri" w:cs="Arial"/>
                <w:b/>
                <w:sz w:val="18"/>
              </w:rPr>
              <w:t>Objective</w:t>
            </w:r>
          </w:p>
        </w:tc>
        <w:tc>
          <w:tcPr>
            <w:tcW w:w="3676" w:type="pct"/>
            <w:tcBorders>
              <w:bottom w:val="single" w:sz="4" w:space="0" w:color="auto"/>
            </w:tcBorders>
            <w:shd w:val="pct5" w:color="000000" w:fill="FFFFFF"/>
          </w:tcPr>
          <w:p w:rsidR="00D91AAA" w:rsidRPr="0089284E" w:rsidRDefault="00D91AAA" w:rsidP="00D91AAA">
            <w:pPr>
              <w:pStyle w:val="BodyTextIndent"/>
              <w:tabs>
                <w:tab w:val="left" w:pos="851"/>
              </w:tabs>
              <w:spacing w:after="0"/>
              <w:ind w:left="0"/>
              <w:rPr>
                <w:rFonts w:ascii="Calibri" w:hAnsi="Calibri" w:cs="Arial"/>
                <w:i/>
                <w:sz w:val="18"/>
              </w:rPr>
            </w:pPr>
            <w:r w:rsidRPr="0089284E">
              <w:rPr>
                <w:rFonts w:ascii="Calibri" w:hAnsi="Calibri" w:cs="Arial"/>
                <w:i/>
                <w:sz w:val="18"/>
              </w:rPr>
              <w:t>Contribution to the improvement of the Prespa Lake’s Ecological State and its Resilience</w:t>
            </w:r>
          </w:p>
        </w:tc>
      </w:tr>
      <w:tr w:rsidR="002B34D8" w:rsidRPr="000A3C73" w:rsidTr="002B34D8">
        <w:trPr>
          <w:trHeight w:val="131"/>
        </w:trPr>
        <w:tc>
          <w:tcPr>
            <w:tcW w:w="1324" w:type="pct"/>
            <w:vMerge w:val="restart"/>
            <w:shd w:val="clear" w:color="auto" w:fill="CCCCCC"/>
            <w:vAlign w:val="center"/>
          </w:tcPr>
          <w:p w:rsidR="00D91AAA" w:rsidRPr="0089284E" w:rsidRDefault="00D91AAA" w:rsidP="000C2317">
            <w:pPr>
              <w:pStyle w:val="BodyTextIndent"/>
              <w:tabs>
                <w:tab w:val="left" w:pos="851"/>
              </w:tabs>
              <w:spacing w:after="0"/>
              <w:ind w:left="0"/>
              <w:jc w:val="center"/>
              <w:rPr>
                <w:rFonts w:ascii="Calibri" w:hAnsi="Calibri" w:cs="Arial"/>
                <w:b/>
                <w:sz w:val="18"/>
              </w:rPr>
            </w:pPr>
            <w:r w:rsidRPr="0089284E">
              <w:rPr>
                <w:rFonts w:ascii="Calibri" w:hAnsi="Calibri" w:cs="Arial"/>
                <w:b/>
                <w:sz w:val="18"/>
              </w:rPr>
              <w:t>OUTCOME 1</w:t>
            </w:r>
            <w:r w:rsidR="00CD37F7" w:rsidRPr="0089284E">
              <w:rPr>
                <w:rFonts w:ascii="Calibri" w:hAnsi="Calibri" w:cs="Arial"/>
                <w:b/>
                <w:sz w:val="18"/>
              </w:rPr>
              <w:t xml:space="preserve">: </w:t>
            </w:r>
            <w:r w:rsidR="00CD37F7" w:rsidRPr="0089284E">
              <w:rPr>
                <w:rFonts w:ascii="Calibri" w:hAnsi="Calibri" w:cs="Arial"/>
                <w:sz w:val="18"/>
              </w:rPr>
              <w:t>Water and soil quality in the Prespa Lake watershed are improved</w:t>
            </w:r>
          </w:p>
        </w:tc>
        <w:tc>
          <w:tcPr>
            <w:tcW w:w="3676" w:type="pct"/>
            <w:tcBorders>
              <w:bottom w:val="single" w:sz="4" w:space="0" w:color="auto"/>
            </w:tcBorders>
            <w:shd w:val="clear" w:color="000000" w:fill="CCCCCC"/>
          </w:tcPr>
          <w:p w:rsidR="00D91AAA" w:rsidRPr="0089284E" w:rsidRDefault="00D91AAA" w:rsidP="00D91AAA">
            <w:pPr>
              <w:pStyle w:val="BodyTextIndent"/>
              <w:tabs>
                <w:tab w:val="left" w:pos="851"/>
              </w:tabs>
              <w:spacing w:after="0"/>
              <w:ind w:left="0"/>
              <w:rPr>
                <w:rFonts w:ascii="Calibri" w:hAnsi="Calibri" w:cs="Arial"/>
                <w:sz w:val="18"/>
              </w:rPr>
            </w:pPr>
            <w:r w:rsidRPr="0089284E">
              <w:rPr>
                <w:rFonts w:ascii="Calibri" w:hAnsi="Calibri" w:cs="Arial"/>
                <w:b/>
                <w:sz w:val="18"/>
              </w:rPr>
              <w:t>Output 1.1</w:t>
            </w:r>
            <w:r w:rsidRPr="0089284E">
              <w:rPr>
                <w:rFonts w:ascii="Calibri" w:hAnsi="Calibri" w:cs="Arial"/>
                <w:sz w:val="18"/>
              </w:rPr>
              <w:t xml:space="preserve"> A solid basis for long-term active management of the </w:t>
            </w:r>
            <w:r w:rsidRPr="00FC657B">
              <w:rPr>
                <w:rFonts w:ascii="Calibri" w:hAnsi="Calibri" w:cs="Arial"/>
                <w:sz w:val="18"/>
              </w:rPr>
              <w:t>Lake’s</w:t>
            </w:r>
            <w:r w:rsidRPr="0089284E">
              <w:rPr>
                <w:rFonts w:ascii="Calibri" w:hAnsi="Calibri" w:cs="Arial"/>
                <w:sz w:val="18"/>
              </w:rPr>
              <w:t xml:space="preserve"> eutrophication processes established at local level</w:t>
            </w:r>
          </w:p>
        </w:tc>
      </w:tr>
      <w:tr w:rsidR="002B34D8" w:rsidRPr="000A3C73" w:rsidTr="002B34D8">
        <w:trPr>
          <w:trHeight w:val="131"/>
        </w:trPr>
        <w:tc>
          <w:tcPr>
            <w:tcW w:w="1324" w:type="pct"/>
            <w:vMerge/>
            <w:shd w:val="clear" w:color="auto" w:fill="CCCCCC"/>
            <w:vAlign w:val="center"/>
          </w:tcPr>
          <w:p w:rsidR="00D91AAA" w:rsidRPr="0089284E" w:rsidRDefault="00D91AAA" w:rsidP="000C2317">
            <w:pPr>
              <w:pStyle w:val="BodyTextIndent"/>
              <w:tabs>
                <w:tab w:val="left" w:pos="851"/>
              </w:tabs>
              <w:spacing w:after="0"/>
              <w:ind w:left="0"/>
              <w:jc w:val="center"/>
              <w:rPr>
                <w:rFonts w:ascii="Calibri" w:hAnsi="Calibri" w:cs="Arial"/>
                <w:b/>
                <w:sz w:val="18"/>
              </w:rPr>
            </w:pPr>
          </w:p>
        </w:tc>
        <w:tc>
          <w:tcPr>
            <w:tcW w:w="3676" w:type="pct"/>
            <w:tcBorders>
              <w:bottom w:val="single" w:sz="4" w:space="0" w:color="auto"/>
            </w:tcBorders>
            <w:shd w:val="clear" w:color="auto" w:fill="F3F3F3"/>
          </w:tcPr>
          <w:p w:rsidR="00D91AAA" w:rsidRPr="0089284E" w:rsidRDefault="00D91AAA" w:rsidP="00D91AAA">
            <w:pPr>
              <w:pStyle w:val="BodyTextIndent"/>
              <w:tabs>
                <w:tab w:val="left" w:pos="851"/>
              </w:tabs>
              <w:spacing w:after="0"/>
              <w:ind w:left="0"/>
              <w:rPr>
                <w:rFonts w:ascii="Calibri" w:hAnsi="Calibri" w:cs="Arial"/>
                <w:sz w:val="18"/>
              </w:rPr>
            </w:pPr>
            <w:r w:rsidRPr="0089284E">
              <w:rPr>
                <w:rFonts w:ascii="Calibri" w:hAnsi="Calibri" w:cs="Arial"/>
                <w:b/>
                <w:sz w:val="18"/>
              </w:rPr>
              <w:t xml:space="preserve">Output 1.2 </w:t>
            </w:r>
            <w:r w:rsidRPr="0089284E">
              <w:rPr>
                <w:rFonts w:ascii="Calibri" w:hAnsi="Calibri" w:cs="Arial"/>
                <w:sz w:val="18"/>
              </w:rPr>
              <w:t>Erosion processes controlled and sediment load in the Lake reduced.</w:t>
            </w:r>
          </w:p>
        </w:tc>
      </w:tr>
      <w:tr w:rsidR="002B34D8" w:rsidRPr="000A3C73" w:rsidTr="002B34D8">
        <w:trPr>
          <w:trHeight w:val="131"/>
        </w:trPr>
        <w:tc>
          <w:tcPr>
            <w:tcW w:w="1324" w:type="pct"/>
            <w:vMerge/>
            <w:shd w:val="clear" w:color="auto" w:fill="CCCCCC"/>
            <w:vAlign w:val="center"/>
          </w:tcPr>
          <w:p w:rsidR="00D91AAA" w:rsidRPr="0089284E" w:rsidRDefault="00D91AAA" w:rsidP="000C2317">
            <w:pPr>
              <w:pStyle w:val="BodyTextIndent"/>
              <w:tabs>
                <w:tab w:val="left" w:pos="851"/>
              </w:tabs>
              <w:spacing w:after="0"/>
              <w:ind w:left="0"/>
              <w:jc w:val="center"/>
              <w:rPr>
                <w:rFonts w:ascii="Calibri" w:hAnsi="Calibri" w:cs="Arial"/>
                <w:b/>
                <w:sz w:val="18"/>
              </w:rPr>
            </w:pPr>
          </w:p>
        </w:tc>
        <w:tc>
          <w:tcPr>
            <w:tcW w:w="3676" w:type="pct"/>
            <w:tcBorders>
              <w:bottom w:val="single" w:sz="4" w:space="0" w:color="auto"/>
            </w:tcBorders>
            <w:shd w:val="clear" w:color="000000" w:fill="CCCCCC"/>
          </w:tcPr>
          <w:p w:rsidR="00D91AAA" w:rsidRPr="0089284E" w:rsidRDefault="00D91AAA" w:rsidP="00D91AAA">
            <w:pPr>
              <w:pStyle w:val="BodyTextIndent"/>
              <w:tabs>
                <w:tab w:val="left" w:pos="851"/>
              </w:tabs>
              <w:spacing w:after="0"/>
              <w:ind w:left="0"/>
              <w:rPr>
                <w:rFonts w:ascii="Calibri" w:hAnsi="Calibri" w:cs="Arial"/>
                <w:sz w:val="18"/>
              </w:rPr>
            </w:pPr>
            <w:r w:rsidRPr="0089284E">
              <w:rPr>
                <w:rFonts w:ascii="Calibri" w:hAnsi="Calibri" w:cs="Arial"/>
                <w:b/>
                <w:sz w:val="18"/>
              </w:rPr>
              <w:t xml:space="preserve">Output 1.3 </w:t>
            </w:r>
            <w:r w:rsidRPr="0089284E">
              <w:rPr>
                <w:rFonts w:ascii="Calibri" w:hAnsi="Calibri" w:cs="Arial"/>
                <w:sz w:val="18"/>
              </w:rPr>
              <w:t>Adverse impacts of apple farming reduced</w:t>
            </w:r>
          </w:p>
        </w:tc>
      </w:tr>
      <w:tr w:rsidR="002B34D8" w:rsidRPr="000A3C73" w:rsidTr="002B34D8">
        <w:trPr>
          <w:trHeight w:val="131"/>
        </w:trPr>
        <w:tc>
          <w:tcPr>
            <w:tcW w:w="1324" w:type="pct"/>
            <w:vMerge/>
            <w:shd w:val="clear" w:color="auto" w:fill="CCCCCC"/>
            <w:vAlign w:val="center"/>
          </w:tcPr>
          <w:p w:rsidR="00D91AAA" w:rsidRPr="0089284E" w:rsidRDefault="00D91AAA" w:rsidP="000C2317">
            <w:pPr>
              <w:pStyle w:val="BodyTextIndent"/>
              <w:tabs>
                <w:tab w:val="left" w:pos="851"/>
              </w:tabs>
              <w:spacing w:after="0"/>
              <w:ind w:left="0"/>
              <w:jc w:val="center"/>
              <w:rPr>
                <w:rFonts w:ascii="Calibri" w:hAnsi="Calibri" w:cs="Arial"/>
                <w:b/>
                <w:sz w:val="18"/>
              </w:rPr>
            </w:pPr>
          </w:p>
        </w:tc>
        <w:tc>
          <w:tcPr>
            <w:tcW w:w="3676" w:type="pct"/>
            <w:tcBorders>
              <w:bottom w:val="single" w:sz="4" w:space="0" w:color="auto"/>
            </w:tcBorders>
            <w:shd w:val="clear" w:color="000000" w:fill="F3F3F3"/>
          </w:tcPr>
          <w:p w:rsidR="00D91AAA" w:rsidRPr="0089284E" w:rsidRDefault="00D91AAA" w:rsidP="00D91AAA">
            <w:pPr>
              <w:pStyle w:val="BodyTextIndent"/>
              <w:tabs>
                <w:tab w:val="left" w:pos="851"/>
              </w:tabs>
              <w:spacing w:after="0"/>
              <w:ind w:left="0"/>
              <w:rPr>
                <w:rFonts w:ascii="Calibri" w:hAnsi="Calibri" w:cs="Arial"/>
                <w:sz w:val="18"/>
              </w:rPr>
            </w:pPr>
            <w:r w:rsidRPr="0089284E">
              <w:rPr>
                <w:rFonts w:ascii="Calibri" w:hAnsi="Calibri" w:cs="Arial"/>
                <w:b/>
                <w:sz w:val="18"/>
              </w:rPr>
              <w:t xml:space="preserve">Output 1.4 </w:t>
            </w:r>
            <w:r w:rsidRPr="0089284E">
              <w:rPr>
                <w:rFonts w:ascii="Calibri" w:hAnsi="Calibri" w:cs="Arial"/>
                <w:sz w:val="18"/>
              </w:rPr>
              <w:t>Flood control, retention and filtering of polluted tributaries ensured and existing wastewater treatment technology for enhanced nutrient removal upgraded.</w:t>
            </w:r>
          </w:p>
        </w:tc>
      </w:tr>
      <w:tr w:rsidR="002B34D8" w:rsidRPr="000A3C73" w:rsidTr="002B34D8">
        <w:trPr>
          <w:trHeight w:val="131"/>
        </w:trPr>
        <w:tc>
          <w:tcPr>
            <w:tcW w:w="1324" w:type="pct"/>
            <w:vMerge/>
            <w:shd w:val="clear" w:color="auto" w:fill="CCCCCC"/>
            <w:vAlign w:val="center"/>
          </w:tcPr>
          <w:p w:rsidR="00D91AAA" w:rsidRPr="0089284E" w:rsidRDefault="00D91AAA" w:rsidP="000C2317">
            <w:pPr>
              <w:pStyle w:val="BodyTextIndent"/>
              <w:tabs>
                <w:tab w:val="left" w:pos="851"/>
              </w:tabs>
              <w:spacing w:after="0"/>
              <w:ind w:left="0"/>
              <w:jc w:val="center"/>
              <w:rPr>
                <w:rFonts w:ascii="Calibri" w:hAnsi="Calibri" w:cs="Arial"/>
                <w:b/>
                <w:sz w:val="18"/>
              </w:rPr>
            </w:pPr>
          </w:p>
        </w:tc>
        <w:tc>
          <w:tcPr>
            <w:tcW w:w="3676" w:type="pct"/>
            <w:shd w:val="clear" w:color="000000" w:fill="CCCCCC"/>
          </w:tcPr>
          <w:p w:rsidR="00D91AAA" w:rsidRPr="0089284E" w:rsidRDefault="00D91AAA" w:rsidP="00D91AAA">
            <w:pPr>
              <w:pStyle w:val="BodyTextIndent"/>
              <w:tabs>
                <w:tab w:val="left" w:pos="851"/>
              </w:tabs>
              <w:spacing w:after="0"/>
              <w:ind w:left="0"/>
              <w:rPr>
                <w:rFonts w:ascii="Calibri" w:hAnsi="Calibri" w:cs="Arial"/>
                <w:sz w:val="18"/>
              </w:rPr>
            </w:pPr>
            <w:r w:rsidRPr="0089284E">
              <w:rPr>
                <w:rFonts w:ascii="Calibri" w:hAnsi="Calibri" w:cs="Arial"/>
                <w:b/>
                <w:sz w:val="18"/>
              </w:rPr>
              <w:t xml:space="preserve">Output 1.5 </w:t>
            </w:r>
            <w:r w:rsidRPr="0089284E">
              <w:rPr>
                <w:rFonts w:ascii="Calibri" w:hAnsi="Calibri" w:cs="Arial"/>
                <w:sz w:val="18"/>
              </w:rPr>
              <w:t xml:space="preserve">Agricultural waste management systems for reduction of organic load and prevention of input of pesticide residues to the </w:t>
            </w:r>
            <w:r w:rsidRPr="00FC657B">
              <w:rPr>
                <w:rFonts w:ascii="Calibri" w:hAnsi="Calibri" w:cs="Arial"/>
                <w:sz w:val="18"/>
              </w:rPr>
              <w:t>Lake</w:t>
            </w:r>
            <w:r w:rsidRPr="0089284E">
              <w:rPr>
                <w:rFonts w:ascii="Calibri" w:hAnsi="Calibri" w:cs="Arial"/>
                <w:sz w:val="18"/>
              </w:rPr>
              <w:t xml:space="preserve"> and its tributaries are upgraded. </w:t>
            </w:r>
          </w:p>
        </w:tc>
      </w:tr>
      <w:tr w:rsidR="002B34D8" w:rsidRPr="000A3C73" w:rsidTr="002B34D8">
        <w:trPr>
          <w:trHeight w:val="155"/>
        </w:trPr>
        <w:tc>
          <w:tcPr>
            <w:tcW w:w="1324" w:type="pct"/>
            <w:vMerge w:val="restart"/>
            <w:shd w:val="pct20" w:color="000000" w:fill="FFFFFF"/>
            <w:vAlign w:val="center"/>
          </w:tcPr>
          <w:p w:rsidR="00131E90" w:rsidRPr="0089284E" w:rsidRDefault="00131E90" w:rsidP="000C2317">
            <w:pPr>
              <w:pStyle w:val="BodyTextIndent"/>
              <w:tabs>
                <w:tab w:val="left" w:pos="851"/>
              </w:tabs>
              <w:spacing w:after="0"/>
              <w:ind w:left="0"/>
              <w:jc w:val="center"/>
              <w:rPr>
                <w:rFonts w:ascii="Calibri" w:hAnsi="Calibri" w:cs="Arial"/>
                <w:b/>
                <w:sz w:val="18"/>
              </w:rPr>
            </w:pPr>
            <w:r w:rsidRPr="0089284E">
              <w:rPr>
                <w:rFonts w:ascii="Calibri" w:hAnsi="Calibri" w:cs="Arial"/>
                <w:b/>
                <w:sz w:val="18"/>
              </w:rPr>
              <w:t xml:space="preserve">OUTCOME 2: </w:t>
            </w:r>
            <w:r w:rsidRPr="0089284E">
              <w:rPr>
                <w:rFonts w:ascii="Calibri" w:hAnsi="Calibri" w:cs="Arial"/>
                <w:sz w:val="18"/>
              </w:rPr>
              <w:t>Performance of authorities at national and local level for integrated watershed management is improved</w:t>
            </w:r>
          </w:p>
        </w:tc>
        <w:tc>
          <w:tcPr>
            <w:tcW w:w="3676" w:type="pct"/>
            <w:shd w:val="pct5" w:color="000000" w:fill="FFFFFF"/>
          </w:tcPr>
          <w:p w:rsidR="00131E90" w:rsidRPr="0089284E" w:rsidRDefault="00131E90" w:rsidP="00D91AAA">
            <w:pPr>
              <w:pStyle w:val="BodyTextIndent"/>
              <w:tabs>
                <w:tab w:val="left" w:pos="851"/>
              </w:tabs>
              <w:spacing w:after="0"/>
              <w:ind w:left="0"/>
              <w:rPr>
                <w:rFonts w:ascii="Calibri" w:hAnsi="Calibri" w:cs="Arial"/>
                <w:sz w:val="18"/>
              </w:rPr>
            </w:pPr>
            <w:r w:rsidRPr="0089284E">
              <w:rPr>
                <w:rFonts w:ascii="Calibri" w:hAnsi="Calibri" w:cs="Arial"/>
                <w:b/>
                <w:sz w:val="18"/>
              </w:rPr>
              <w:t>Output 2.1</w:t>
            </w:r>
            <w:r w:rsidRPr="0089284E">
              <w:rPr>
                <w:rFonts w:ascii="Calibri" w:hAnsi="Calibri" w:cs="Arial"/>
                <w:sz w:val="18"/>
              </w:rPr>
              <w:t xml:space="preserve"> Sustainable monitoring and management capacities at local level are created</w:t>
            </w:r>
          </w:p>
        </w:tc>
      </w:tr>
      <w:tr w:rsidR="002B34D8" w:rsidRPr="000A3C73" w:rsidTr="002B34D8">
        <w:trPr>
          <w:trHeight w:val="63"/>
        </w:trPr>
        <w:tc>
          <w:tcPr>
            <w:tcW w:w="1324" w:type="pct"/>
            <w:vMerge/>
            <w:shd w:val="pct20" w:color="000000" w:fill="FFFFFF"/>
            <w:vAlign w:val="center"/>
          </w:tcPr>
          <w:p w:rsidR="00131E90" w:rsidRPr="0089284E" w:rsidRDefault="00131E90" w:rsidP="000C2317">
            <w:pPr>
              <w:pStyle w:val="BodyTextIndent"/>
              <w:tabs>
                <w:tab w:val="left" w:pos="851"/>
              </w:tabs>
              <w:spacing w:after="0"/>
              <w:ind w:left="0"/>
              <w:jc w:val="center"/>
              <w:rPr>
                <w:rFonts w:ascii="Calibri" w:hAnsi="Calibri" w:cs="Arial"/>
                <w:b/>
                <w:sz w:val="18"/>
              </w:rPr>
            </w:pPr>
          </w:p>
        </w:tc>
        <w:tc>
          <w:tcPr>
            <w:tcW w:w="3676" w:type="pct"/>
            <w:shd w:val="pct20" w:color="000000" w:fill="FFFFFF"/>
          </w:tcPr>
          <w:p w:rsidR="00131E90" w:rsidRPr="0089284E" w:rsidRDefault="00131E90" w:rsidP="00D91AAA">
            <w:pPr>
              <w:pStyle w:val="BodyTextIndent"/>
              <w:tabs>
                <w:tab w:val="left" w:pos="851"/>
              </w:tabs>
              <w:spacing w:after="0"/>
              <w:ind w:left="0"/>
              <w:rPr>
                <w:rFonts w:ascii="Calibri" w:hAnsi="Calibri" w:cs="Arial"/>
                <w:sz w:val="18"/>
              </w:rPr>
            </w:pPr>
            <w:r w:rsidRPr="0089284E">
              <w:rPr>
                <w:rFonts w:ascii="Calibri" w:hAnsi="Calibri" w:cs="Arial"/>
                <w:b/>
                <w:sz w:val="18"/>
              </w:rPr>
              <w:t xml:space="preserve">Output 2.2 </w:t>
            </w:r>
            <w:r w:rsidRPr="0089284E">
              <w:rPr>
                <w:rFonts w:ascii="Calibri" w:hAnsi="Calibri" w:cs="Arial"/>
                <w:sz w:val="18"/>
              </w:rPr>
              <w:t>Long-term watershed management capacities of the municipal administration and of the Watershed Management Council are strengthened</w:t>
            </w:r>
          </w:p>
        </w:tc>
      </w:tr>
      <w:tr w:rsidR="002B34D8" w:rsidRPr="000A3C73" w:rsidTr="002B34D8">
        <w:trPr>
          <w:trHeight w:val="260"/>
        </w:trPr>
        <w:tc>
          <w:tcPr>
            <w:tcW w:w="1324" w:type="pct"/>
            <w:vMerge/>
            <w:shd w:val="pct20" w:color="000000" w:fill="FFFFFF"/>
            <w:vAlign w:val="center"/>
          </w:tcPr>
          <w:p w:rsidR="00131E90" w:rsidRPr="0089284E" w:rsidRDefault="00131E90" w:rsidP="000C2317">
            <w:pPr>
              <w:pStyle w:val="BodyTextIndent"/>
              <w:tabs>
                <w:tab w:val="left" w:pos="851"/>
              </w:tabs>
              <w:spacing w:after="0"/>
              <w:ind w:left="0"/>
              <w:jc w:val="center"/>
              <w:rPr>
                <w:rFonts w:ascii="Calibri" w:hAnsi="Calibri" w:cs="Arial"/>
                <w:b/>
                <w:sz w:val="18"/>
              </w:rPr>
            </w:pPr>
          </w:p>
        </w:tc>
        <w:tc>
          <w:tcPr>
            <w:tcW w:w="3676" w:type="pct"/>
            <w:shd w:val="pct5" w:color="000000" w:fill="FFFFFF"/>
          </w:tcPr>
          <w:p w:rsidR="00131E90" w:rsidRPr="0089284E" w:rsidRDefault="00131E90" w:rsidP="00D91AAA">
            <w:pPr>
              <w:pStyle w:val="BodyTextIndent"/>
              <w:tabs>
                <w:tab w:val="left" w:pos="851"/>
              </w:tabs>
              <w:spacing w:after="0"/>
              <w:ind w:left="0"/>
              <w:rPr>
                <w:rFonts w:ascii="Calibri" w:hAnsi="Calibri" w:cs="Arial"/>
                <w:sz w:val="18"/>
              </w:rPr>
            </w:pPr>
            <w:r w:rsidRPr="00FC657B">
              <w:rPr>
                <w:rFonts w:ascii="Calibri" w:hAnsi="Calibri" w:cs="Arial"/>
                <w:b/>
                <w:sz w:val="18"/>
              </w:rPr>
              <w:t xml:space="preserve">Output 2.3 </w:t>
            </w:r>
            <w:r w:rsidRPr="00FC657B">
              <w:rPr>
                <w:rFonts w:ascii="Calibri" w:hAnsi="Calibri" w:cs="Arial"/>
                <w:sz w:val="18"/>
              </w:rPr>
              <w:t>Lessons learnt and best practices are shared and replicated at national and international level.</w:t>
            </w:r>
          </w:p>
        </w:tc>
      </w:tr>
      <w:tr w:rsidR="002B34D8" w:rsidRPr="000A3C73" w:rsidTr="002B34D8">
        <w:trPr>
          <w:trHeight w:val="143"/>
        </w:trPr>
        <w:tc>
          <w:tcPr>
            <w:tcW w:w="1324" w:type="pct"/>
            <w:vMerge w:val="restart"/>
            <w:shd w:val="pct20" w:color="000000" w:fill="FFFFFF"/>
            <w:vAlign w:val="center"/>
          </w:tcPr>
          <w:p w:rsidR="00131E90" w:rsidRPr="0089284E" w:rsidRDefault="00131E90" w:rsidP="000C2317">
            <w:pPr>
              <w:pStyle w:val="BodyTextIndent"/>
              <w:tabs>
                <w:tab w:val="left" w:pos="851"/>
              </w:tabs>
              <w:ind w:left="0"/>
              <w:jc w:val="center"/>
              <w:rPr>
                <w:rFonts w:ascii="Calibri" w:hAnsi="Calibri" w:cs="Arial"/>
                <w:b/>
                <w:sz w:val="18"/>
              </w:rPr>
            </w:pPr>
            <w:r w:rsidRPr="0089284E">
              <w:rPr>
                <w:rFonts w:ascii="Calibri" w:hAnsi="Calibri" w:cs="Arial"/>
                <w:b/>
                <w:sz w:val="18"/>
              </w:rPr>
              <w:t xml:space="preserve">OUTCOME 3: </w:t>
            </w:r>
            <w:r w:rsidRPr="0089284E">
              <w:rPr>
                <w:rFonts w:ascii="Calibri" w:hAnsi="Calibri" w:cs="Arial"/>
                <w:sz w:val="18"/>
              </w:rPr>
              <w:t>Watershed restoration and protection processes are further improved</w:t>
            </w:r>
          </w:p>
        </w:tc>
        <w:tc>
          <w:tcPr>
            <w:tcW w:w="3676" w:type="pct"/>
            <w:shd w:val="pct20" w:color="000000" w:fill="FFFFFF"/>
          </w:tcPr>
          <w:p w:rsidR="00131E90" w:rsidRPr="00FC657B" w:rsidRDefault="00131E90" w:rsidP="00D91AAA">
            <w:pPr>
              <w:pStyle w:val="BodyTextIndent"/>
              <w:tabs>
                <w:tab w:val="left" w:pos="851"/>
              </w:tabs>
              <w:spacing w:after="0"/>
              <w:ind w:left="0"/>
              <w:rPr>
                <w:rFonts w:ascii="Calibri" w:hAnsi="Calibri" w:cs="Arial"/>
                <w:sz w:val="18"/>
              </w:rPr>
            </w:pPr>
            <w:r w:rsidRPr="0089284E">
              <w:rPr>
                <w:rFonts w:ascii="Calibri" w:hAnsi="Calibri" w:cs="Arial"/>
                <w:b/>
                <w:sz w:val="18"/>
              </w:rPr>
              <w:t xml:space="preserve">Output 3.1 </w:t>
            </w:r>
            <w:r w:rsidRPr="0089284E">
              <w:rPr>
                <w:rFonts w:ascii="Calibri" w:hAnsi="Calibri" w:cs="Arial"/>
                <w:sz w:val="18"/>
              </w:rPr>
              <w:t>Erosion control works are upgraded and sediment load further reduced.</w:t>
            </w:r>
          </w:p>
        </w:tc>
      </w:tr>
      <w:tr w:rsidR="002B34D8" w:rsidRPr="000A3C73" w:rsidTr="002B34D8">
        <w:trPr>
          <w:trHeight w:val="63"/>
        </w:trPr>
        <w:tc>
          <w:tcPr>
            <w:tcW w:w="1324" w:type="pct"/>
            <w:vMerge/>
            <w:shd w:val="pct20" w:color="000000" w:fill="FFFFFF"/>
            <w:vAlign w:val="center"/>
          </w:tcPr>
          <w:p w:rsidR="00131E90" w:rsidRPr="0089284E" w:rsidRDefault="00131E90" w:rsidP="000C2317">
            <w:pPr>
              <w:pStyle w:val="BodyTextIndent"/>
              <w:tabs>
                <w:tab w:val="left" w:pos="851"/>
              </w:tabs>
              <w:spacing w:after="0"/>
              <w:ind w:left="0"/>
              <w:jc w:val="center"/>
              <w:rPr>
                <w:rFonts w:ascii="Calibri" w:hAnsi="Calibri" w:cs="Arial"/>
                <w:b/>
                <w:sz w:val="18"/>
              </w:rPr>
            </w:pPr>
          </w:p>
        </w:tc>
        <w:tc>
          <w:tcPr>
            <w:tcW w:w="3676" w:type="pct"/>
            <w:shd w:val="pct5" w:color="000000" w:fill="FFFFFF"/>
          </w:tcPr>
          <w:p w:rsidR="00131E90" w:rsidRPr="0089284E" w:rsidRDefault="00131E90" w:rsidP="00D91AAA">
            <w:pPr>
              <w:pStyle w:val="BodyTextIndent"/>
              <w:tabs>
                <w:tab w:val="left" w:pos="851"/>
              </w:tabs>
              <w:spacing w:after="0"/>
              <w:ind w:left="0"/>
              <w:rPr>
                <w:rFonts w:ascii="Calibri" w:hAnsi="Calibri" w:cs="Arial"/>
                <w:sz w:val="18"/>
              </w:rPr>
            </w:pPr>
            <w:r w:rsidRPr="0089284E">
              <w:rPr>
                <w:rFonts w:ascii="Calibri" w:hAnsi="Calibri" w:cs="Arial"/>
                <w:b/>
                <w:sz w:val="18"/>
              </w:rPr>
              <w:t xml:space="preserve">Output 3.2 </w:t>
            </w:r>
            <w:r w:rsidRPr="0089284E">
              <w:rPr>
                <w:rFonts w:ascii="Calibri" w:hAnsi="Calibri" w:cs="Arial"/>
                <w:sz w:val="18"/>
              </w:rPr>
              <w:t>Apple production area under agro-ecological farming practices is extended</w:t>
            </w:r>
          </w:p>
        </w:tc>
      </w:tr>
      <w:tr w:rsidR="002B34D8" w:rsidRPr="000A3C73" w:rsidTr="002B34D8">
        <w:trPr>
          <w:trHeight w:val="63"/>
        </w:trPr>
        <w:tc>
          <w:tcPr>
            <w:tcW w:w="1324" w:type="pct"/>
            <w:vMerge/>
            <w:shd w:val="pct20" w:color="000000" w:fill="FFFFFF"/>
            <w:vAlign w:val="center"/>
          </w:tcPr>
          <w:p w:rsidR="00131E90" w:rsidRPr="0089284E" w:rsidRDefault="00131E90" w:rsidP="00D91AAA">
            <w:pPr>
              <w:pStyle w:val="BodyTextIndent"/>
              <w:tabs>
                <w:tab w:val="left" w:pos="851"/>
              </w:tabs>
              <w:spacing w:after="0"/>
              <w:ind w:left="0"/>
              <w:jc w:val="center"/>
              <w:rPr>
                <w:rFonts w:ascii="Calibri" w:hAnsi="Calibri" w:cs="Arial"/>
                <w:b/>
                <w:sz w:val="18"/>
              </w:rPr>
            </w:pPr>
          </w:p>
        </w:tc>
        <w:tc>
          <w:tcPr>
            <w:tcW w:w="3676" w:type="pct"/>
            <w:shd w:val="pct20" w:color="000000" w:fill="FFFFFF"/>
          </w:tcPr>
          <w:p w:rsidR="00131E90" w:rsidRPr="0089284E" w:rsidRDefault="00131E90" w:rsidP="00D91AAA">
            <w:pPr>
              <w:pStyle w:val="BodyTextIndent"/>
              <w:tabs>
                <w:tab w:val="left" w:pos="851"/>
              </w:tabs>
              <w:spacing w:after="0"/>
              <w:ind w:left="0"/>
              <w:rPr>
                <w:rFonts w:ascii="Calibri" w:hAnsi="Calibri" w:cs="Arial"/>
                <w:sz w:val="18"/>
              </w:rPr>
            </w:pPr>
            <w:r w:rsidRPr="0089284E">
              <w:rPr>
                <w:rFonts w:ascii="Calibri" w:hAnsi="Calibri" w:cs="Arial"/>
                <w:b/>
                <w:sz w:val="18"/>
              </w:rPr>
              <w:t xml:space="preserve">Output 3.3 </w:t>
            </w:r>
            <w:r w:rsidRPr="0089284E">
              <w:rPr>
                <w:rFonts w:ascii="Calibri" w:hAnsi="Calibri" w:cs="Arial"/>
                <w:sz w:val="18"/>
              </w:rPr>
              <w:t>Nature-based solutions (wetlands, river corridors, buffers) at watershed level are implemented</w:t>
            </w:r>
          </w:p>
        </w:tc>
      </w:tr>
      <w:tr w:rsidR="002B34D8" w:rsidRPr="000A3C73" w:rsidTr="002B34D8">
        <w:trPr>
          <w:trHeight w:val="63"/>
        </w:trPr>
        <w:tc>
          <w:tcPr>
            <w:tcW w:w="1324" w:type="pct"/>
            <w:vMerge/>
            <w:shd w:val="pct20" w:color="000000" w:fill="FFFFFF"/>
            <w:vAlign w:val="center"/>
          </w:tcPr>
          <w:p w:rsidR="00131E90" w:rsidRPr="0089284E" w:rsidRDefault="00131E90" w:rsidP="00D91AAA">
            <w:pPr>
              <w:pStyle w:val="BodyTextIndent"/>
              <w:tabs>
                <w:tab w:val="left" w:pos="851"/>
              </w:tabs>
              <w:spacing w:after="0"/>
              <w:ind w:left="0"/>
              <w:jc w:val="center"/>
              <w:rPr>
                <w:rFonts w:ascii="Calibri" w:hAnsi="Calibri" w:cs="Arial"/>
                <w:b/>
                <w:sz w:val="18"/>
              </w:rPr>
            </w:pPr>
          </w:p>
        </w:tc>
        <w:tc>
          <w:tcPr>
            <w:tcW w:w="3676" w:type="pct"/>
            <w:shd w:val="pct5" w:color="000000" w:fill="FFFFFF"/>
          </w:tcPr>
          <w:p w:rsidR="00131E90" w:rsidRPr="0089284E" w:rsidRDefault="00131E90" w:rsidP="00D91AAA">
            <w:pPr>
              <w:pStyle w:val="BodyTextIndent"/>
              <w:tabs>
                <w:tab w:val="left" w:pos="851"/>
              </w:tabs>
              <w:spacing w:after="0"/>
              <w:ind w:left="0"/>
              <w:rPr>
                <w:rFonts w:ascii="Calibri" w:hAnsi="Calibri" w:cs="Arial"/>
                <w:sz w:val="18"/>
              </w:rPr>
            </w:pPr>
            <w:r w:rsidRPr="0089284E">
              <w:rPr>
                <w:rFonts w:ascii="Calibri" w:hAnsi="Calibri" w:cs="Arial"/>
                <w:b/>
                <w:sz w:val="18"/>
              </w:rPr>
              <w:t xml:space="preserve">Output 3.4 </w:t>
            </w:r>
            <w:r w:rsidRPr="0089284E">
              <w:rPr>
                <w:rFonts w:ascii="Calibri" w:hAnsi="Calibri" w:cs="Arial"/>
                <w:sz w:val="18"/>
              </w:rPr>
              <w:t xml:space="preserve">Agricultural waste management systems for reduction of organic load and prevention of input of pesticide residues to the </w:t>
            </w:r>
            <w:r w:rsidRPr="00FC657B">
              <w:rPr>
                <w:rFonts w:ascii="Calibri" w:hAnsi="Calibri" w:cs="Arial"/>
                <w:sz w:val="18"/>
              </w:rPr>
              <w:t>Lake</w:t>
            </w:r>
            <w:r w:rsidRPr="0089284E">
              <w:rPr>
                <w:rFonts w:ascii="Calibri" w:hAnsi="Calibri" w:cs="Arial"/>
                <w:sz w:val="18"/>
              </w:rPr>
              <w:t xml:space="preserve"> and its tributaries are further upgraded. </w:t>
            </w:r>
          </w:p>
        </w:tc>
      </w:tr>
      <w:tr w:rsidR="002B34D8" w:rsidRPr="000A3C73" w:rsidTr="002B34D8">
        <w:trPr>
          <w:trHeight w:val="63"/>
        </w:trPr>
        <w:tc>
          <w:tcPr>
            <w:tcW w:w="1324" w:type="pct"/>
            <w:vMerge/>
            <w:shd w:val="pct20" w:color="000000" w:fill="FFFFFF"/>
            <w:vAlign w:val="center"/>
          </w:tcPr>
          <w:p w:rsidR="00131E90" w:rsidRPr="0089284E" w:rsidRDefault="00131E90" w:rsidP="00D91AAA">
            <w:pPr>
              <w:pStyle w:val="BodyTextIndent"/>
              <w:tabs>
                <w:tab w:val="left" w:pos="851"/>
              </w:tabs>
              <w:spacing w:after="0"/>
              <w:ind w:left="0"/>
              <w:jc w:val="center"/>
              <w:rPr>
                <w:rFonts w:ascii="Calibri" w:hAnsi="Calibri" w:cs="Arial"/>
                <w:b/>
                <w:sz w:val="18"/>
              </w:rPr>
            </w:pPr>
          </w:p>
        </w:tc>
        <w:tc>
          <w:tcPr>
            <w:tcW w:w="3676" w:type="pct"/>
            <w:shd w:val="pct20" w:color="000000" w:fill="FFFFFF"/>
          </w:tcPr>
          <w:p w:rsidR="00131E90" w:rsidRPr="0089284E" w:rsidRDefault="00131E90" w:rsidP="00D91AAA">
            <w:pPr>
              <w:pStyle w:val="BodyTextIndent"/>
              <w:tabs>
                <w:tab w:val="left" w:pos="851"/>
              </w:tabs>
              <w:spacing w:after="0"/>
              <w:ind w:left="0"/>
              <w:rPr>
                <w:rFonts w:ascii="Calibri" w:hAnsi="Calibri" w:cs="Arial"/>
                <w:sz w:val="18"/>
              </w:rPr>
            </w:pPr>
            <w:r w:rsidRPr="0089284E">
              <w:rPr>
                <w:rFonts w:ascii="Calibri" w:hAnsi="Calibri" w:cs="Arial"/>
                <w:b/>
                <w:sz w:val="18"/>
              </w:rPr>
              <w:t>Output 3.5</w:t>
            </w:r>
            <w:r w:rsidRPr="0089284E">
              <w:rPr>
                <w:rFonts w:ascii="Calibri" w:hAnsi="Calibri" w:cs="Arial"/>
                <w:sz w:val="18"/>
              </w:rPr>
              <w:t xml:space="preserve"> Early warning system for harmful algal blooms is introduced</w:t>
            </w:r>
          </w:p>
        </w:tc>
      </w:tr>
    </w:tbl>
    <w:p w:rsidR="00D91AAA" w:rsidRPr="000A3C73" w:rsidRDefault="00D91AAA" w:rsidP="00D91AAA">
      <w:pPr>
        <w:pStyle w:val="BodyText"/>
        <w:numPr>
          <w:ilvl w:val="0"/>
          <w:numId w:val="0"/>
        </w:numPr>
      </w:pPr>
    </w:p>
    <w:p w:rsidR="009C3B3C" w:rsidRPr="000A3C73" w:rsidRDefault="009C3B3C" w:rsidP="009C3B3C">
      <w:pPr>
        <w:pStyle w:val="BodyText"/>
      </w:pPr>
      <w:r w:rsidRPr="000A3C73">
        <w:t>In Albanian Prespa, the 3 million euro ($3.89 million USD) KfW-funded project supporting capacity development of the Prespa National Park (in Albania) (originally expected to be implemented in parallel with the GEF Albania component) began implementation in October 2011,</w:t>
      </w:r>
      <w:r w:rsidRPr="000A3C73">
        <w:rPr>
          <w:rStyle w:val="FootnoteReference"/>
        </w:rPr>
        <w:footnoteReference w:id="28"/>
      </w:r>
      <w:r w:rsidRPr="000A3C73">
        <w:t xml:space="preserve"> and will continue for five years. The project is moving ahead with some of the activities planned for earlier implementation with the GEF project, such as the development of a management plan for Prespa National Park. </w:t>
      </w:r>
    </w:p>
    <w:p w:rsidR="000D2AB7" w:rsidRPr="000A3C73" w:rsidRDefault="00DE3326" w:rsidP="005D3349">
      <w:pPr>
        <w:pStyle w:val="BodyText"/>
      </w:pPr>
      <w:r w:rsidRPr="000A3C73">
        <w:t>The project results under the transboundary component hav</w:t>
      </w:r>
      <w:r w:rsidR="000B2F2C" w:rsidRPr="000A3C73">
        <w:t>e a less clear financial future, as there is currently no active mechanism or vehicle for future transboundary cooperation.</w:t>
      </w:r>
      <w:r w:rsidRPr="000A3C73">
        <w:t xml:space="preserve"> The first informal meeting of the PPMC was he</w:t>
      </w:r>
      <w:r w:rsidR="000B2F2C" w:rsidRPr="000A3C73">
        <w:t>ld at the end of June 2012 (</w:t>
      </w:r>
      <w:r w:rsidRPr="000A3C73">
        <w:t>the last possible moment for this meeting to be held with support from</w:t>
      </w:r>
      <w:r w:rsidR="000B2F2C" w:rsidRPr="000A3C73">
        <w:t xml:space="preserve"> the GEF transboundary project), but the 2010 agreement has yet to be ratified by the Greek parliament. Even once the agreement is ratified, there is no identified source of funding to continue supporting the PPMC, as the Greek NGO SPP has, in absence of a clear national commitment from the three littoral states, stopped soliciting donors funds to support the process. </w:t>
      </w:r>
      <w:r w:rsidR="00844F07" w:rsidRPr="000A3C73">
        <w:t>The SDC and KfW supported projects highlighted above have</w:t>
      </w:r>
      <w:r w:rsidR="000D2AB7" w:rsidRPr="000A3C73">
        <w:t xml:space="preserve"> limited transboundary elements, although stakeholders in both Albania and Macedonia have indicated they are available for future transboundary cooperation</w:t>
      </w:r>
      <w:r w:rsidR="00844F07" w:rsidRPr="000A3C73">
        <w:t xml:space="preserve">. </w:t>
      </w:r>
      <w:r w:rsidR="000D2AB7" w:rsidRPr="000A3C73">
        <w:t>In 2010 and 2011 there was some activity to catalyze a process to establish the Prespa region as a UNESCO Biosphere Reserve</w:t>
      </w:r>
      <w:r w:rsidR="00E83585" w:rsidRPr="000A3C73">
        <w:t xml:space="preserve"> (see Output 4.5 in Section </w:t>
      </w:r>
      <w:r w:rsidR="008269C6" w:rsidRPr="00206E7A">
        <w:fldChar w:fldCharType="begin"/>
      </w:r>
      <w:r w:rsidR="00E83585" w:rsidRPr="000A3C73">
        <w:instrText xml:space="preserve"> REF _Ref209784916 \w \h </w:instrText>
      </w:r>
      <w:r w:rsidR="008269C6" w:rsidRPr="00206E7A">
        <w:fldChar w:fldCharType="separate"/>
      </w:r>
      <w:r w:rsidR="006E18A7" w:rsidRPr="000A3C73">
        <w:t>V.B.iv</w:t>
      </w:r>
      <w:r w:rsidR="008269C6" w:rsidRPr="00206E7A">
        <w:fldChar w:fldCharType="end"/>
      </w:r>
      <w:r w:rsidR="00E83585" w:rsidRPr="000A3C73">
        <w:t>)</w:t>
      </w:r>
      <w:r w:rsidR="000D2AB7" w:rsidRPr="000A3C73">
        <w:t xml:space="preserve">, which could provide an avenue for future donor funding, but there are not yet concrete results from this process. </w:t>
      </w:r>
    </w:p>
    <w:p w:rsidR="00DF1175" w:rsidRPr="000A3C73" w:rsidRDefault="000D2AB7" w:rsidP="005D3349">
      <w:pPr>
        <w:pStyle w:val="BodyText"/>
      </w:pPr>
      <w:r w:rsidRPr="000A3C73">
        <w:t xml:space="preserve">Lacking a functional PPMC, the further implementation of the products produced under the transboundary component is in question, such as </w:t>
      </w:r>
      <w:r w:rsidR="00663DDE" w:rsidRPr="000A3C73">
        <w:t xml:space="preserve">the transboundary monitoring system for the Prespa basin, in which significant project resources were invested for development. Parts of the environmental monitoring system are being implemented in each of the respective countries, but there is no coordinated, centralized, transboundary data management or information sharing. Significant additional investment would be required to fully operationalize the monitoring system as envisioned. </w:t>
      </w:r>
      <w:r w:rsidR="009738BA" w:rsidRPr="000A3C73">
        <w:t xml:space="preserve">The species conservation and action plans face a similar issue, while the trilateral tourism strategy and </w:t>
      </w:r>
      <w:r w:rsidR="004D71BA" w:rsidRPr="000A3C73">
        <w:t xml:space="preserve">transboundary </w:t>
      </w:r>
      <w:r w:rsidR="009738BA" w:rsidRPr="000A3C73">
        <w:t>fisheries management plan</w:t>
      </w:r>
      <w:r w:rsidR="004D71BA" w:rsidRPr="000A3C73">
        <w:t>s</w:t>
      </w:r>
      <w:r w:rsidR="009738BA" w:rsidRPr="000A3C73">
        <w:t xml:space="preserve"> have at least received support from the local level for implementation, although cap</w:t>
      </w:r>
      <w:r w:rsidR="004D71BA" w:rsidRPr="000A3C73">
        <w:t>acity to do so remains limited.</w:t>
      </w:r>
      <w:r w:rsidR="00FF057E" w:rsidRPr="000A3C73">
        <w:t xml:space="preserve"> The potential for the updated TDA/SAP to catalyze additional donor funding appears extremely limited, particularly when lacking a dynamic transboundary governance process.</w:t>
      </w:r>
    </w:p>
    <w:p w:rsidR="004D71BA" w:rsidRPr="000A3C73" w:rsidRDefault="00FF057E" w:rsidP="005D3349">
      <w:pPr>
        <w:pStyle w:val="BodyText"/>
      </w:pPr>
      <w:r w:rsidRPr="000A3C73">
        <w:t>The initiative for</w:t>
      </w:r>
      <w:r w:rsidR="004D71BA" w:rsidRPr="000A3C73">
        <w:t xml:space="preserve"> transboundary mana</w:t>
      </w:r>
      <w:r w:rsidRPr="000A3C73">
        <w:t>gement of the Prespa basin goes</w:t>
      </w:r>
      <w:r w:rsidR="004D71BA" w:rsidRPr="000A3C73">
        <w:t xml:space="preserve"> back at least 12 years, and it is likely that the three littoral states will</w:t>
      </w:r>
      <w:r w:rsidRPr="000A3C73">
        <w:t>,</w:t>
      </w:r>
      <w:r w:rsidR="00933E32" w:rsidRPr="000A3C73">
        <w:t xml:space="preserve"> </w:t>
      </w:r>
      <w:r w:rsidRPr="000A3C73">
        <w:t>at some point, continue</w:t>
      </w:r>
      <w:r w:rsidR="004D71BA" w:rsidRPr="000A3C73">
        <w:t xml:space="preserve"> active cooperati</w:t>
      </w:r>
      <w:r w:rsidRPr="000A3C73">
        <w:t>on</w:t>
      </w:r>
      <w:r w:rsidR="004D71BA" w:rsidRPr="000A3C73">
        <w:t>. The question is</w:t>
      </w:r>
      <w:r w:rsidRPr="000A3C73">
        <w:t xml:space="preserve">, when this happens, how relevant will </w:t>
      </w:r>
      <w:r w:rsidR="004D71BA" w:rsidRPr="000A3C73">
        <w:t xml:space="preserve">the main </w:t>
      </w:r>
      <w:r w:rsidR="00263779" w:rsidRPr="000A3C73">
        <w:t xml:space="preserve">transboundary </w:t>
      </w:r>
      <w:r w:rsidR="004D71BA" w:rsidRPr="000A3C73">
        <w:t>products of the GEF-funded Prespa IEM pr</w:t>
      </w:r>
      <w:r w:rsidRPr="000A3C73">
        <w:t>oject still be?</w:t>
      </w:r>
      <w:r w:rsidR="00263779" w:rsidRPr="000A3C73">
        <w:t xml:space="preserve"> These outputs contain five year action plans, </w:t>
      </w:r>
      <w:r w:rsidR="00475093" w:rsidRPr="000A3C73">
        <w:t xml:space="preserve">and </w:t>
      </w:r>
      <w:r w:rsidR="00263779" w:rsidRPr="000A3C73">
        <w:t xml:space="preserve">will need to be updated if they are </w:t>
      </w:r>
      <w:r w:rsidR="00475093" w:rsidRPr="000A3C73">
        <w:t xml:space="preserve">not </w:t>
      </w:r>
      <w:r w:rsidR="00263779" w:rsidRPr="000A3C73">
        <w:t xml:space="preserve">implemented </w:t>
      </w:r>
      <w:r w:rsidR="00475093" w:rsidRPr="000A3C73">
        <w:t xml:space="preserve">until </w:t>
      </w:r>
      <w:r w:rsidR="00263779" w:rsidRPr="000A3C73">
        <w:t xml:space="preserve">years from now. At the same time, current donor support in the Prespa region appears to be moving in the direction of nationally-based activities rather than a transboundary approach. </w:t>
      </w:r>
    </w:p>
    <w:p w:rsidR="001009A0" w:rsidRPr="000A3C73" w:rsidRDefault="00B41E00" w:rsidP="005371F3">
      <w:pPr>
        <w:pStyle w:val="Heading3"/>
        <w:ind w:left="1440"/>
      </w:pPr>
      <w:bookmarkStart w:id="140" w:name="_Toc152154289"/>
      <w:bookmarkStart w:id="141" w:name="_Toc238551081"/>
      <w:r w:rsidRPr="000A3C73">
        <w:t>Sociopolitical Risks to Sustainability</w:t>
      </w:r>
      <w:bookmarkEnd w:id="140"/>
      <w:bookmarkEnd w:id="141"/>
    </w:p>
    <w:p w:rsidR="005D3349" w:rsidRPr="000A3C73" w:rsidRDefault="00E176AF" w:rsidP="005D3349">
      <w:pPr>
        <w:pStyle w:val="BodyText"/>
      </w:pPr>
      <w:r w:rsidRPr="000A3C73">
        <w:t xml:space="preserve">With the current non-functionality of the PPMC, there is no mechanism or vehicle for continued transboundary cooperation above the local level. This seems to be due to a lack of political will, combined with a lack of financial resources, which is related to the effects of the global economic crisis in the region. </w:t>
      </w:r>
      <w:r w:rsidR="007262FC" w:rsidRPr="000A3C73">
        <w:t xml:space="preserve">In other words, there is not </w:t>
      </w:r>
      <w:r w:rsidR="00E5353A" w:rsidRPr="000A3C73">
        <w:t xml:space="preserve">currently adequate stakeholder ownership at the central level to continue moving things forward. This contrasts with the local level, where there has been semi-regular contact among the municipalities in the region on issues related to tourism and other aspects. </w:t>
      </w:r>
      <w:r w:rsidR="008E74CF" w:rsidRPr="000A3C73">
        <w:t xml:space="preserve">It is anticipated that the municipalities will maintain interest in transboundary cooperation, but there are limits to what can be achieved without support from the central government. </w:t>
      </w:r>
      <w:r w:rsidR="0034253A" w:rsidRPr="000A3C73">
        <w:t xml:space="preserve">By virtue of this shared resource, the three countries are obligated to continue cooperation for transboundary integrated ecosystem management at some point, even if activities are currently in a holding pattern. There has recently </w:t>
      </w:r>
      <w:r w:rsidR="003D34A9" w:rsidRPr="000A3C73">
        <w:t xml:space="preserve">(i.e. 2011) </w:t>
      </w:r>
      <w:r w:rsidR="0034253A" w:rsidRPr="000A3C73">
        <w:t>been discussion about the possible designation of Prespa as a UNESCO t</w:t>
      </w:r>
      <w:r w:rsidR="003D34A9" w:rsidRPr="000A3C73">
        <w:t>ransboundary biosphere reserve</w:t>
      </w:r>
      <w:r w:rsidR="0034253A" w:rsidRPr="000A3C73">
        <w:t>. This appears to be one of the few current threads of discussion on future transboundary ecosystem management in the Prespa region, but it is also not clear that this discussion wi</w:t>
      </w:r>
      <w:r w:rsidR="003D34A9" w:rsidRPr="000A3C73">
        <w:t>ll lead down a productive path.</w:t>
      </w:r>
    </w:p>
    <w:p w:rsidR="00894283" w:rsidRPr="000A3C73" w:rsidRDefault="00894283" w:rsidP="005D3349">
      <w:pPr>
        <w:pStyle w:val="BodyText"/>
      </w:pPr>
      <w:r w:rsidRPr="000A3C73">
        <w:t>For both the national components there is good stakeholder support at the local level, as highlighted at various points in this evaluation report. In Macedonia the Municipality of Resen is working to assume greater responsibility for watershed management in Macedonian Prespa, with financial support from the SDC project, and with political support from the Ministry o</w:t>
      </w:r>
      <w:r w:rsidR="00703E1B" w:rsidRPr="000A3C73">
        <w:t>f Environment</w:t>
      </w:r>
      <w:r w:rsidRPr="000A3C73">
        <w:t xml:space="preserve"> and </w:t>
      </w:r>
      <w:r w:rsidR="00703E1B" w:rsidRPr="000A3C73">
        <w:t>Physical</w:t>
      </w:r>
      <w:r w:rsidRPr="000A3C73">
        <w:t xml:space="preserve"> Planning. In Albania, local support for integrated ecosystem management is generally good – for example, </w:t>
      </w:r>
      <w:r w:rsidR="00FD6163" w:rsidRPr="000A3C73">
        <w:t xml:space="preserve">representatives of Proger commune indicated that they are considering updating their Local Environmental Action Plan (on their own), since the original one developed under the project is now a few years old. The recently operationalized management committee for the Albanian Prespa National Park is also an effective mechanism to maintain stakeholder buy-in for environmentally responsible development. </w:t>
      </w:r>
      <w:r w:rsidR="001A2216" w:rsidRPr="000A3C73">
        <w:t xml:space="preserve">According to multiple stakeholders in Albania, the Ministry of Environment, </w:t>
      </w:r>
      <w:r w:rsidR="00703E1B" w:rsidRPr="000A3C73">
        <w:t>Forests, and Water Management</w:t>
      </w:r>
      <w:r w:rsidR="001A2216" w:rsidRPr="000A3C73">
        <w:t xml:space="preserve"> is also generally supportive, but decision-makers have not put the human or financial resources in place to facilitate significant positive steps toward integrated ecosystem management in Prespa basin. </w:t>
      </w:r>
    </w:p>
    <w:p w:rsidR="001009A0" w:rsidRPr="000A3C73" w:rsidRDefault="00B41E00" w:rsidP="005371F3">
      <w:pPr>
        <w:pStyle w:val="Heading3"/>
        <w:ind w:left="1440"/>
      </w:pPr>
      <w:bookmarkStart w:id="142" w:name="_Toc152154290"/>
      <w:bookmarkStart w:id="143" w:name="_Ref194824120"/>
      <w:bookmarkStart w:id="144" w:name="_Toc238551082"/>
      <w:r w:rsidRPr="000A3C73">
        <w:t>Institutional Framework and Governance Risks to Sustainability</w:t>
      </w:r>
      <w:bookmarkEnd w:id="142"/>
      <w:bookmarkEnd w:id="143"/>
      <w:bookmarkEnd w:id="144"/>
    </w:p>
    <w:p w:rsidR="002248AF" w:rsidRPr="00C56966" w:rsidRDefault="00785A93" w:rsidP="005D3349">
      <w:pPr>
        <w:pStyle w:val="BodyText"/>
      </w:pPr>
      <w:r w:rsidRPr="000A3C73">
        <w:t xml:space="preserve">One of the most significant results from the project was the tri-lateral signing of the 2010 “Agreement on the Protection and Sustainable Development of the Prespa Park Area.” </w:t>
      </w:r>
      <w:r w:rsidR="00E05706" w:rsidRPr="000A3C73">
        <w:t xml:space="preserve">Following the initial agreement however, little has taken place to actually implement the agreement, as discussed in Section </w:t>
      </w:r>
      <w:r w:rsidR="008269C6" w:rsidRPr="008B7E9A">
        <w:fldChar w:fldCharType="begin"/>
      </w:r>
      <w:r w:rsidR="00E05706" w:rsidRPr="000A3C73">
        <w:instrText xml:space="preserve"> REF _Ref209794480 \w \h </w:instrText>
      </w:r>
      <w:r w:rsidR="008269C6" w:rsidRPr="008B7E9A">
        <w:fldChar w:fldCharType="separate"/>
      </w:r>
      <w:r w:rsidR="006E18A7" w:rsidRPr="008B7E9A">
        <w:t>V.B.iv</w:t>
      </w:r>
      <w:r w:rsidR="008269C6" w:rsidRPr="008B7E9A">
        <w:fldChar w:fldCharType="end"/>
      </w:r>
      <w:r w:rsidR="00E05706" w:rsidRPr="00FC657B">
        <w:t xml:space="preserve"> under Output </w:t>
      </w:r>
      <w:r w:rsidR="009E4367" w:rsidRPr="00D77DF1">
        <w:t>4.1</w:t>
      </w:r>
      <w:r w:rsidR="00E05706" w:rsidRPr="00CD42DE">
        <w:t xml:space="preserve">. This landmark agreement will remain a </w:t>
      </w:r>
      <w:r w:rsidR="009E4367" w:rsidRPr="00AA7D1F">
        <w:t>foundation</w:t>
      </w:r>
      <w:r w:rsidR="009E4367" w:rsidRPr="005E69C8">
        <w:t>al element</w:t>
      </w:r>
      <w:r w:rsidR="00E05706" w:rsidRPr="008B7E9A">
        <w:t xml:space="preserve"> of the institutional framework for transboundary </w:t>
      </w:r>
      <w:r w:rsidR="009E4367" w:rsidRPr="000126EE">
        <w:t>governance of the Prespa basin</w:t>
      </w:r>
      <w:r w:rsidR="009E4367" w:rsidRPr="00B71D27">
        <w:t xml:space="preserve"> (when, or if, it is ratified by all three </w:t>
      </w:r>
      <w:r w:rsidR="004314E8" w:rsidRPr="00595792">
        <w:t>countries</w:t>
      </w:r>
      <w:r w:rsidR="009E4367" w:rsidRPr="00602E30">
        <w:t>), but until there is political will and adequate resources to support the PPM</w:t>
      </w:r>
      <w:r w:rsidR="009E4367" w:rsidRPr="002A69B7">
        <w:t xml:space="preserve">C and implement the agreement, this </w:t>
      </w:r>
      <w:r w:rsidR="009E4367" w:rsidRPr="002C744B">
        <w:t xml:space="preserve">aspect of sustainability can only be considered moderately unlikely. </w:t>
      </w:r>
    </w:p>
    <w:p w:rsidR="00CA6B05" w:rsidRPr="000A3C73" w:rsidRDefault="004314E8" w:rsidP="005D3349">
      <w:pPr>
        <w:pStyle w:val="BodyText"/>
      </w:pPr>
      <w:r w:rsidRPr="002D3949">
        <w:t>At the nat</w:t>
      </w:r>
      <w:r w:rsidRPr="000A3C73">
        <w:t xml:space="preserve">ional level, in Macedonia all key institutional frameworks are in place. </w:t>
      </w:r>
      <w:r w:rsidR="00894283" w:rsidRPr="000A3C73">
        <w:t xml:space="preserve">The national park administrations for </w:t>
      </w:r>
      <w:r w:rsidR="006A781F" w:rsidRPr="006A781F">
        <w:rPr>
          <w:bCs/>
          <w:u w:val="single"/>
        </w:rPr>
        <w:t>Galičica</w:t>
      </w:r>
      <w:r w:rsidR="006A781F" w:rsidRPr="006A781F">
        <w:rPr>
          <w:bCs/>
          <w:i/>
          <w:u w:val="single"/>
        </w:rPr>
        <w:t xml:space="preserve"> </w:t>
      </w:r>
      <w:r w:rsidRPr="000A3C73">
        <w:t>and Pelister National Parks are well established, and continuing to build capacity for effective management. As Resen Municipality assumes management of the Ezerani protected area this will be an interesting model to document and to draw lessons from for</w:t>
      </w:r>
      <w:r w:rsidR="003F40A8" w:rsidRPr="000A3C73">
        <w:t xml:space="preserve"> future reference in Macedonia.</w:t>
      </w:r>
    </w:p>
    <w:p w:rsidR="003F40A8" w:rsidRPr="000A3C73" w:rsidRDefault="003F0FA3" w:rsidP="005D3349">
      <w:pPr>
        <w:pStyle w:val="BodyText"/>
      </w:pPr>
      <w:r w:rsidRPr="000A3C73">
        <w:t xml:space="preserve">Considering that Albania’s entire Prespa watershed is included within Prespa National Park, </w:t>
      </w:r>
      <w:r w:rsidR="003F40A8" w:rsidRPr="000A3C73">
        <w:t>there has been important progress with the establishment of the Prespa National Park Management Committee</w:t>
      </w:r>
      <w:r w:rsidRPr="000A3C73">
        <w:t xml:space="preserve"> as a multi-stakeholder consultative body to strengthen communication and coordination between the national park administration</w:t>
      </w:r>
      <w:r w:rsidR="00D12E01" w:rsidRPr="000A3C73">
        <w:t xml:space="preserve"> and other stakeholders</w:t>
      </w:r>
      <w:r w:rsidR="003F40A8" w:rsidRPr="000A3C73">
        <w:t xml:space="preserve">. </w:t>
      </w:r>
      <w:r w:rsidR="00D12E01" w:rsidRPr="000A3C73">
        <w:t xml:space="preserve">Yet there remain multiple “authorities” in the region, as the municipalities in Albanian Prespa also have a major role in decision-making related to resource use and development. </w:t>
      </w:r>
      <w:r w:rsidR="00D65943" w:rsidRPr="000A3C73">
        <w:t>The institutional status of the national park at the national level could</w:t>
      </w:r>
      <w:r w:rsidR="00D12E01" w:rsidRPr="000A3C73">
        <w:t xml:space="preserve"> also</w:t>
      </w:r>
      <w:r w:rsidR="00D65943" w:rsidRPr="000A3C73">
        <w:t xml:space="preserve"> be strengthened. </w:t>
      </w:r>
    </w:p>
    <w:p w:rsidR="00411FAD" w:rsidRPr="000A3C73" w:rsidRDefault="00B41E00" w:rsidP="00411FAD">
      <w:pPr>
        <w:pStyle w:val="Heading3"/>
        <w:ind w:left="1440"/>
      </w:pPr>
      <w:bookmarkStart w:id="145" w:name="_Toc152154291"/>
      <w:bookmarkStart w:id="146" w:name="_Toc238551083"/>
      <w:r w:rsidRPr="000A3C73">
        <w:t>Environmental Risks to Sustainability</w:t>
      </w:r>
      <w:bookmarkStart w:id="147" w:name="_Toc152154292"/>
      <w:bookmarkStart w:id="148" w:name="_Ref183231802"/>
      <w:bookmarkStart w:id="149" w:name="_Ref194895185"/>
      <w:bookmarkStart w:id="150" w:name="_Ref195061830"/>
      <w:bookmarkStart w:id="151" w:name="_Ref198182006"/>
      <w:bookmarkEnd w:id="145"/>
      <w:bookmarkEnd w:id="146"/>
    </w:p>
    <w:p w:rsidR="00411FAD" w:rsidRPr="000A3C73" w:rsidRDefault="00710E35" w:rsidP="00411FAD">
      <w:pPr>
        <w:pStyle w:val="BodyText"/>
      </w:pPr>
      <w:r w:rsidRPr="000A3C73">
        <w:t>The major threats to the Prespa basin land, water, and biodiversity resources remain pertinent, though the project has made numerous positive contributions to threat reduction</w:t>
      </w:r>
      <w:r w:rsidR="00C4139A" w:rsidRPr="000A3C73">
        <w:t>, as described throughout this evaluation report</w:t>
      </w:r>
      <w:r w:rsidRPr="000A3C73">
        <w:t>.</w:t>
      </w:r>
      <w:r w:rsidR="00C4139A" w:rsidRPr="000A3C73">
        <w:t xml:space="preserve"> There are no new or acute environmental risks to the results of the national components in Albania and Macedonia, but ongoing and continued efforts are required to maintain and strengthen the path to sustainable development. Environmental risks are not applicable for the main results of the transboundary component. </w:t>
      </w:r>
    </w:p>
    <w:p w:rsidR="00E823BF" w:rsidRPr="000A3C73" w:rsidRDefault="00B41E00" w:rsidP="00B41E00">
      <w:pPr>
        <w:pStyle w:val="Heading2"/>
        <w:ind w:left="1080" w:hanging="360"/>
      </w:pPr>
      <w:bookmarkStart w:id="152" w:name="_Ref209771985"/>
      <w:bookmarkStart w:id="153" w:name="_Toc238551084"/>
      <w:r w:rsidRPr="000A3C73">
        <w:t>Catalytic Role: Replication and Scaling-up</w:t>
      </w:r>
      <w:bookmarkEnd w:id="147"/>
      <w:bookmarkEnd w:id="148"/>
      <w:bookmarkEnd w:id="149"/>
      <w:bookmarkEnd w:id="150"/>
      <w:bookmarkEnd w:id="151"/>
      <w:bookmarkEnd w:id="152"/>
      <w:bookmarkEnd w:id="153"/>
    </w:p>
    <w:p w:rsidR="00391382" w:rsidRPr="000A3C73" w:rsidRDefault="00391382" w:rsidP="004A2059">
      <w:pPr>
        <w:pStyle w:val="BodyText"/>
      </w:pPr>
      <w:r w:rsidRPr="000A3C73">
        <w:t>While some elements of the project have been more successful than others, there are at least a few notable results that may have catalytic effects within the respective countries, if not among all involved countries or the wider Balkan region. Perhaps most significant is the Watershed Management Plan in Macedonia, which was designed to comply with the EU Water Framework directive</w:t>
      </w:r>
      <w:r w:rsidR="00846922" w:rsidRPr="000A3C73">
        <w:t xml:space="preserve"> (the first in the country to do so)</w:t>
      </w:r>
      <w:r w:rsidRPr="000A3C73">
        <w:t xml:space="preserve">, and which has been adopted </w:t>
      </w:r>
      <w:r w:rsidR="00DF60D9" w:rsidRPr="000A3C73">
        <w:t>by the Macedonian government as a model for future river basin management in Macedonia. The country is moving to next</w:t>
      </w:r>
      <w:r w:rsidR="00B22FAD" w:rsidRPr="000A3C73">
        <w:t xml:space="preserve"> </w:t>
      </w:r>
      <w:r w:rsidR="001F4CC7" w:rsidRPr="000A3C73">
        <w:t>implement</w:t>
      </w:r>
      <w:r w:rsidR="00846922" w:rsidRPr="000A3C73">
        <w:t xml:space="preserve"> the model </w:t>
      </w:r>
      <w:r w:rsidR="001F4CC7" w:rsidRPr="000A3C73">
        <w:t>for</w:t>
      </w:r>
      <w:r w:rsidR="00846922" w:rsidRPr="000A3C73">
        <w:t xml:space="preserve"> the Bregalnitsa River</w:t>
      </w:r>
      <w:r w:rsidR="001F4CC7" w:rsidRPr="000A3C73">
        <w:t>.</w:t>
      </w:r>
    </w:p>
    <w:p w:rsidR="00B656CD" w:rsidRPr="000A3C73" w:rsidRDefault="005F747C" w:rsidP="004A2059">
      <w:pPr>
        <w:pStyle w:val="BodyText"/>
      </w:pPr>
      <w:r w:rsidRPr="000A3C73">
        <w:t>Another</w:t>
      </w:r>
      <w:r w:rsidR="00B656CD" w:rsidRPr="000A3C73">
        <w:t xml:space="preserve"> interesting result from the Macedonia c</w:t>
      </w:r>
      <w:r w:rsidR="003E5B6E" w:rsidRPr="000A3C73">
        <w:t xml:space="preserve">omponent was that the project-produced </w:t>
      </w:r>
      <w:r w:rsidR="00B656CD" w:rsidRPr="000A3C73">
        <w:t xml:space="preserve">manual on </w:t>
      </w:r>
      <w:r w:rsidR="00E725EA" w:rsidRPr="000A3C73">
        <w:t xml:space="preserve">ecosystem-based </w:t>
      </w:r>
      <w:r w:rsidR="00B656CD" w:rsidRPr="000A3C73">
        <w:t xml:space="preserve">river restoration – related to the activity on restoring a section of the Golema Reka stream – </w:t>
      </w:r>
      <w:r w:rsidR="003E5B6E" w:rsidRPr="000A3C73">
        <w:t>is now being used as a student textbook at the Faculty of Civil Engineering in Skopje, for the newly introduced course on river restoration</w:t>
      </w:r>
      <w:r w:rsidR="00B656CD" w:rsidRPr="000A3C73">
        <w:t>. The project-produced manual is the only Macedonian language r</w:t>
      </w:r>
      <w:r w:rsidR="00772212" w:rsidRPr="000A3C73">
        <w:t xml:space="preserve">esource on </w:t>
      </w:r>
      <w:r w:rsidR="003E5B6E" w:rsidRPr="000A3C73">
        <w:t>river restoration</w:t>
      </w:r>
      <w:r w:rsidR="00772212" w:rsidRPr="000A3C73">
        <w:t>.</w:t>
      </w:r>
    </w:p>
    <w:p w:rsidR="001C1559" w:rsidRPr="000A3C73" w:rsidRDefault="001C1559" w:rsidP="004A2059">
      <w:pPr>
        <w:pStyle w:val="BodyText"/>
      </w:pPr>
      <w:r w:rsidRPr="000A3C73">
        <w:t xml:space="preserve">Multiple other results could potentially be replicated in any of the three countries, or in other relevant international contexts. For example, the Natural Capital Resource Center established in Resen is a valuable resource for the community that could be replicated in other municipalities. The community resource user associations established have replication value. However, other than publishing information about the project activities and generating media attention, the project did not undertake a pro-active replication strategy to catalyze replication of these results. </w:t>
      </w:r>
    </w:p>
    <w:p w:rsidR="00B41E00" w:rsidRPr="000A3C73" w:rsidRDefault="00B41E00" w:rsidP="00B41E00">
      <w:pPr>
        <w:pStyle w:val="Heading2"/>
        <w:ind w:left="1080" w:hanging="360"/>
      </w:pPr>
      <w:bookmarkStart w:id="154" w:name="_Ref147244308"/>
      <w:bookmarkStart w:id="155" w:name="_Toc152154293"/>
      <w:bookmarkStart w:id="156" w:name="_Toc238551085"/>
      <w:r w:rsidRPr="000A3C73">
        <w:t>Monitoring and Evaluation</w:t>
      </w:r>
      <w:bookmarkEnd w:id="154"/>
      <w:bookmarkEnd w:id="155"/>
      <w:bookmarkEnd w:id="156"/>
    </w:p>
    <w:p w:rsidR="001009A0" w:rsidRPr="000A3C73" w:rsidRDefault="00B41E00" w:rsidP="005371F3">
      <w:pPr>
        <w:pStyle w:val="Heading3"/>
        <w:ind w:left="1440"/>
      </w:pPr>
      <w:bookmarkStart w:id="157" w:name="_Toc152154294"/>
      <w:bookmarkStart w:id="158" w:name="_Ref198441956"/>
      <w:bookmarkStart w:id="159" w:name="_Toc238551086"/>
      <w:r w:rsidRPr="000A3C73">
        <w:t>Project Monitoring, Reporting, and Evaluation</w:t>
      </w:r>
      <w:bookmarkEnd w:id="157"/>
      <w:bookmarkEnd w:id="158"/>
      <w:bookmarkEnd w:id="159"/>
    </w:p>
    <w:p w:rsidR="00A75016" w:rsidRPr="000A3C73" w:rsidRDefault="00194771" w:rsidP="005D3349">
      <w:pPr>
        <w:pStyle w:val="BodyText"/>
      </w:pPr>
      <w:r w:rsidRPr="000A3C73">
        <w:t>Part IV of t</w:t>
      </w:r>
      <w:r w:rsidR="00A75016" w:rsidRPr="000A3C73">
        <w:t xml:space="preserve">he </w:t>
      </w:r>
      <w:r w:rsidR="006C758C" w:rsidRPr="000A3C73">
        <w:t>Prespa IEM</w:t>
      </w:r>
      <w:r w:rsidR="00A75016" w:rsidRPr="000A3C73">
        <w:t xml:space="preserve"> project document includes a full description of the p</w:t>
      </w:r>
      <w:r w:rsidRPr="000A3C73">
        <w:t xml:space="preserve">roject M&amp;E plan and activities, including </w:t>
      </w:r>
      <w:r w:rsidR="00A75016" w:rsidRPr="000A3C73">
        <w:t xml:space="preserve">the </w:t>
      </w:r>
      <w:r w:rsidR="002A290F" w:rsidRPr="000A3C73">
        <w:t xml:space="preserve">table-form </w:t>
      </w:r>
      <w:r w:rsidR="00A75016" w:rsidRPr="000A3C73">
        <w:t xml:space="preserve">summarized </w:t>
      </w:r>
      <w:r w:rsidR="002A290F" w:rsidRPr="000A3C73">
        <w:t xml:space="preserve">budgeted </w:t>
      </w:r>
      <w:r w:rsidR="00A75016" w:rsidRPr="000A3C73">
        <w:t xml:space="preserve">M&amp;E plan, as per the standard UNDP approach. The summary table includes the planned M&amp;E activities, responsible parties, budget, and expected timeframe. The M&amp;E plan conforms to standard UNDP and GEF M&amp;E procedures, standards and norms. Foreseen M&amp;E activities include the inception workshop and report, APR/PIR, </w:t>
      </w:r>
      <w:r w:rsidR="002A290F" w:rsidRPr="000A3C73">
        <w:t>Annual Tripartite Review, Project Steering Committee</w:t>
      </w:r>
      <w:r w:rsidR="00A75016" w:rsidRPr="000A3C73">
        <w:t xml:space="preserve"> meetings, </w:t>
      </w:r>
      <w:r w:rsidR="002A290F" w:rsidRPr="000A3C73">
        <w:t xml:space="preserve">external independent </w:t>
      </w:r>
      <w:r w:rsidR="00A75016" w:rsidRPr="000A3C73">
        <w:t xml:space="preserve">mid-term </w:t>
      </w:r>
      <w:r w:rsidR="002A290F" w:rsidRPr="000A3C73">
        <w:t>and</w:t>
      </w:r>
      <w:r w:rsidR="006A781F">
        <w:t xml:space="preserve"> </w:t>
      </w:r>
      <w:r w:rsidR="002A290F" w:rsidRPr="000A3C73">
        <w:t>terminal</w:t>
      </w:r>
      <w:r w:rsidR="00A75016" w:rsidRPr="000A3C73">
        <w:t xml:space="preserve"> evaluation</w:t>
      </w:r>
      <w:r w:rsidR="002A290F" w:rsidRPr="000A3C73">
        <w:t>s</w:t>
      </w:r>
      <w:r w:rsidR="00A75016" w:rsidRPr="000A3C73">
        <w:t>, terminal report, lessons learned, and audit. The total indic</w:t>
      </w:r>
      <w:r w:rsidR="002A290F" w:rsidRPr="000A3C73">
        <w:t>ative M&amp;E budget is given as $15</w:t>
      </w:r>
      <w:r w:rsidR="00A75016" w:rsidRPr="000A3C73">
        <w:t>0,000</w:t>
      </w:r>
      <w:r w:rsidR="002A290F" w:rsidRPr="000A3C73">
        <w:t xml:space="preserve"> (~3.6% of GEF resources)</w:t>
      </w:r>
      <w:r w:rsidR="00A75016" w:rsidRPr="000A3C73">
        <w:t xml:space="preserve"> – excluding project team staff time - which is </w:t>
      </w:r>
      <w:r w:rsidR="002A290F" w:rsidRPr="000A3C73">
        <w:t xml:space="preserve">fully adequate for a project of this size. </w:t>
      </w:r>
      <w:r w:rsidR="00782882" w:rsidRPr="000A3C73">
        <w:t xml:space="preserve">This summarized M&amp;E plan includes the key M&amp;E activities for UNDP-GEF projects, but the version in the project document appears to be a generic standardized project M&amp;E plan, rather than a plan adapted to the particular design of the Prespa IEM project, with the project design covering three different execution components. </w:t>
      </w:r>
      <w:r w:rsidR="00B554C0" w:rsidRPr="000A3C73">
        <w:t>Therefore at the inception workshop for the transboundary component</w:t>
      </w:r>
      <w:r w:rsidR="009A6C90" w:rsidRPr="000A3C73">
        <w:t xml:space="preserve"> the project M&amp;E plan was outlined in greater detail, with specific information provided on the roles and responsibilities for M&amp;E activities between the three project components, and the sp</w:t>
      </w:r>
      <w:r w:rsidR="00A87215" w:rsidRPr="000A3C73">
        <w:t xml:space="preserve">ecific timing of each activity (section 6 of the transboundary inception workshop report). </w:t>
      </w:r>
    </w:p>
    <w:p w:rsidR="00F00C0C" w:rsidRPr="000A3C73" w:rsidRDefault="00396896" w:rsidP="005D3349">
      <w:pPr>
        <w:pStyle w:val="BodyText"/>
      </w:pPr>
      <w:r w:rsidRPr="000A3C73">
        <w:t xml:space="preserve">Overall, the M&amp;E plan was implemented as envisioned, with some variation in the comprehensiveness and timing of some of the activities. </w:t>
      </w:r>
      <w:r w:rsidR="0017560B" w:rsidRPr="000A3C73">
        <w:t xml:space="preserve">The inception workshops for the transboundary and Albanian components were later than planned following project approval. There were some challenges in reporting information from all three project components in a single PIR template, but ultimately this was handled adequately, and the PIRs are comprehensive. Other operational and progress reports were also adequately completed. </w:t>
      </w:r>
    </w:p>
    <w:p w:rsidR="00924AC7" w:rsidRPr="000A3C73" w:rsidRDefault="00146908" w:rsidP="005D3349">
      <w:pPr>
        <w:pStyle w:val="BodyText"/>
      </w:pPr>
      <w:r w:rsidRPr="000A3C73">
        <w:t xml:space="preserve">One area of uncertainty is the role of the </w:t>
      </w:r>
      <w:r w:rsidR="000278FD">
        <w:t>p</w:t>
      </w:r>
      <w:r w:rsidRPr="000A3C73">
        <w:t xml:space="preserve">roject </w:t>
      </w:r>
      <w:r w:rsidR="000278FD">
        <w:t>s</w:t>
      </w:r>
      <w:r w:rsidRPr="000A3C73">
        <w:t xml:space="preserve">teering </w:t>
      </w:r>
      <w:r w:rsidR="000278FD">
        <w:t>c</w:t>
      </w:r>
      <w:r w:rsidRPr="000A3C73">
        <w:t>ommittee – or rather, the steering committees for all three project components</w:t>
      </w:r>
      <w:r w:rsidR="00924AC7" w:rsidRPr="000A3C73">
        <w:t xml:space="preserve">. </w:t>
      </w:r>
      <w:r w:rsidR="00F00C0C" w:rsidRPr="000A3C73">
        <w:t>The two national components had “Project Boards”, and it appears these bodies met regularly and served their purpose. The Macedonian Project Board met seven times between July 2007 and December 2010. It is unclear exactly how many times the Albanian project board met, since as of late 2010 the Prespa National Park Management Committee filled the role of the Project Board. The “Project Oversight Committee”</w:t>
      </w:r>
      <w:r w:rsidR="00924AC7" w:rsidRPr="000A3C73">
        <w:t xml:space="preserve"> was a particular challenge for the transboundary component, vis-à-vis the role of the PPCC. </w:t>
      </w:r>
      <w:r w:rsidR="00F00C0C" w:rsidRPr="000A3C73">
        <w:t xml:space="preserve">As of early 2008 there were still major questions about the membership of the </w:t>
      </w:r>
      <w:r w:rsidR="000278FD">
        <w:t>POC</w:t>
      </w:r>
      <w:r w:rsidR="00F00C0C" w:rsidRPr="000A3C73">
        <w:t xml:space="preserve">, the role of the PPCC as the </w:t>
      </w:r>
      <w:r w:rsidR="000278FD">
        <w:t>POC</w:t>
      </w:r>
      <w:r w:rsidR="00F00C0C" w:rsidRPr="000A3C73">
        <w:t xml:space="preserve">, and the </w:t>
      </w:r>
      <w:r w:rsidR="00D163CA">
        <w:t>TOR</w:t>
      </w:r>
      <w:r w:rsidR="000278FD">
        <w:t>s</w:t>
      </w:r>
      <w:r w:rsidR="00F00C0C" w:rsidRPr="000A3C73">
        <w:t xml:space="preserve"> for the </w:t>
      </w:r>
      <w:r w:rsidR="000278FD">
        <w:t>POC</w:t>
      </w:r>
      <w:r w:rsidR="00F00C0C" w:rsidRPr="000A3C73">
        <w:t xml:space="preserve">. </w:t>
      </w:r>
      <w:r w:rsidR="0040397A" w:rsidRPr="000A3C73">
        <w:t>These issues</w:t>
      </w:r>
      <w:r w:rsidR="00350A53" w:rsidRPr="000A3C73">
        <w:t xml:space="preserve"> partly related to the potential for the GEF project to finance PPCC meetings in the framework of </w:t>
      </w:r>
      <w:r w:rsidR="000278FD">
        <w:t>POC</w:t>
      </w:r>
      <w:r w:rsidR="00350A53" w:rsidRPr="000A3C73">
        <w:t xml:space="preserve"> meetings. This issue was eventu</w:t>
      </w:r>
      <w:r w:rsidR="002F3B80" w:rsidRPr="000A3C73">
        <w:t xml:space="preserve">ally resolved in </w:t>
      </w:r>
      <w:r w:rsidR="00350A53" w:rsidRPr="000A3C73">
        <w:t xml:space="preserve">2008. </w:t>
      </w:r>
    </w:p>
    <w:p w:rsidR="00396896" w:rsidRPr="000A3C73" w:rsidRDefault="0017560B" w:rsidP="005D3349">
      <w:pPr>
        <w:pStyle w:val="BodyText"/>
      </w:pPr>
      <w:r w:rsidRPr="000A3C73">
        <w:t>The mid-term evaluation was completed at approximately the mid-point of the project, and was a useful tool for stimulating more urgent and strategic project implementation. The mid-term evaluation did have some shortcomings in providing overly detailed analysis (particularly of human resource issues), and overly prescriptive recommendations (e.g. recommending the creation of a particular staff position, and that a particular individual should be encouraged to apply)</w:t>
      </w:r>
      <w:r w:rsidR="00F921EB">
        <w:t>.</w:t>
      </w:r>
      <w:r w:rsidRPr="000A3C73">
        <w:t xml:space="preserve"> </w:t>
      </w:r>
      <w:r w:rsidR="00F921EB">
        <w:t>However,</w:t>
      </w:r>
      <w:r w:rsidR="00F921EB" w:rsidRPr="000A3C73">
        <w:t xml:space="preserve"> </w:t>
      </w:r>
      <w:r w:rsidRPr="000A3C73">
        <w:t xml:space="preserve">there is always room for improvement in any evaluation, including the present one. </w:t>
      </w:r>
      <w:r w:rsidR="0097655F">
        <w:t xml:space="preserve">The mid-term evaluation provided 18 recommendations. </w:t>
      </w:r>
      <w:r w:rsidR="009C11D5">
        <w:t>An assessment of follow-up to the MTE recomme</w:t>
      </w:r>
      <w:r w:rsidR="00B15342">
        <w:t>ndations is included as Annex 4</w:t>
      </w:r>
      <w:r w:rsidR="009C11D5">
        <w:t xml:space="preserve"> to this evaluation report. On the whole, the project implemented those recommendations that were practical and feasible (i.e. increased focus on communications in the second half of the project), with a few exceptions – for example, on a formal revision of the project logframe indicators and targets</w:t>
      </w:r>
      <w:r w:rsidR="00B45BD6">
        <w:t>, and on “upgrading” of the capacity development program under Output 1.4</w:t>
      </w:r>
      <w:r w:rsidR="009C11D5">
        <w:t>.</w:t>
      </w:r>
      <w:r w:rsidR="007C35C9">
        <w:t xml:space="preserve"> Six recommendations were not fulfilled, six recommendations were fulfilled, one was partially fulfilled, and for five there is not specific information on follow-up activities. </w:t>
      </w:r>
    </w:p>
    <w:p w:rsidR="009A2DC8" w:rsidRPr="008B7E9A" w:rsidRDefault="00006730" w:rsidP="005D3349">
      <w:pPr>
        <w:pStyle w:val="BodyText"/>
      </w:pPr>
      <w:r w:rsidRPr="000A3C73">
        <w:t>The key element of the project M&amp;E system for a results-based approach is the project logframe, with indicators, baseline data, and targets. To meet GEF and UNDP M&amp;E minimum standard, project logframe indicators must meet SMART criteria</w:t>
      </w:r>
      <w:r w:rsidR="003E13DC" w:rsidRPr="000A3C73">
        <w:t>.</w:t>
      </w:r>
      <w:r w:rsidRPr="00FC657B">
        <w:rPr>
          <w:rStyle w:val="FootnoteReference"/>
        </w:rPr>
        <w:footnoteReference w:id="29"/>
      </w:r>
      <w:r w:rsidRPr="00FC657B">
        <w:t xml:space="preserve"> The </w:t>
      </w:r>
      <w:r w:rsidR="006C758C" w:rsidRPr="00D77DF1">
        <w:t>Prespa IEM</w:t>
      </w:r>
      <w:r w:rsidR="0040397A" w:rsidRPr="00CD42DE">
        <w:t xml:space="preserve"> </w:t>
      </w:r>
      <w:r w:rsidR="00B6148A" w:rsidRPr="00AA7D1F">
        <w:t>p</w:t>
      </w:r>
      <w:r w:rsidRPr="005E69C8">
        <w:t xml:space="preserve">roject </w:t>
      </w:r>
      <w:r w:rsidR="00B6148A" w:rsidRPr="008B7E9A">
        <w:t>l</w:t>
      </w:r>
      <w:r w:rsidRPr="000126EE">
        <w:t>ogframe is based on the standard UNDP logframe structure and approach. The logframe was further adjusted and updated at the i</w:t>
      </w:r>
      <w:r w:rsidRPr="00B71D27">
        <w:t>nception phase, with changes to the logframe outlined the</w:t>
      </w:r>
      <w:r w:rsidR="009A2DC8" w:rsidRPr="00595792">
        <w:t xml:space="preserve"> inception report.</w:t>
      </w:r>
      <w:r w:rsidR="00B6148A" w:rsidRPr="00FC657B">
        <w:rPr>
          <w:rStyle w:val="FootnoteReference"/>
        </w:rPr>
        <w:footnoteReference w:id="30"/>
      </w:r>
      <w:r w:rsidR="009A2DC8" w:rsidRPr="00FC657B">
        <w:t xml:space="preserve"> Specifically, </w:t>
      </w:r>
      <w:r w:rsidR="004A5C72" w:rsidRPr="00D77DF1">
        <w:t xml:space="preserve">Greek activities were incorporated into the logframe, as they had not been </w:t>
      </w:r>
      <w:r w:rsidR="004A5C72" w:rsidRPr="00CD42DE">
        <w:t xml:space="preserve">fully included at the project development phase. </w:t>
      </w:r>
      <w:r w:rsidR="005E5747" w:rsidRPr="00AA7D1F">
        <w:t>The inclusion of the Greek activities into the logframe at this stage appears to have been an attempt to strengthen the transboundary, results-based approach for environmental management in the basin</w:t>
      </w:r>
      <w:r w:rsidR="00F024AA" w:rsidRPr="005E69C8">
        <w:t xml:space="preserve"> under the project, as none of the GEF-funding was actually going to be invested in Greek Prespa. </w:t>
      </w:r>
    </w:p>
    <w:p w:rsidR="0032004E" w:rsidRPr="000A3C73" w:rsidRDefault="00F024AA" w:rsidP="00F77CDC">
      <w:pPr>
        <w:pStyle w:val="BodyText"/>
      </w:pPr>
      <w:r w:rsidRPr="000126EE">
        <w:t>The logframe has various strengths and weaknesses, but overall is unwieldy as a useful implement for results-based management for the Prespa IEM project. The Prespa IEM project is a complex project in that it is multi-focal and covers five outcomes in thr</w:t>
      </w:r>
      <w:r w:rsidRPr="00B71D27">
        <w:t xml:space="preserve">ee countries – but the logframe only complicates the situation – the logframe includes more than 50 indicators, some of which have up to </w:t>
      </w:r>
      <w:r w:rsidR="00AB4D79" w:rsidRPr="00595792">
        <w:t xml:space="preserve">five target values, and sometimes specified by individual years of project implementation (e.g. “End of year 1”, “End of year 2”, etc.). </w:t>
      </w:r>
      <w:r w:rsidR="00F77CDC" w:rsidRPr="00602E30">
        <w:t>In addition, many of t</w:t>
      </w:r>
      <w:r w:rsidR="00F12D9B" w:rsidRPr="002A69B7">
        <w:t xml:space="preserve">he logframe indicators and targets do not fully meet SMART criteria, though </w:t>
      </w:r>
      <w:r w:rsidR="0030118A" w:rsidRPr="002C744B">
        <w:t xml:space="preserve">they </w:t>
      </w:r>
      <w:r w:rsidR="00F12D9B" w:rsidRPr="00C56966">
        <w:t xml:space="preserve">do facilitate some assessment of project results. </w:t>
      </w:r>
      <w:r w:rsidR="0032004E" w:rsidRPr="002D3949">
        <w:t>The logframe includes a number of impact level indicators, which is an impo</w:t>
      </w:r>
      <w:r w:rsidR="0032004E" w:rsidRPr="000A3C73">
        <w:t>rtant element for assessing long-term results.</w:t>
      </w:r>
    </w:p>
    <w:p w:rsidR="0032004E" w:rsidRPr="00AA7D1F" w:rsidRDefault="00F77CDC" w:rsidP="00AD5313">
      <w:pPr>
        <w:pStyle w:val="BodyText"/>
      </w:pPr>
      <w:r w:rsidRPr="000A3C73">
        <w:t xml:space="preserve">To support linkage with GEF </w:t>
      </w:r>
      <w:r w:rsidR="00737A58" w:rsidRPr="000A3C73">
        <w:t xml:space="preserve">biodiversity </w:t>
      </w:r>
      <w:r w:rsidRPr="000A3C73">
        <w:t xml:space="preserve">focal area strategic results frameworks, the project included application of the protected area Management Effectiveness Tracking Tool for four protected areas in the Prespa Basin: Prespa National Park (Albania), </w:t>
      </w:r>
      <w:r w:rsidR="00D4199C" w:rsidRPr="0089284E">
        <w:rPr>
          <w:u w:val="single"/>
        </w:rPr>
        <w:t>Galičica</w:t>
      </w:r>
      <w:r w:rsidRPr="000A3C73">
        <w:t xml:space="preserve"> National Park (Macedonia), Ezerani protected area (Macedonia), </w:t>
      </w:r>
      <w:r w:rsidR="003B489C" w:rsidRPr="000A3C73">
        <w:t xml:space="preserve">Prespa National Park (Greece). The target value for the METT was an increase of 40% in the METT score by the end of the project. In the PIR METT scores are only reported for Prespa National Park Albania, with an increase of approximately 20% (31 to 37) and Ezerani protected area, with an increase of 31% (raw score not reported). </w:t>
      </w:r>
      <w:r w:rsidR="00737A58" w:rsidRPr="000A3C73">
        <w:t>The project actually covers the GEF biodiversity strategic priorities related to both protected areas and “mainstreaming”</w:t>
      </w:r>
      <w:r w:rsidR="00C4126C" w:rsidRPr="000A3C73">
        <w:t xml:space="preserve"> (as discussed in Section </w:t>
      </w:r>
      <w:r w:rsidR="008269C6" w:rsidRPr="00AA7D1F">
        <w:fldChar w:fldCharType="begin"/>
      </w:r>
      <w:r w:rsidR="00C4126C" w:rsidRPr="000A3C73">
        <w:instrText xml:space="preserve"> REF _Ref209869116 \w \h </w:instrText>
      </w:r>
      <w:r w:rsidR="008269C6" w:rsidRPr="00AA7D1F">
        <w:fldChar w:fldCharType="separate"/>
      </w:r>
      <w:r w:rsidR="006E18A7" w:rsidRPr="00AA7D1F">
        <w:t>IV.D.iii</w:t>
      </w:r>
      <w:r w:rsidR="008269C6" w:rsidRPr="00AA7D1F">
        <w:fldChar w:fldCharType="end"/>
      </w:r>
      <w:r w:rsidR="00C4126C" w:rsidRPr="00FC657B">
        <w:t xml:space="preserve"> on relevance to GEF strategies and priorities)</w:t>
      </w:r>
      <w:r w:rsidR="00737A58" w:rsidRPr="00D77DF1">
        <w:t xml:space="preserve">. </w:t>
      </w:r>
      <w:r w:rsidR="00640AD6" w:rsidRPr="00CD42DE">
        <w:t>Addit</w:t>
      </w:r>
      <w:r w:rsidR="00640AD6" w:rsidRPr="00AA7D1F">
        <w:t xml:space="preserve">ional indicators related to mainstreaming are further highlighted Section </w:t>
      </w:r>
      <w:r w:rsidR="008269C6" w:rsidRPr="00AA7D1F">
        <w:fldChar w:fldCharType="begin"/>
      </w:r>
      <w:r w:rsidR="00640AD6" w:rsidRPr="000A3C73">
        <w:instrText xml:space="preserve"> REF _Ref148720726 \w \h </w:instrText>
      </w:r>
      <w:r w:rsidR="008269C6" w:rsidRPr="00AA7D1F">
        <w:fldChar w:fldCharType="separate"/>
      </w:r>
      <w:r w:rsidR="006E18A7" w:rsidRPr="00AA7D1F">
        <w:t>VI.D</w:t>
      </w:r>
      <w:r w:rsidR="008269C6" w:rsidRPr="00AA7D1F">
        <w:fldChar w:fldCharType="end"/>
      </w:r>
      <w:r w:rsidR="00640AD6" w:rsidRPr="00FC657B">
        <w:t xml:space="preserve"> below on impacts, but include hectares of forest and hectares of priority habitat under improved management for biodiversity. The documented project</w:t>
      </w:r>
      <w:r w:rsidR="00640AD6" w:rsidRPr="00D77DF1">
        <w:t xml:space="preserve"> contribution to these indicators is approximately 165 hectares of forest habitat (Macedonia) and 40 hectares of lake habitat (Albania), though the project’s contribution to reducing agricultural inputs in many apple orchards in Macedonia should also be co</w:t>
      </w:r>
      <w:r w:rsidR="00640AD6" w:rsidRPr="00CD42DE">
        <w:t xml:space="preserve">nsidered, but this figure is not documented. </w:t>
      </w:r>
    </w:p>
    <w:p w:rsidR="00FB3FE3" w:rsidRPr="000A3C73" w:rsidRDefault="00C4126C" w:rsidP="00AD5313">
      <w:pPr>
        <w:pStyle w:val="BodyText"/>
      </w:pPr>
      <w:r w:rsidRPr="005E69C8">
        <w:t>At the time the Prespa IEM project was desig</w:t>
      </w:r>
      <w:r w:rsidRPr="008B7E9A">
        <w:t>ned there wasn’t a GEF international waters focal areas results framework with specific indicators, targets and outputs (as is there is presently), and obviously the current GEF International Waters Tracking Tool was not included in the project’s M&amp;E frame</w:t>
      </w:r>
      <w:r w:rsidRPr="000126EE">
        <w:t xml:space="preserve">work. For the GEF-5 international waters results framework, the project contributes </w:t>
      </w:r>
      <w:r w:rsidR="00E710B3" w:rsidRPr="00B71D27">
        <w:t xml:space="preserve">to </w:t>
      </w:r>
      <w:r w:rsidR="00FB3FE3" w:rsidRPr="00595792">
        <w:t>Objective 1</w:t>
      </w:r>
      <w:r w:rsidR="00E710B3" w:rsidRPr="00602E30">
        <w:t xml:space="preserve">: </w:t>
      </w:r>
      <w:r w:rsidR="00E710B3" w:rsidRPr="002A69B7">
        <w:rPr>
          <w:i/>
        </w:rPr>
        <w:t>Catalyze multi-state cooperation to balance conflicting water uses</w:t>
      </w:r>
      <w:r w:rsidR="00E710B3" w:rsidRPr="002C744B">
        <w:rPr>
          <w:i/>
        </w:rPr>
        <w:t xml:space="preserve"> in transboundary surface and groundwater basins while considering climatic variability and change</w:t>
      </w:r>
      <w:r w:rsidR="00E710B3" w:rsidRPr="00C56966">
        <w:t>.</w:t>
      </w:r>
      <w:r w:rsidR="00FB3FE3" w:rsidRPr="002D3949">
        <w:t xml:space="preserve"> The project contributes </w:t>
      </w:r>
      <w:r w:rsidRPr="000A3C73">
        <w:t xml:space="preserve">to </w:t>
      </w:r>
      <w:r w:rsidR="00FB3FE3" w:rsidRPr="000A3C73">
        <w:t>the following outcomes and indicators, at least partially, in a qualitative manner:</w:t>
      </w:r>
    </w:p>
    <w:p w:rsidR="00FB3FE3" w:rsidRPr="000A3C73" w:rsidRDefault="00FB3FE3" w:rsidP="000A0F25">
      <w:pPr>
        <w:pStyle w:val="BodyText"/>
        <w:numPr>
          <w:ilvl w:val="0"/>
          <w:numId w:val="26"/>
        </w:numPr>
        <w:rPr>
          <w:i/>
        </w:rPr>
      </w:pPr>
      <w:r w:rsidRPr="000A3C73">
        <w:rPr>
          <w:i/>
        </w:rPr>
        <w:t>Outcome 1.1: Implementation of agreed Strategic Action Programs (SAPs) incorporates transboundary IWRM principles (including environment and groundwater) and policy/legal/institutional reforms into national/local plans.</w:t>
      </w:r>
    </w:p>
    <w:p w:rsidR="00FB3FE3" w:rsidRPr="000A3C73" w:rsidRDefault="00FB3FE3" w:rsidP="000A0F25">
      <w:pPr>
        <w:pStyle w:val="BodyText"/>
        <w:numPr>
          <w:ilvl w:val="1"/>
          <w:numId w:val="26"/>
        </w:numPr>
        <w:rPr>
          <w:i/>
        </w:rPr>
      </w:pPr>
      <w:r w:rsidRPr="000A3C73">
        <w:rPr>
          <w:i/>
        </w:rPr>
        <w:t>1.1: Implementation of national/local reforms; functioning of national inter-ministry committees</w:t>
      </w:r>
      <w:r w:rsidR="001F6708" w:rsidRPr="000A3C73">
        <w:rPr>
          <w:i/>
        </w:rPr>
        <w:t>.</w:t>
      </w:r>
    </w:p>
    <w:p w:rsidR="00FB3FE3" w:rsidRPr="000A3C73" w:rsidRDefault="00FB3FE3" w:rsidP="000A0F25">
      <w:pPr>
        <w:pStyle w:val="BodyText"/>
        <w:numPr>
          <w:ilvl w:val="0"/>
          <w:numId w:val="26"/>
        </w:numPr>
        <w:rPr>
          <w:i/>
        </w:rPr>
      </w:pPr>
      <w:r w:rsidRPr="000A3C73">
        <w:rPr>
          <w:i/>
        </w:rPr>
        <w:t>Outcome 1.2: Transboundary institutions for joint ecosystem-based and adaptive management demonstrate sustainability</w:t>
      </w:r>
      <w:r w:rsidR="001F6708" w:rsidRPr="000A3C73">
        <w:rPr>
          <w:i/>
        </w:rPr>
        <w:t>.</w:t>
      </w:r>
    </w:p>
    <w:p w:rsidR="00FB3FE3" w:rsidRPr="000A3C73" w:rsidRDefault="00FB3FE3" w:rsidP="000A0F25">
      <w:pPr>
        <w:pStyle w:val="BodyText"/>
        <w:numPr>
          <w:ilvl w:val="1"/>
          <w:numId w:val="26"/>
        </w:numPr>
        <w:rPr>
          <w:i/>
        </w:rPr>
      </w:pPr>
      <w:r w:rsidRPr="000A3C73">
        <w:rPr>
          <w:i/>
        </w:rPr>
        <w:t>1.2: Cooperation frameworks adopted and states contribute to financial sustainability</w:t>
      </w:r>
      <w:r w:rsidR="001F6708" w:rsidRPr="000A3C73">
        <w:rPr>
          <w:i/>
        </w:rPr>
        <w:t>.</w:t>
      </w:r>
    </w:p>
    <w:p w:rsidR="00FB3FE3" w:rsidRPr="000A3C73" w:rsidRDefault="00FB3FE3" w:rsidP="000A0F25">
      <w:pPr>
        <w:pStyle w:val="BodyText"/>
        <w:numPr>
          <w:ilvl w:val="0"/>
          <w:numId w:val="26"/>
        </w:numPr>
        <w:rPr>
          <w:i/>
        </w:rPr>
      </w:pPr>
      <w:r w:rsidRPr="000A3C73">
        <w:rPr>
          <w:i/>
        </w:rPr>
        <w:t>Outcome 1.3: Innovative solutions implemented for reduced pollution, improved water use efficiency, sustainable fisheries with rights-based management, IWRM, and aquifer and catchment protection</w:t>
      </w:r>
      <w:r w:rsidR="001F6708" w:rsidRPr="000A3C73">
        <w:rPr>
          <w:i/>
        </w:rPr>
        <w:t>.</w:t>
      </w:r>
    </w:p>
    <w:p w:rsidR="00C4126C" w:rsidRPr="000A3C73" w:rsidRDefault="00FB3FE3" w:rsidP="000A0F25">
      <w:pPr>
        <w:pStyle w:val="BodyText"/>
        <w:numPr>
          <w:ilvl w:val="1"/>
          <w:numId w:val="26"/>
        </w:numPr>
        <w:rPr>
          <w:i/>
        </w:rPr>
      </w:pPr>
      <w:r w:rsidRPr="000A3C73">
        <w:rPr>
          <w:i/>
        </w:rPr>
        <w:t>1.3: Measureable water-related results from local demonstrations</w:t>
      </w:r>
      <w:r w:rsidR="00E710B3" w:rsidRPr="000A3C73">
        <w:rPr>
          <w:i/>
        </w:rPr>
        <w:t>.</w:t>
      </w:r>
    </w:p>
    <w:p w:rsidR="001009A0" w:rsidRPr="000A3C73" w:rsidRDefault="00B41E00" w:rsidP="005371F3">
      <w:pPr>
        <w:pStyle w:val="Heading3"/>
        <w:ind w:left="1440"/>
      </w:pPr>
      <w:bookmarkStart w:id="160" w:name="_Toc152154295"/>
      <w:bookmarkStart w:id="161" w:name="_Ref183000009"/>
      <w:bookmarkStart w:id="162" w:name="_Toc238551087"/>
      <w:r w:rsidRPr="000A3C73">
        <w:t>Environmental Monitoring</w:t>
      </w:r>
      <w:bookmarkEnd w:id="160"/>
      <w:bookmarkEnd w:id="161"/>
      <w:bookmarkEnd w:id="162"/>
    </w:p>
    <w:p w:rsidR="00D57531" w:rsidRPr="000126EE" w:rsidRDefault="006077BF" w:rsidP="00515028">
      <w:pPr>
        <w:pStyle w:val="BodyText"/>
      </w:pPr>
      <w:r w:rsidRPr="000A3C73">
        <w:t xml:space="preserve">Environmental monitoring is critical for assessing impact-level results, as well as for effective decision-making related to the management of the environment and of natural resources. As the Prespa IEM project had specific activities related to environmental monitoring, this has already been discussed under Output 3.1, of Section </w:t>
      </w:r>
      <w:r w:rsidR="008269C6" w:rsidRPr="00AA7D1F">
        <w:fldChar w:fldCharType="begin"/>
      </w:r>
      <w:r w:rsidRPr="000A3C73">
        <w:instrText xml:space="preserve"> REF _Ref209518142 \w \h </w:instrText>
      </w:r>
      <w:r w:rsidR="008269C6" w:rsidRPr="00AA7D1F">
        <w:fldChar w:fldCharType="separate"/>
      </w:r>
      <w:r w:rsidR="006E18A7" w:rsidRPr="00AA7D1F">
        <w:t>V.B.iii</w:t>
      </w:r>
      <w:r w:rsidR="008269C6" w:rsidRPr="00AA7D1F">
        <w:fldChar w:fldCharType="end"/>
      </w:r>
      <w:r w:rsidR="0040397A" w:rsidRPr="00FC657B">
        <w:t xml:space="preserve"> </w:t>
      </w:r>
      <w:r w:rsidR="00914BBF" w:rsidRPr="00D77DF1">
        <w:t xml:space="preserve"> </w:t>
      </w:r>
      <w:r w:rsidR="00E060E8" w:rsidRPr="00CD42DE">
        <w:t>(</w:t>
      </w:r>
      <w:r w:rsidRPr="00AA7D1F">
        <w:t>Outcome 3</w:t>
      </w:r>
      <w:r w:rsidR="00E060E8" w:rsidRPr="005E69C8">
        <w:t xml:space="preserve"> results)</w:t>
      </w:r>
      <w:r w:rsidRPr="008B7E9A">
        <w:t xml:space="preserve">. </w:t>
      </w:r>
    </w:p>
    <w:p w:rsidR="00EA50B6" w:rsidRPr="00595792" w:rsidRDefault="00B41E00" w:rsidP="00B41E00">
      <w:pPr>
        <w:pStyle w:val="Heading2"/>
        <w:ind w:left="1080" w:hanging="360"/>
      </w:pPr>
      <w:bookmarkStart w:id="163" w:name="_Ref148720726"/>
      <w:bookmarkStart w:id="164" w:name="_Toc152154296"/>
      <w:bookmarkStart w:id="165" w:name="_Toc238551088"/>
      <w:r w:rsidRPr="00B71D27">
        <w:t>Project Impacts and Global Environmental Benefits</w:t>
      </w:r>
      <w:bookmarkEnd w:id="163"/>
      <w:bookmarkEnd w:id="164"/>
      <w:bookmarkEnd w:id="165"/>
    </w:p>
    <w:p w:rsidR="00401455" w:rsidRPr="000A3C73" w:rsidRDefault="0047793A" w:rsidP="00401455">
      <w:pPr>
        <w:pStyle w:val="BodyText"/>
      </w:pPr>
      <w:r w:rsidRPr="00602E30">
        <w:t xml:space="preserve">For the GEF biodiversity focal area </w:t>
      </w:r>
      <w:r w:rsidRPr="002A69B7">
        <w:t xml:space="preserve">project </w:t>
      </w:r>
      <w:r w:rsidRPr="002C744B">
        <w:rPr>
          <w:i/>
          <w:u w:val="single"/>
        </w:rPr>
        <w:t>impacts</w:t>
      </w:r>
      <w:r w:rsidRPr="00C56966">
        <w:t xml:space="preserve"> are defined as documented changes in environmental status of species, ecosystems or genetic biodiversity resources. </w:t>
      </w:r>
      <w:r w:rsidRPr="002D3949">
        <w:rPr>
          <w:i/>
          <w:u w:val="single"/>
        </w:rPr>
        <w:t>Global Environmental Benefits</w:t>
      </w:r>
      <w:r w:rsidRPr="000A3C73">
        <w:t xml:space="preserve"> in the biodiversity focal area have not been explicitly defined, but are generally considered to involve sustained impact level results of a certain scale or significance. </w:t>
      </w:r>
      <w:r w:rsidR="00940956" w:rsidRPr="000A3C73">
        <w:t xml:space="preserve">For the international waters focal area, global benefits are considered the improved quality and management of globally significant transboundary water resources. </w:t>
      </w:r>
    </w:p>
    <w:p w:rsidR="00940956" w:rsidRPr="000A3C73" w:rsidRDefault="00940956" w:rsidP="00401455">
      <w:pPr>
        <w:pStyle w:val="BodyText"/>
      </w:pPr>
      <w:r w:rsidRPr="000A3C73">
        <w:t xml:space="preserve">The Prespa IEM project document identified the expected global benefits as: </w:t>
      </w:r>
    </w:p>
    <w:p w:rsidR="00940956" w:rsidRPr="0089284E" w:rsidRDefault="00940956" w:rsidP="000A0F25">
      <w:pPr>
        <w:pStyle w:val="BodyText"/>
        <w:numPr>
          <w:ilvl w:val="0"/>
          <w:numId w:val="24"/>
        </w:numPr>
      </w:pPr>
      <w:r w:rsidRPr="0089284E">
        <w:t>Globally significant biological diversity in terms of significant populations of migratory birdlife, endemic species, and rare habitats is conserved by applying new partnerships, resources and re-oriented resource management;</w:t>
      </w:r>
    </w:p>
    <w:p w:rsidR="00940956" w:rsidRPr="0089284E" w:rsidRDefault="00940956" w:rsidP="000A0F25">
      <w:pPr>
        <w:pStyle w:val="BodyText"/>
        <w:numPr>
          <w:ilvl w:val="0"/>
          <w:numId w:val="24"/>
        </w:numPr>
      </w:pPr>
      <w:r w:rsidRPr="0089284E">
        <w:t>Trans-boundary water resources are conserved and sustainably managed;</w:t>
      </w:r>
    </w:p>
    <w:p w:rsidR="00940956" w:rsidRPr="0089284E" w:rsidRDefault="00940956" w:rsidP="000A0F25">
      <w:pPr>
        <w:pStyle w:val="BodyText"/>
        <w:numPr>
          <w:ilvl w:val="0"/>
          <w:numId w:val="24"/>
        </w:numPr>
      </w:pPr>
      <w:r w:rsidRPr="0089284E">
        <w:t>Global indirect use values, future use values and existence values are secured;</w:t>
      </w:r>
    </w:p>
    <w:p w:rsidR="00940956" w:rsidRPr="00FC657B" w:rsidRDefault="00940956" w:rsidP="000A0F25">
      <w:pPr>
        <w:pStyle w:val="BodyText"/>
        <w:numPr>
          <w:ilvl w:val="0"/>
          <w:numId w:val="24"/>
        </w:numPr>
      </w:pPr>
      <w:r w:rsidRPr="0089284E">
        <w:t>Lessons learned at the local level contribute to global body of knowledge and experience.</w:t>
      </w:r>
    </w:p>
    <w:p w:rsidR="002C4654" w:rsidRPr="005E69C8" w:rsidRDefault="002C4654" w:rsidP="002A664A">
      <w:pPr>
        <w:pStyle w:val="BodyText"/>
      </w:pPr>
      <w:r w:rsidRPr="00FC657B">
        <w:t>Achievement of glob</w:t>
      </w:r>
      <w:r w:rsidRPr="00D77DF1">
        <w:t xml:space="preserve">al benefits implies impact level results at a certain scale. For the Prespa IEM project there have likely been some site-level impacts, but these have not yet reached the scale of global benefits, which would be considered an improvement in </w:t>
      </w:r>
      <w:r w:rsidR="004F243E" w:rsidRPr="00CD42DE">
        <w:t>water quality t</w:t>
      </w:r>
      <w:r w:rsidR="007A7FAF" w:rsidRPr="00AA7D1F">
        <w:t xml:space="preserve">hroughout Prespa lakes, and improvements in the ecosystems within the entire watershed. </w:t>
      </w:r>
    </w:p>
    <w:p w:rsidR="00BC3C43" w:rsidRPr="00B71D27" w:rsidRDefault="00BC3C43" w:rsidP="002A664A">
      <w:pPr>
        <w:pStyle w:val="BodyText"/>
      </w:pPr>
      <w:r w:rsidRPr="008B7E9A">
        <w:t>T</w:t>
      </w:r>
      <w:r w:rsidRPr="000126EE">
        <w:t>here are a number of site-level impacts, but there is unfortunately no adequate monitoring data to accurately quantify the impacts, so identification of impacts must rely on anecdotal and theory-based assessments. In Macedonia, impact level results include</w:t>
      </w:r>
      <w:r w:rsidRPr="00B71D27">
        <w:t>:</w:t>
      </w:r>
    </w:p>
    <w:p w:rsidR="001A4887" w:rsidRPr="000A3C73" w:rsidRDefault="00BC3C43" w:rsidP="000A0F25">
      <w:pPr>
        <w:pStyle w:val="BodyText"/>
        <w:numPr>
          <w:ilvl w:val="0"/>
          <w:numId w:val="25"/>
        </w:numPr>
      </w:pPr>
      <w:r w:rsidRPr="00595792">
        <w:t>R</w:t>
      </w:r>
      <w:r w:rsidR="0085402A" w:rsidRPr="00602E30">
        <w:t xml:space="preserve">estoration of </w:t>
      </w:r>
      <w:r w:rsidR="002405FF" w:rsidRPr="002A69B7">
        <w:t>approximately 1</w:t>
      </w:r>
      <w:r w:rsidRPr="002C744B">
        <w:t xml:space="preserve"> km of </w:t>
      </w:r>
      <w:r w:rsidR="0085402A" w:rsidRPr="00C56966">
        <w:t>Golema Reka</w:t>
      </w:r>
      <w:r w:rsidRPr="002D3949">
        <w:t xml:space="preserve"> tributary, one of the four main inputs to Macro Prespa lake</w:t>
      </w:r>
      <w:r w:rsidR="0085402A" w:rsidRPr="000A3C73">
        <w:t xml:space="preserve">. </w:t>
      </w:r>
      <w:r w:rsidRPr="000A3C73">
        <w:t xml:space="preserve">This </w:t>
      </w:r>
      <w:r w:rsidRPr="002B5B37">
        <w:t xml:space="preserve">section of Golema Reka runs through the “industrial” zone of Resen municipality, and as part of the restoration </w:t>
      </w:r>
      <w:r w:rsidRPr="0089284E">
        <w:t>tons</w:t>
      </w:r>
      <w:r w:rsidRPr="002B5B37">
        <w:t xml:space="preserve"> of waste material was removed from the </w:t>
      </w:r>
      <w:r w:rsidR="007A0D04" w:rsidRPr="002B5B37">
        <w:t>streambed</w:t>
      </w:r>
      <w:r w:rsidRPr="002B5B37">
        <w:t xml:space="preserve">, and </w:t>
      </w:r>
      <w:r w:rsidRPr="0089284E">
        <w:t>a number</w:t>
      </w:r>
      <w:r w:rsidRPr="002B5B37">
        <w:t xml:space="preserve"> of illegal waste discharge outputs were connected to the </w:t>
      </w:r>
      <w:r w:rsidR="007A0D04" w:rsidRPr="002B5B37">
        <w:t>wastewater</w:t>
      </w:r>
      <w:r w:rsidRPr="002B5B37">
        <w:t xml:space="preserve"> treatment system. </w:t>
      </w:r>
      <w:r w:rsidR="0085402A" w:rsidRPr="002B5B37">
        <w:t>Unfortunately there was no regular water quality monitoring data prior to the restorat</w:t>
      </w:r>
      <w:r w:rsidR="0085402A" w:rsidRPr="000A3C73">
        <w:t xml:space="preserve">ion so it is not possible to clearly document the improvement from the project’s intervention, but the removal of the waste during the restoration, and the shifting of industrial waste outputs to the water treatment system </w:t>
      </w:r>
      <w:r w:rsidRPr="000A3C73">
        <w:t>had clear positive benefits.</w:t>
      </w:r>
    </w:p>
    <w:p w:rsidR="005117DD" w:rsidRPr="000A3C73" w:rsidRDefault="005117DD" w:rsidP="000A0F25">
      <w:pPr>
        <w:pStyle w:val="BodyText"/>
        <w:numPr>
          <w:ilvl w:val="0"/>
          <w:numId w:val="25"/>
        </w:numPr>
      </w:pPr>
      <w:r w:rsidRPr="000A3C73">
        <w:t xml:space="preserve">Implementation of the agromet system to assist farmers in more efficient application of agricultural inputs. This system has reduced the fertilizers and pesticides farmers apply to their apple orchards in the areas surrounding Prespa lake, but according to stakeholders, the overall amount of pesticides sold in the region has not decreased because </w:t>
      </w:r>
      <w:r w:rsidR="003D708B" w:rsidRPr="000A3C73">
        <w:t xml:space="preserve">new farmers are entering the market. Nonetheless, without the project investments there would be more agricultural inputs entering the system. It is unknown what percentage decrease this represents </w:t>
      </w:r>
      <w:r w:rsidR="00307253" w:rsidRPr="000A3C73">
        <w:t xml:space="preserve">for the overall system </w:t>
      </w:r>
      <w:r w:rsidR="003D708B" w:rsidRPr="000A3C73">
        <w:t xml:space="preserve">compared to the baseline scenario. </w:t>
      </w:r>
    </w:p>
    <w:p w:rsidR="001831E5" w:rsidRPr="000A3C73" w:rsidRDefault="001831E5" w:rsidP="000A0F25">
      <w:pPr>
        <w:pStyle w:val="BodyText"/>
        <w:numPr>
          <w:ilvl w:val="0"/>
          <w:numId w:val="25"/>
        </w:numPr>
      </w:pPr>
      <w:r w:rsidRPr="000A3C73">
        <w:t>Implementation of a system of agricultural input waste collection – the project helped catalyze a system for proper disposal of packaging from fertilizers and pesticides, which will reduce excess d</w:t>
      </w:r>
      <w:r w:rsidR="00CD218A" w:rsidRPr="000A3C73">
        <w:t>ischarges into the environment.</w:t>
      </w:r>
      <w:r w:rsidR="00955CAB" w:rsidRPr="000A3C73">
        <w:t xml:space="preserve"> In addition, the project supported a feasibility study to assess the collection and disposal of organic waste (excess apple supply) that is currently discharged to the environment, which catalyzed additional funding from SDC to construct a high quality compost facility (</w:t>
      </w:r>
      <w:r w:rsidR="00E25677" w:rsidRPr="000A3C73">
        <w:t>expected completion in 2013</w:t>
      </w:r>
      <w:r w:rsidR="00955CAB" w:rsidRPr="000A3C73">
        <w:t xml:space="preserve">). </w:t>
      </w:r>
    </w:p>
    <w:p w:rsidR="00CD218A" w:rsidRPr="000A3C73" w:rsidRDefault="00CD218A" w:rsidP="000A0F25">
      <w:pPr>
        <w:pStyle w:val="BodyText"/>
        <w:numPr>
          <w:ilvl w:val="0"/>
          <w:numId w:val="25"/>
        </w:numPr>
      </w:pPr>
      <w:r w:rsidRPr="000A3C73">
        <w:t xml:space="preserve">Improved management of Ezerani protected area. The steps taken thus far to re-organize and re-establish Ezerani protected area has reduced threats to this site from local resource users, and as the Municipality of Resen assumes active management and implementation of the management plan, this should lead to improved </w:t>
      </w:r>
      <w:r w:rsidR="004A0804" w:rsidRPr="000A3C73">
        <w:t xml:space="preserve">environmental </w:t>
      </w:r>
      <w:r w:rsidRPr="000A3C73">
        <w:t xml:space="preserve">status of the area. </w:t>
      </w:r>
    </w:p>
    <w:p w:rsidR="007B3EB5" w:rsidRPr="000A3C73" w:rsidRDefault="00AE2DBD" w:rsidP="00AE2DBD">
      <w:pPr>
        <w:pStyle w:val="BodyText"/>
      </w:pPr>
      <w:r w:rsidRPr="000A3C73">
        <w:t>In Albania, the 2012 PIR provides the following summary information regarding some site-level impacts: “</w:t>
      </w:r>
      <w:r w:rsidR="007B3EB5" w:rsidRPr="000A3C73">
        <w:t>In about 3.9 km</w:t>
      </w:r>
      <w:r w:rsidR="007B3EB5" w:rsidRPr="000A3C73">
        <w:rPr>
          <w:vertAlign w:val="superscript"/>
        </w:rPr>
        <w:t>2</w:t>
      </w:r>
      <w:r w:rsidR="007B3EB5" w:rsidRPr="000A3C73">
        <w:t xml:space="preserve"> of the AL Prespa Lake, 1000 ml of fish and eel traps, metallic nets, are removed. More than 500ml of existing channels maintained opened and cleaned from reeds. The area affected from this activity encompasses</w:t>
      </w:r>
      <w:r w:rsidRPr="000A3C73">
        <w:t xml:space="preserve"> around 15 ha or reeds habitats.”</w:t>
      </w:r>
    </w:p>
    <w:p w:rsidR="00E25677" w:rsidRPr="000A3C73" w:rsidRDefault="00E25677" w:rsidP="00AE2DBD">
      <w:pPr>
        <w:pStyle w:val="BodyText"/>
      </w:pPr>
      <w:r w:rsidRPr="000A3C73">
        <w:t xml:space="preserve">There were </w:t>
      </w:r>
      <w:r w:rsidR="009C65B1" w:rsidRPr="000A3C73">
        <w:t>multiple</w:t>
      </w:r>
      <w:r w:rsidRPr="000A3C73">
        <w:t xml:space="preserve"> impact level indicators included in the project logframe, as shown in </w:t>
      </w:r>
      <w:r w:rsidR="008269C6" w:rsidRPr="00206E7A">
        <w:fldChar w:fldCharType="begin"/>
      </w:r>
      <w:r w:rsidR="003D543F" w:rsidRPr="000A3C73">
        <w:instrText xml:space="preserve"> REF _Ref209856318 \h </w:instrText>
      </w:r>
      <w:r w:rsidR="008269C6" w:rsidRPr="00206E7A">
        <w:fldChar w:fldCharType="separate"/>
      </w:r>
      <w:r w:rsidR="006E18A7" w:rsidRPr="000A3C73">
        <w:t xml:space="preserve">Table </w:t>
      </w:r>
      <w:r w:rsidR="006E18A7" w:rsidRPr="000A3C73">
        <w:rPr>
          <w:noProof/>
        </w:rPr>
        <w:t>13</w:t>
      </w:r>
      <w:r w:rsidR="008269C6" w:rsidRPr="00206E7A">
        <w:fldChar w:fldCharType="end"/>
      </w:r>
      <w:r w:rsidR="003D543F" w:rsidRPr="000A3C73">
        <w:t xml:space="preserve"> below.</w:t>
      </w:r>
    </w:p>
    <w:p w:rsidR="00E668E0" w:rsidRPr="000A3C73" w:rsidRDefault="00E668E0" w:rsidP="00E668E0">
      <w:pPr>
        <w:pStyle w:val="Caption"/>
      </w:pPr>
      <w:bookmarkStart w:id="166" w:name="_Ref209856318"/>
      <w:r w:rsidRPr="000A3C73">
        <w:t xml:space="preserve">Table </w:t>
      </w:r>
      <w:r w:rsidR="008269C6" w:rsidRPr="00552EEF">
        <w:fldChar w:fldCharType="begin"/>
      </w:r>
      <w:r w:rsidR="00CF23E9" w:rsidRPr="000A3C73">
        <w:instrText xml:space="preserve"> SEQ Table \* ARABIC </w:instrText>
      </w:r>
      <w:r w:rsidR="008269C6" w:rsidRPr="00552EEF">
        <w:fldChar w:fldCharType="separate"/>
      </w:r>
      <w:r w:rsidR="006E18A7" w:rsidRPr="000A3C73">
        <w:rPr>
          <w:noProof/>
        </w:rPr>
        <w:t>13</w:t>
      </w:r>
      <w:r w:rsidR="008269C6" w:rsidRPr="00552EEF">
        <w:rPr>
          <w:noProof/>
        </w:rPr>
        <w:fldChar w:fldCharType="end"/>
      </w:r>
      <w:bookmarkEnd w:id="166"/>
      <w:r w:rsidRPr="000A3C73">
        <w:t xml:space="preserve"> Prespa IEM Project Impact Indicators and Level of Achievement</w:t>
      </w:r>
      <w:r w:rsidRPr="000A3C73">
        <w:rPr>
          <w:rStyle w:val="FootnoteReference"/>
        </w:rPr>
        <w:footnoteReference w:id="31"/>
      </w:r>
    </w:p>
    <w:tbl>
      <w:tblPr>
        <w:tblStyle w:val="TableGrid"/>
        <w:tblW w:w="0" w:type="auto"/>
        <w:tblLook w:val="04A0"/>
      </w:tblPr>
      <w:tblGrid>
        <w:gridCol w:w="2628"/>
        <w:gridCol w:w="3690"/>
        <w:gridCol w:w="3258"/>
      </w:tblGrid>
      <w:tr w:rsidR="00F82A87" w:rsidRPr="000A3C73" w:rsidTr="00495F06">
        <w:trPr>
          <w:trHeight w:val="63"/>
          <w:tblHeader/>
        </w:trPr>
        <w:tc>
          <w:tcPr>
            <w:tcW w:w="2628" w:type="dxa"/>
            <w:shd w:val="clear" w:color="auto" w:fill="D9D9D9"/>
          </w:tcPr>
          <w:p w:rsidR="00E25677" w:rsidRPr="000A3C73" w:rsidRDefault="00E25677" w:rsidP="00E25677">
            <w:pPr>
              <w:pStyle w:val="BodyText"/>
              <w:numPr>
                <w:ilvl w:val="0"/>
                <w:numId w:val="0"/>
              </w:numPr>
              <w:rPr>
                <w:b/>
                <w:sz w:val="18"/>
                <w:szCs w:val="18"/>
              </w:rPr>
            </w:pPr>
            <w:r w:rsidRPr="000A3C73">
              <w:rPr>
                <w:b/>
                <w:sz w:val="18"/>
                <w:szCs w:val="18"/>
              </w:rPr>
              <w:t>Indicator</w:t>
            </w:r>
          </w:p>
        </w:tc>
        <w:tc>
          <w:tcPr>
            <w:tcW w:w="3690" w:type="dxa"/>
            <w:shd w:val="clear" w:color="auto" w:fill="D9D9D9"/>
          </w:tcPr>
          <w:p w:rsidR="00E25677" w:rsidRPr="000A3C73" w:rsidRDefault="00E25677" w:rsidP="00E25677">
            <w:pPr>
              <w:pStyle w:val="BodyText"/>
              <w:numPr>
                <w:ilvl w:val="0"/>
                <w:numId w:val="0"/>
              </w:numPr>
              <w:rPr>
                <w:b/>
                <w:sz w:val="18"/>
                <w:szCs w:val="18"/>
              </w:rPr>
            </w:pPr>
            <w:r w:rsidRPr="000A3C73">
              <w:rPr>
                <w:b/>
                <w:sz w:val="18"/>
                <w:szCs w:val="18"/>
              </w:rPr>
              <w:t>Target</w:t>
            </w:r>
          </w:p>
        </w:tc>
        <w:tc>
          <w:tcPr>
            <w:tcW w:w="3258" w:type="dxa"/>
            <w:shd w:val="clear" w:color="auto" w:fill="D9D9D9"/>
          </w:tcPr>
          <w:p w:rsidR="00E25677" w:rsidRPr="000A3C73" w:rsidRDefault="00E25677" w:rsidP="00E25677">
            <w:pPr>
              <w:pStyle w:val="BodyText"/>
              <w:numPr>
                <w:ilvl w:val="0"/>
                <w:numId w:val="0"/>
              </w:numPr>
              <w:rPr>
                <w:b/>
                <w:sz w:val="18"/>
                <w:szCs w:val="18"/>
              </w:rPr>
            </w:pPr>
            <w:r w:rsidRPr="000A3C73">
              <w:rPr>
                <w:b/>
                <w:sz w:val="18"/>
                <w:szCs w:val="18"/>
              </w:rPr>
              <w:t>Results</w:t>
            </w:r>
          </w:p>
        </w:tc>
      </w:tr>
      <w:tr w:rsidR="00F82A87" w:rsidRPr="000A3C73" w:rsidTr="00495F06">
        <w:tc>
          <w:tcPr>
            <w:tcW w:w="2628" w:type="dxa"/>
          </w:tcPr>
          <w:p w:rsidR="00E25677" w:rsidRPr="000A3C73" w:rsidRDefault="00E25677" w:rsidP="00541E8A">
            <w:pPr>
              <w:rPr>
                <w:rFonts w:asciiTheme="majorHAnsi" w:hAnsiTheme="majorHAnsi"/>
                <w:sz w:val="18"/>
                <w:szCs w:val="18"/>
              </w:rPr>
            </w:pPr>
            <w:r w:rsidRPr="000A3C73">
              <w:rPr>
                <w:rFonts w:asciiTheme="majorHAnsi" w:hAnsiTheme="majorHAnsi"/>
                <w:sz w:val="18"/>
                <w:szCs w:val="18"/>
              </w:rPr>
              <w:t>Three priority</w:t>
            </w:r>
            <w:r w:rsidR="00987734">
              <w:rPr>
                <w:rFonts w:asciiTheme="majorHAnsi" w:hAnsiTheme="majorHAnsi"/>
                <w:sz w:val="18"/>
                <w:szCs w:val="18"/>
              </w:rPr>
              <w:t xml:space="preserve"> </w:t>
            </w:r>
            <w:r w:rsidRPr="000A3C73">
              <w:rPr>
                <w:rFonts w:asciiTheme="majorHAnsi" w:hAnsiTheme="majorHAnsi"/>
                <w:sz w:val="18"/>
                <w:szCs w:val="18"/>
              </w:rPr>
              <w:t>streams (Ag. Germanos, Brajcino</w:t>
            </w:r>
            <w:r w:rsidR="00D163CA">
              <w:rPr>
                <w:rFonts w:asciiTheme="majorHAnsi" w:hAnsiTheme="majorHAnsi"/>
                <w:sz w:val="18"/>
                <w:szCs w:val="18"/>
              </w:rPr>
              <w:t xml:space="preserve"> </w:t>
            </w:r>
            <w:r w:rsidRPr="000A3C73">
              <w:rPr>
                <w:rFonts w:asciiTheme="majorHAnsi" w:hAnsiTheme="majorHAnsi"/>
                <w:sz w:val="18"/>
                <w:szCs w:val="18"/>
              </w:rPr>
              <w:t>&amp; Krani) and 1 tributary of Golema River (Leva stream) maintain environmental in- stream flow and</w:t>
            </w:r>
            <w:r w:rsidR="00987734">
              <w:rPr>
                <w:rFonts w:asciiTheme="majorHAnsi" w:hAnsiTheme="majorHAnsi"/>
                <w:sz w:val="18"/>
                <w:szCs w:val="18"/>
              </w:rPr>
              <w:t xml:space="preserve"> </w:t>
            </w:r>
            <w:r w:rsidRPr="000A3C73">
              <w:rPr>
                <w:rFonts w:asciiTheme="majorHAnsi" w:hAnsiTheme="majorHAnsi"/>
                <w:sz w:val="18"/>
                <w:szCs w:val="18"/>
              </w:rPr>
              <w:t>water quality as</w:t>
            </w:r>
            <w:r w:rsidR="00987734">
              <w:rPr>
                <w:rFonts w:asciiTheme="majorHAnsi" w:hAnsiTheme="majorHAnsi"/>
                <w:sz w:val="18"/>
                <w:szCs w:val="18"/>
              </w:rPr>
              <w:t xml:space="preserve"> </w:t>
            </w:r>
            <w:r w:rsidRPr="000A3C73">
              <w:rPr>
                <w:rFonts w:asciiTheme="majorHAnsi" w:hAnsiTheme="majorHAnsi"/>
                <w:sz w:val="18"/>
                <w:szCs w:val="18"/>
              </w:rPr>
              <w:t>appropriate for endemic trout (MK- GR*).</w:t>
            </w:r>
          </w:p>
        </w:tc>
        <w:tc>
          <w:tcPr>
            <w:tcW w:w="3690" w:type="dxa"/>
          </w:tcPr>
          <w:p w:rsidR="00E25677" w:rsidRPr="000A3C73" w:rsidRDefault="00E25677" w:rsidP="000D67FE">
            <w:pPr>
              <w:overflowPunct w:val="0"/>
              <w:autoSpaceDE w:val="0"/>
              <w:autoSpaceDN w:val="0"/>
              <w:adjustRightInd w:val="0"/>
              <w:textAlignment w:val="baseline"/>
              <w:rPr>
                <w:rFonts w:ascii="Calibri" w:hAnsi="Calibri"/>
                <w:color w:val="000000"/>
                <w:sz w:val="18"/>
                <w:szCs w:val="18"/>
                <w:lang w:eastAsia="cs-CZ"/>
              </w:rPr>
            </w:pPr>
            <w:r w:rsidRPr="000A3C73">
              <w:rPr>
                <w:rFonts w:ascii="Calibri" w:hAnsi="Calibri"/>
                <w:color w:val="000000"/>
                <w:sz w:val="18"/>
                <w:szCs w:val="18"/>
                <w:lang w:eastAsia="cs-CZ"/>
              </w:rPr>
              <w:t>Environmental flow requirements established by EoY 3.</w:t>
            </w:r>
          </w:p>
          <w:p w:rsidR="00E25677" w:rsidRPr="000A3C73" w:rsidRDefault="00E25677" w:rsidP="000D67FE">
            <w:pPr>
              <w:overflowPunct w:val="0"/>
              <w:autoSpaceDE w:val="0"/>
              <w:autoSpaceDN w:val="0"/>
              <w:adjustRightInd w:val="0"/>
              <w:textAlignment w:val="baseline"/>
              <w:rPr>
                <w:rFonts w:ascii="Calibri" w:hAnsi="Calibri"/>
                <w:color w:val="000000"/>
                <w:sz w:val="18"/>
                <w:szCs w:val="18"/>
                <w:lang w:eastAsia="cs-CZ"/>
              </w:rPr>
            </w:pPr>
            <w:r w:rsidRPr="000A3C73">
              <w:rPr>
                <w:rFonts w:ascii="Calibri" w:hAnsi="Calibri"/>
                <w:color w:val="000000"/>
                <w:sz w:val="18"/>
                <w:szCs w:val="18"/>
                <w:lang w:eastAsia="cs-CZ"/>
              </w:rPr>
              <w:t>Environmental flows maintained by end EoY5.</w:t>
            </w:r>
          </w:p>
          <w:p w:rsidR="00E25677" w:rsidRPr="000A3C73" w:rsidRDefault="00E25677" w:rsidP="000D67FE">
            <w:pPr>
              <w:overflowPunct w:val="0"/>
              <w:autoSpaceDE w:val="0"/>
              <w:autoSpaceDN w:val="0"/>
              <w:adjustRightInd w:val="0"/>
              <w:textAlignment w:val="baseline"/>
              <w:rPr>
                <w:rFonts w:ascii="Calibri" w:hAnsi="Calibri"/>
                <w:color w:val="000000"/>
                <w:sz w:val="18"/>
                <w:szCs w:val="18"/>
                <w:lang w:eastAsia="cs-CZ"/>
              </w:rPr>
            </w:pPr>
            <w:r w:rsidRPr="000A3C73">
              <w:rPr>
                <w:rFonts w:ascii="Calibri" w:hAnsi="Calibri"/>
                <w:color w:val="000000"/>
                <w:sz w:val="18"/>
                <w:szCs w:val="18"/>
                <w:lang w:eastAsia="cs-CZ"/>
              </w:rPr>
              <w:t>Water quality improved through reduced of agrochemicals use by EoY3</w:t>
            </w:r>
          </w:p>
          <w:p w:rsidR="00E25677" w:rsidRPr="000A3C73" w:rsidRDefault="00E25677" w:rsidP="000D67FE">
            <w:pPr>
              <w:overflowPunct w:val="0"/>
              <w:autoSpaceDE w:val="0"/>
              <w:autoSpaceDN w:val="0"/>
              <w:adjustRightInd w:val="0"/>
              <w:textAlignment w:val="baseline"/>
              <w:rPr>
                <w:rFonts w:ascii="Calibri" w:hAnsi="Calibri"/>
                <w:color w:val="000000"/>
                <w:sz w:val="18"/>
                <w:szCs w:val="18"/>
                <w:lang w:eastAsia="cs-CZ"/>
              </w:rPr>
            </w:pPr>
            <w:r w:rsidRPr="000A3C73">
              <w:rPr>
                <w:rFonts w:ascii="Calibri" w:hAnsi="Calibri"/>
                <w:color w:val="000000"/>
                <w:sz w:val="18"/>
                <w:szCs w:val="18"/>
                <w:lang w:eastAsia="cs-CZ"/>
              </w:rPr>
              <w:t>Application of small-scale waste water treatment by EoY4</w:t>
            </w:r>
          </w:p>
          <w:p w:rsidR="00E25677" w:rsidRPr="000A3C73" w:rsidRDefault="00E25677" w:rsidP="000D67FE">
            <w:pPr>
              <w:overflowPunct w:val="0"/>
              <w:autoSpaceDE w:val="0"/>
              <w:autoSpaceDN w:val="0"/>
              <w:adjustRightInd w:val="0"/>
              <w:textAlignment w:val="baseline"/>
              <w:rPr>
                <w:rFonts w:asciiTheme="majorHAnsi" w:hAnsiTheme="majorHAnsi"/>
                <w:sz w:val="18"/>
                <w:szCs w:val="18"/>
              </w:rPr>
            </w:pPr>
            <w:r w:rsidRPr="000A3C73">
              <w:rPr>
                <w:rFonts w:ascii="Calibri" w:hAnsi="Calibri"/>
                <w:color w:val="000000"/>
                <w:sz w:val="18"/>
                <w:szCs w:val="18"/>
                <w:lang w:eastAsia="cs-CZ"/>
              </w:rPr>
              <w:t>Species action plan endorsed and implemented by EoY 2</w:t>
            </w:r>
          </w:p>
        </w:tc>
        <w:tc>
          <w:tcPr>
            <w:tcW w:w="3258" w:type="dxa"/>
          </w:tcPr>
          <w:p w:rsidR="00E25677" w:rsidRPr="000A3C73" w:rsidRDefault="00541E8A" w:rsidP="00495F06">
            <w:pPr>
              <w:pStyle w:val="BodyText"/>
              <w:numPr>
                <w:ilvl w:val="0"/>
                <w:numId w:val="0"/>
              </w:numPr>
              <w:jc w:val="left"/>
              <w:rPr>
                <w:rFonts w:asciiTheme="majorHAnsi" w:hAnsiTheme="majorHAnsi"/>
                <w:sz w:val="18"/>
                <w:szCs w:val="18"/>
              </w:rPr>
            </w:pPr>
            <w:r w:rsidRPr="000A3C73">
              <w:rPr>
                <w:rFonts w:asciiTheme="majorHAnsi" w:hAnsiTheme="majorHAnsi"/>
                <w:sz w:val="18"/>
                <w:szCs w:val="18"/>
              </w:rPr>
              <w:t xml:space="preserve">See highlights above under Macedonia. In addition, work is continuing in an effort to construct a small-scale constructed wetland waste water treatment plant in the Macedonian village of Nakolec. </w:t>
            </w:r>
          </w:p>
        </w:tc>
      </w:tr>
      <w:tr w:rsidR="00F82A87" w:rsidRPr="000A3C73" w:rsidTr="00495F06">
        <w:tc>
          <w:tcPr>
            <w:tcW w:w="2628" w:type="dxa"/>
          </w:tcPr>
          <w:p w:rsidR="00E25677" w:rsidRPr="000A3C73" w:rsidRDefault="004A78B2" w:rsidP="004A78B2">
            <w:pPr>
              <w:overflowPunct w:val="0"/>
              <w:autoSpaceDE w:val="0"/>
              <w:autoSpaceDN w:val="0"/>
              <w:adjustRightInd w:val="0"/>
              <w:textAlignment w:val="baseline"/>
              <w:rPr>
                <w:rFonts w:asciiTheme="majorHAnsi" w:hAnsiTheme="majorHAnsi"/>
                <w:sz w:val="18"/>
                <w:szCs w:val="18"/>
              </w:rPr>
            </w:pPr>
            <w:r w:rsidRPr="000A3C73">
              <w:rPr>
                <w:rFonts w:ascii="Calibri" w:hAnsi="Calibri"/>
                <w:color w:val="000000"/>
                <w:sz w:val="18"/>
                <w:szCs w:val="18"/>
                <w:lang w:eastAsia="cs-CZ"/>
              </w:rPr>
              <w:t># hectares of forest under improved biodiversity- oriented management in MK, GR*, AL Prespa</w:t>
            </w:r>
          </w:p>
        </w:tc>
        <w:tc>
          <w:tcPr>
            <w:tcW w:w="3690" w:type="dxa"/>
          </w:tcPr>
          <w:p w:rsidR="004A78B2" w:rsidRPr="000A3C73" w:rsidRDefault="004A78B2" w:rsidP="004A78B2">
            <w:pPr>
              <w:overflowPunct w:val="0"/>
              <w:autoSpaceDE w:val="0"/>
              <w:autoSpaceDN w:val="0"/>
              <w:adjustRightInd w:val="0"/>
              <w:textAlignment w:val="baseline"/>
              <w:rPr>
                <w:rFonts w:ascii="Calibri" w:hAnsi="Calibri"/>
                <w:color w:val="000000"/>
                <w:sz w:val="18"/>
                <w:szCs w:val="18"/>
                <w:lang w:eastAsia="cs-CZ"/>
              </w:rPr>
            </w:pPr>
            <w:r w:rsidRPr="000A3C73">
              <w:rPr>
                <w:rFonts w:ascii="Calibri" w:hAnsi="Calibri"/>
                <w:color w:val="000000"/>
                <w:sz w:val="18"/>
                <w:szCs w:val="18"/>
                <w:lang w:eastAsia="cs-CZ"/>
              </w:rPr>
              <w:t>2,000 ha in MK by EoY 3.</w:t>
            </w:r>
          </w:p>
          <w:p w:rsidR="004A78B2" w:rsidRPr="000A3C73" w:rsidRDefault="004A78B2" w:rsidP="004A78B2">
            <w:pPr>
              <w:rPr>
                <w:rFonts w:ascii="Calibri" w:hAnsi="Calibri"/>
                <w:color w:val="000000"/>
                <w:sz w:val="18"/>
                <w:szCs w:val="18"/>
                <w:lang w:eastAsia="cs-CZ"/>
              </w:rPr>
            </w:pPr>
            <w:r w:rsidRPr="000A3C73">
              <w:rPr>
                <w:rFonts w:ascii="Calibri" w:hAnsi="Calibri"/>
                <w:color w:val="000000"/>
                <w:sz w:val="18"/>
                <w:szCs w:val="18"/>
                <w:lang w:eastAsia="cs-CZ"/>
              </w:rPr>
              <w:t xml:space="preserve">3,000 ha in AL by EoY 3; and </w:t>
            </w:r>
          </w:p>
          <w:p w:rsidR="00E25677" w:rsidRPr="000A3C73" w:rsidRDefault="004A78B2" w:rsidP="004A78B2">
            <w:pPr>
              <w:rPr>
                <w:rFonts w:asciiTheme="majorHAnsi" w:hAnsiTheme="majorHAnsi"/>
                <w:sz w:val="18"/>
                <w:szCs w:val="18"/>
              </w:rPr>
            </w:pPr>
            <w:r w:rsidRPr="000A3C73">
              <w:rPr>
                <w:rFonts w:ascii="Calibri" w:hAnsi="Calibri"/>
                <w:color w:val="000000"/>
                <w:sz w:val="18"/>
                <w:szCs w:val="18"/>
                <w:lang w:eastAsia="cs-CZ"/>
              </w:rPr>
              <w:t>1,000 ha in GR* by EoY 3.</w:t>
            </w:r>
          </w:p>
        </w:tc>
        <w:tc>
          <w:tcPr>
            <w:tcW w:w="3258" w:type="dxa"/>
          </w:tcPr>
          <w:p w:rsidR="00E25677" w:rsidRPr="000A3C73" w:rsidRDefault="004A78B2" w:rsidP="00E25677">
            <w:pPr>
              <w:rPr>
                <w:rFonts w:asciiTheme="majorHAnsi" w:hAnsiTheme="majorHAnsi"/>
                <w:sz w:val="18"/>
                <w:szCs w:val="18"/>
              </w:rPr>
            </w:pPr>
            <w:r w:rsidRPr="000A3C73">
              <w:rPr>
                <w:rFonts w:asciiTheme="majorHAnsi" w:hAnsiTheme="majorHAnsi"/>
                <w:sz w:val="18"/>
                <w:szCs w:val="18"/>
              </w:rPr>
              <w:t>Forest management plan for the forest unit Leva Reka (MK) was finalized in accordance with the guidelines on ecosystem priorities provided by the project, and is being implemented by the local branch of the forestry public enterprise, covering 165.8 hectares.</w:t>
            </w:r>
          </w:p>
          <w:p w:rsidR="004A78B2" w:rsidRPr="000A3C73" w:rsidRDefault="004A78B2" w:rsidP="00E25677">
            <w:pPr>
              <w:rPr>
                <w:rFonts w:asciiTheme="majorHAnsi" w:hAnsiTheme="majorHAnsi"/>
                <w:sz w:val="18"/>
                <w:szCs w:val="18"/>
              </w:rPr>
            </w:pPr>
            <w:r w:rsidRPr="000A3C73">
              <w:rPr>
                <w:rFonts w:asciiTheme="majorHAnsi" w:hAnsiTheme="majorHAnsi"/>
                <w:sz w:val="18"/>
                <w:szCs w:val="18"/>
              </w:rPr>
              <w:t xml:space="preserve">Work in Albanian to be completed </w:t>
            </w:r>
            <w:r w:rsidR="00D81815" w:rsidRPr="000A3C73">
              <w:rPr>
                <w:rFonts w:asciiTheme="majorHAnsi" w:hAnsiTheme="majorHAnsi"/>
                <w:sz w:val="18"/>
                <w:szCs w:val="18"/>
              </w:rPr>
              <w:t xml:space="preserve">under the KfW project that started in late 2011. </w:t>
            </w:r>
          </w:p>
        </w:tc>
      </w:tr>
      <w:tr w:rsidR="00F82A87" w:rsidRPr="000A3C73" w:rsidTr="00495F06">
        <w:tc>
          <w:tcPr>
            <w:tcW w:w="2628" w:type="dxa"/>
          </w:tcPr>
          <w:p w:rsidR="00FF6BAD" w:rsidRPr="000A3C73" w:rsidRDefault="00FF6BAD" w:rsidP="00FF6BAD">
            <w:pPr>
              <w:overflowPunct w:val="0"/>
              <w:autoSpaceDE w:val="0"/>
              <w:autoSpaceDN w:val="0"/>
              <w:adjustRightInd w:val="0"/>
              <w:textAlignment w:val="baseline"/>
              <w:rPr>
                <w:rFonts w:ascii="Calibri" w:hAnsi="Calibri"/>
                <w:color w:val="000000"/>
                <w:sz w:val="18"/>
                <w:szCs w:val="18"/>
                <w:lang w:eastAsia="cs-CZ"/>
              </w:rPr>
            </w:pPr>
            <w:r w:rsidRPr="000A3C73">
              <w:rPr>
                <w:rFonts w:ascii="Calibri" w:hAnsi="Calibri"/>
                <w:color w:val="000000"/>
                <w:sz w:val="18"/>
                <w:szCs w:val="18"/>
                <w:lang w:eastAsia="cs-CZ"/>
              </w:rPr>
              <w:t>Allowable fish catch</w:t>
            </w:r>
          </w:p>
          <w:p w:rsidR="00E25677" w:rsidRPr="000A3C73" w:rsidRDefault="00FF6BAD" w:rsidP="00FF6BAD">
            <w:pPr>
              <w:rPr>
                <w:rFonts w:asciiTheme="majorHAnsi" w:hAnsiTheme="majorHAnsi"/>
                <w:sz w:val="18"/>
                <w:szCs w:val="18"/>
              </w:rPr>
            </w:pPr>
            <w:r w:rsidRPr="000A3C73">
              <w:rPr>
                <w:rFonts w:ascii="Calibri" w:hAnsi="Calibri"/>
                <w:color w:val="000000"/>
                <w:sz w:val="18"/>
                <w:szCs w:val="18"/>
                <w:lang w:eastAsia="cs-CZ"/>
              </w:rPr>
              <w:t>linked to population size estimates in both lakes in MK, AL and GR*.</w:t>
            </w:r>
          </w:p>
        </w:tc>
        <w:tc>
          <w:tcPr>
            <w:tcW w:w="3690" w:type="dxa"/>
          </w:tcPr>
          <w:p w:rsidR="00E25677" w:rsidRPr="000A3C73" w:rsidRDefault="00FF6BAD" w:rsidP="00E25677">
            <w:pPr>
              <w:rPr>
                <w:rFonts w:asciiTheme="majorHAnsi" w:hAnsiTheme="majorHAnsi"/>
                <w:sz w:val="18"/>
                <w:szCs w:val="18"/>
              </w:rPr>
            </w:pPr>
            <w:r w:rsidRPr="000A3C73">
              <w:rPr>
                <w:rFonts w:asciiTheme="majorHAnsi" w:hAnsiTheme="majorHAnsi"/>
                <w:sz w:val="18"/>
                <w:szCs w:val="18"/>
              </w:rPr>
              <w:t>Allowable fish catch is linked to population size estimates and other indices for five species by EoY 4.</w:t>
            </w:r>
          </w:p>
        </w:tc>
        <w:tc>
          <w:tcPr>
            <w:tcW w:w="3258" w:type="dxa"/>
          </w:tcPr>
          <w:p w:rsidR="00E25677" w:rsidRPr="000A3C73" w:rsidRDefault="002609F9" w:rsidP="00E25677">
            <w:pPr>
              <w:rPr>
                <w:rFonts w:asciiTheme="majorHAnsi" w:hAnsiTheme="majorHAnsi"/>
                <w:sz w:val="18"/>
                <w:szCs w:val="18"/>
              </w:rPr>
            </w:pPr>
            <w:r w:rsidRPr="000A3C73">
              <w:rPr>
                <w:rFonts w:asciiTheme="majorHAnsi" w:hAnsiTheme="majorHAnsi"/>
                <w:sz w:val="18"/>
                <w:szCs w:val="18"/>
              </w:rPr>
              <w:t>The annual catch in both Prespa lakes now is fixed at 290-300 tons (information from Albania)</w:t>
            </w:r>
          </w:p>
        </w:tc>
      </w:tr>
      <w:tr w:rsidR="00F82A87" w:rsidRPr="000A3C73" w:rsidTr="00495F06">
        <w:tc>
          <w:tcPr>
            <w:tcW w:w="2628" w:type="dxa"/>
          </w:tcPr>
          <w:p w:rsidR="00F25C55" w:rsidRPr="000A3C73" w:rsidRDefault="00F25C55" w:rsidP="00E25677">
            <w:pPr>
              <w:rPr>
                <w:rFonts w:ascii="Calibri" w:hAnsi="Calibri"/>
                <w:color w:val="000000"/>
                <w:sz w:val="18"/>
                <w:szCs w:val="18"/>
              </w:rPr>
            </w:pPr>
            <w:r w:rsidRPr="000A3C73">
              <w:rPr>
                <w:rFonts w:ascii="Calibri" w:hAnsi="Calibri"/>
                <w:color w:val="000000"/>
                <w:sz w:val="18"/>
                <w:szCs w:val="18"/>
              </w:rPr>
              <w:t>Decline in sales of detergents containing phosphorous in Resen municipality.</w:t>
            </w:r>
          </w:p>
        </w:tc>
        <w:tc>
          <w:tcPr>
            <w:tcW w:w="3690" w:type="dxa"/>
          </w:tcPr>
          <w:p w:rsidR="00002831" w:rsidRPr="000A3C73" w:rsidRDefault="00F25C55" w:rsidP="00002831">
            <w:pPr>
              <w:overflowPunct w:val="0"/>
              <w:autoSpaceDE w:val="0"/>
              <w:autoSpaceDN w:val="0"/>
              <w:adjustRightInd w:val="0"/>
              <w:textAlignment w:val="baseline"/>
              <w:rPr>
                <w:rFonts w:ascii="Calibri" w:hAnsi="Calibri"/>
                <w:color w:val="000000"/>
                <w:sz w:val="18"/>
                <w:szCs w:val="18"/>
                <w:lang w:eastAsia="cs-CZ"/>
              </w:rPr>
            </w:pPr>
            <w:r w:rsidRPr="000A3C73">
              <w:rPr>
                <w:rFonts w:ascii="Calibri" w:hAnsi="Calibri"/>
                <w:color w:val="000000"/>
                <w:sz w:val="18"/>
                <w:szCs w:val="18"/>
                <w:lang w:eastAsia="cs-CZ"/>
              </w:rPr>
              <w:t xml:space="preserve">Decline of </w:t>
            </w:r>
          </w:p>
          <w:p w:rsidR="00002831" w:rsidRPr="000A3C73" w:rsidRDefault="00F25C55" w:rsidP="00002831">
            <w:pPr>
              <w:overflowPunct w:val="0"/>
              <w:autoSpaceDE w:val="0"/>
              <w:autoSpaceDN w:val="0"/>
              <w:adjustRightInd w:val="0"/>
              <w:textAlignment w:val="baseline"/>
              <w:rPr>
                <w:rFonts w:ascii="Calibri" w:hAnsi="Calibri"/>
                <w:color w:val="000000"/>
                <w:sz w:val="18"/>
                <w:szCs w:val="18"/>
                <w:lang w:eastAsia="cs-CZ"/>
              </w:rPr>
            </w:pPr>
            <w:r w:rsidRPr="000A3C73">
              <w:rPr>
                <w:rFonts w:ascii="Calibri" w:hAnsi="Calibri"/>
                <w:color w:val="000000"/>
                <w:sz w:val="18"/>
                <w:szCs w:val="18"/>
                <w:lang w:eastAsia="cs-CZ"/>
              </w:rPr>
              <w:t xml:space="preserve">50%by EoY 3; </w:t>
            </w:r>
          </w:p>
          <w:p w:rsidR="00F25C55" w:rsidRPr="000A3C73" w:rsidRDefault="00F25C55" w:rsidP="00002831">
            <w:pPr>
              <w:overflowPunct w:val="0"/>
              <w:autoSpaceDE w:val="0"/>
              <w:autoSpaceDN w:val="0"/>
              <w:adjustRightInd w:val="0"/>
              <w:textAlignment w:val="baseline"/>
              <w:rPr>
                <w:rFonts w:ascii="Calibri" w:hAnsi="Calibri"/>
                <w:color w:val="000000"/>
                <w:sz w:val="18"/>
                <w:szCs w:val="18"/>
                <w:lang w:eastAsia="cs-CZ"/>
              </w:rPr>
            </w:pPr>
            <w:r w:rsidRPr="000A3C73">
              <w:rPr>
                <w:rFonts w:ascii="Calibri" w:hAnsi="Calibri"/>
                <w:color w:val="000000"/>
                <w:sz w:val="18"/>
                <w:szCs w:val="18"/>
                <w:lang w:eastAsia="cs-CZ"/>
              </w:rPr>
              <w:t>75%by EoY 4.</w:t>
            </w:r>
          </w:p>
        </w:tc>
        <w:tc>
          <w:tcPr>
            <w:tcW w:w="3258" w:type="dxa"/>
          </w:tcPr>
          <w:p w:rsidR="00F25C55" w:rsidRPr="000A3C73" w:rsidRDefault="00F25C55" w:rsidP="00E25677">
            <w:pPr>
              <w:rPr>
                <w:rFonts w:asciiTheme="majorHAnsi" w:hAnsiTheme="majorHAnsi"/>
                <w:sz w:val="18"/>
                <w:szCs w:val="18"/>
              </w:rPr>
            </w:pPr>
            <w:r w:rsidRPr="000A3C73">
              <w:rPr>
                <w:rFonts w:asciiTheme="majorHAnsi" w:hAnsiTheme="majorHAnsi"/>
                <w:sz w:val="18"/>
                <w:szCs w:val="18"/>
              </w:rPr>
              <w:t>Indicator Irrelevant following countrywide ban on detergents containing phosphorus. (MK)</w:t>
            </w:r>
          </w:p>
        </w:tc>
      </w:tr>
      <w:tr w:rsidR="00F82A87" w:rsidRPr="000A3C73" w:rsidTr="00495F06">
        <w:tc>
          <w:tcPr>
            <w:tcW w:w="2628" w:type="dxa"/>
          </w:tcPr>
          <w:p w:rsidR="00E25677" w:rsidRPr="000A3C73" w:rsidRDefault="002D5B64" w:rsidP="00E25677">
            <w:pPr>
              <w:rPr>
                <w:rFonts w:asciiTheme="majorHAnsi" w:hAnsiTheme="majorHAnsi"/>
                <w:sz w:val="18"/>
                <w:szCs w:val="18"/>
              </w:rPr>
            </w:pPr>
            <w:r w:rsidRPr="000A3C73">
              <w:rPr>
                <w:rFonts w:ascii="Calibri" w:hAnsi="Calibri"/>
                <w:color w:val="000000"/>
                <w:sz w:val="18"/>
                <w:szCs w:val="18"/>
              </w:rPr>
              <w:t>Eutrophying inputs (N, organic material) to Macro Prespa reduced m3 through small-scale wastewater treatment pilots.</w:t>
            </w:r>
          </w:p>
        </w:tc>
        <w:tc>
          <w:tcPr>
            <w:tcW w:w="3690" w:type="dxa"/>
          </w:tcPr>
          <w:p w:rsidR="002D5B64" w:rsidRPr="000A3C73" w:rsidRDefault="002D5B64" w:rsidP="002D5B64">
            <w:pPr>
              <w:overflowPunct w:val="0"/>
              <w:autoSpaceDE w:val="0"/>
              <w:autoSpaceDN w:val="0"/>
              <w:adjustRightInd w:val="0"/>
              <w:textAlignment w:val="baseline"/>
              <w:rPr>
                <w:rFonts w:ascii="Calibri" w:hAnsi="Calibri"/>
                <w:color w:val="000000"/>
                <w:sz w:val="18"/>
                <w:szCs w:val="18"/>
                <w:lang w:eastAsia="cs-CZ"/>
              </w:rPr>
            </w:pPr>
            <w:r w:rsidRPr="000A3C73">
              <w:rPr>
                <w:rFonts w:ascii="Calibri" w:hAnsi="Calibri"/>
                <w:color w:val="000000"/>
                <w:sz w:val="18"/>
                <w:szCs w:val="18"/>
                <w:lang w:eastAsia="cs-CZ"/>
              </w:rPr>
              <w:t>Two pilots</w:t>
            </w:r>
          </w:p>
          <w:p w:rsidR="002D5B64" w:rsidRPr="000A3C73" w:rsidRDefault="002D5B64" w:rsidP="002D5B64">
            <w:pPr>
              <w:overflowPunct w:val="0"/>
              <w:autoSpaceDE w:val="0"/>
              <w:autoSpaceDN w:val="0"/>
              <w:adjustRightInd w:val="0"/>
              <w:textAlignment w:val="baseline"/>
              <w:rPr>
                <w:rFonts w:ascii="Calibri" w:hAnsi="Calibri"/>
                <w:color w:val="000000"/>
                <w:sz w:val="18"/>
                <w:szCs w:val="18"/>
                <w:lang w:eastAsia="cs-CZ"/>
              </w:rPr>
            </w:pPr>
            <w:r w:rsidRPr="000A3C73">
              <w:rPr>
                <w:rFonts w:ascii="Calibri" w:hAnsi="Calibri"/>
                <w:color w:val="000000"/>
                <w:sz w:val="18"/>
                <w:szCs w:val="18"/>
                <w:lang w:eastAsia="cs-CZ"/>
              </w:rPr>
              <w:t>reduce inputs by</w:t>
            </w:r>
          </w:p>
          <w:p w:rsidR="002D5B64" w:rsidRPr="000A3C73" w:rsidRDefault="002D5B64" w:rsidP="002D5B64">
            <w:pPr>
              <w:overflowPunct w:val="0"/>
              <w:autoSpaceDE w:val="0"/>
              <w:autoSpaceDN w:val="0"/>
              <w:adjustRightInd w:val="0"/>
              <w:textAlignment w:val="baseline"/>
              <w:rPr>
                <w:rFonts w:ascii="Calibri" w:hAnsi="Calibri"/>
                <w:color w:val="000000"/>
                <w:sz w:val="18"/>
                <w:szCs w:val="18"/>
                <w:lang w:eastAsia="cs-CZ"/>
              </w:rPr>
            </w:pPr>
            <w:r w:rsidRPr="000A3C73">
              <w:rPr>
                <w:rFonts w:ascii="Calibri" w:hAnsi="Calibri"/>
                <w:color w:val="000000"/>
                <w:sz w:val="18"/>
                <w:szCs w:val="18"/>
                <w:lang w:eastAsia="cs-CZ"/>
              </w:rPr>
              <w:t>1000 m3 by</w:t>
            </w:r>
          </w:p>
          <w:p w:rsidR="00E25677" w:rsidRPr="000A3C73" w:rsidRDefault="002D5B64" w:rsidP="002D5B64">
            <w:pPr>
              <w:rPr>
                <w:rFonts w:asciiTheme="majorHAnsi" w:hAnsiTheme="majorHAnsi"/>
                <w:sz w:val="18"/>
                <w:szCs w:val="18"/>
              </w:rPr>
            </w:pPr>
            <w:r w:rsidRPr="000A3C73">
              <w:rPr>
                <w:rFonts w:ascii="Calibri" w:hAnsi="Calibri"/>
                <w:color w:val="000000"/>
                <w:sz w:val="18"/>
                <w:szCs w:val="18"/>
                <w:lang w:eastAsia="cs-CZ"/>
              </w:rPr>
              <w:t>EoY 3.</w:t>
            </w:r>
          </w:p>
        </w:tc>
        <w:tc>
          <w:tcPr>
            <w:tcW w:w="3258" w:type="dxa"/>
          </w:tcPr>
          <w:p w:rsidR="00E25677" w:rsidRPr="000A3C73" w:rsidRDefault="002D5B64" w:rsidP="00E25677">
            <w:pPr>
              <w:rPr>
                <w:rFonts w:asciiTheme="majorHAnsi" w:hAnsiTheme="majorHAnsi"/>
                <w:sz w:val="18"/>
                <w:szCs w:val="18"/>
              </w:rPr>
            </w:pPr>
            <w:r w:rsidRPr="000A3C73">
              <w:rPr>
                <w:rFonts w:asciiTheme="majorHAnsi" w:hAnsiTheme="majorHAnsi"/>
                <w:sz w:val="18"/>
                <w:szCs w:val="18"/>
              </w:rPr>
              <w:t>Small scale waste water treatment plant at Nakolec not yet complete.</w:t>
            </w:r>
          </w:p>
        </w:tc>
      </w:tr>
      <w:tr w:rsidR="00F82A87" w:rsidRPr="000A3C73" w:rsidTr="00495F06">
        <w:tc>
          <w:tcPr>
            <w:tcW w:w="2628" w:type="dxa"/>
          </w:tcPr>
          <w:p w:rsidR="00E25677" w:rsidRPr="000A3C73" w:rsidRDefault="003543DE" w:rsidP="00E25677">
            <w:pPr>
              <w:rPr>
                <w:rFonts w:asciiTheme="majorHAnsi" w:hAnsiTheme="majorHAnsi"/>
                <w:sz w:val="18"/>
                <w:szCs w:val="18"/>
              </w:rPr>
            </w:pPr>
            <w:r w:rsidRPr="000A3C73">
              <w:rPr>
                <w:rFonts w:ascii="Calibri" w:hAnsi="Calibri"/>
                <w:color w:val="000000"/>
                <w:sz w:val="18"/>
                <w:szCs w:val="18"/>
              </w:rPr>
              <w:t># hectares of priority habitat for birds, fish, rare plants, and mammals under improved conservation management</w:t>
            </w:r>
          </w:p>
        </w:tc>
        <w:tc>
          <w:tcPr>
            <w:tcW w:w="3690" w:type="dxa"/>
          </w:tcPr>
          <w:p w:rsidR="00E25677" w:rsidRPr="000A3C73" w:rsidRDefault="003543DE" w:rsidP="003543DE">
            <w:pPr>
              <w:overflowPunct w:val="0"/>
              <w:autoSpaceDE w:val="0"/>
              <w:autoSpaceDN w:val="0"/>
              <w:adjustRightInd w:val="0"/>
              <w:textAlignment w:val="baseline"/>
              <w:rPr>
                <w:rFonts w:asciiTheme="majorHAnsi" w:hAnsiTheme="majorHAnsi"/>
                <w:sz w:val="18"/>
                <w:szCs w:val="18"/>
              </w:rPr>
            </w:pPr>
            <w:r w:rsidRPr="000A3C73">
              <w:rPr>
                <w:rFonts w:ascii="Calibri" w:hAnsi="Calibri"/>
                <w:color w:val="000000"/>
                <w:sz w:val="18"/>
                <w:szCs w:val="18"/>
                <w:lang w:eastAsia="cs-CZ"/>
              </w:rPr>
              <w:t xml:space="preserve">Target </w:t>
            </w:r>
            <w:r w:rsidR="00D163CA" w:rsidRPr="000A3C73">
              <w:rPr>
                <w:rFonts w:ascii="Calibri" w:hAnsi="Calibri"/>
                <w:color w:val="000000"/>
                <w:sz w:val="18"/>
                <w:szCs w:val="18"/>
                <w:lang w:eastAsia="cs-CZ"/>
              </w:rPr>
              <w:t>number of</w:t>
            </w:r>
            <w:r w:rsidRPr="000A3C73">
              <w:rPr>
                <w:rFonts w:ascii="Calibri" w:hAnsi="Calibri"/>
                <w:color w:val="000000"/>
                <w:sz w:val="18"/>
                <w:szCs w:val="18"/>
                <w:lang w:eastAsia="cs-CZ"/>
              </w:rPr>
              <w:t xml:space="preserve"> hectares under improved management to be determined and implemented based on recommendations of the species action plans.</w:t>
            </w:r>
          </w:p>
        </w:tc>
        <w:tc>
          <w:tcPr>
            <w:tcW w:w="3258" w:type="dxa"/>
          </w:tcPr>
          <w:p w:rsidR="00E25677" w:rsidRPr="000A3C73" w:rsidRDefault="003543DE" w:rsidP="00E25677">
            <w:pPr>
              <w:rPr>
                <w:rFonts w:asciiTheme="majorHAnsi" w:hAnsiTheme="majorHAnsi"/>
                <w:sz w:val="18"/>
                <w:szCs w:val="18"/>
              </w:rPr>
            </w:pPr>
            <w:r w:rsidRPr="000A3C73">
              <w:rPr>
                <w:rFonts w:asciiTheme="majorHAnsi" w:hAnsiTheme="majorHAnsi"/>
                <w:sz w:val="18"/>
                <w:szCs w:val="18"/>
              </w:rPr>
              <w:t>Conservation action plans developed and approved, not yet implemented.</w:t>
            </w:r>
          </w:p>
        </w:tc>
      </w:tr>
      <w:tr w:rsidR="00F82A87" w:rsidRPr="000A3C73" w:rsidTr="00495F06">
        <w:tc>
          <w:tcPr>
            <w:tcW w:w="2628" w:type="dxa"/>
          </w:tcPr>
          <w:p w:rsidR="00E25677" w:rsidRPr="000A3C73" w:rsidRDefault="00373F98" w:rsidP="00E25677">
            <w:pPr>
              <w:rPr>
                <w:rFonts w:asciiTheme="majorHAnsi" w:hAnsiTheme="majorHAnsi"/>
                <w:sz w:val="18"/>
                <w:szCs w:val="18"/>
              </w:rPr>
            </w:pPr>
            <w:r w:rsidRPr="000A3C73">
              <w:rPr>
                <w:rFonts w:ascii="Calibri" w:hAnsi="Calibri"/>
                <w:color w:val="000000"/>
                <w:sz w:val="18"/>
                <w:szCs w:val="18"/>
              </w:rPr>
              <w:t>Bat colonies protected and monitored in MK, AL and GR*.</w:t>
            </w:r>
          </w:p>
        </w:tc>
        <w:tc>
          <w:tcPr>
            <w:tcW w:w="3690" w:type="dxa"/>
          </w:tcPr>
          <w:p w:rsidR="00373F98" w:rsidRPr="000A3C73" w:rsidRDefault="00373F98" w:rsidP="00373F98">
            <w:pPr>
              <w:overflowPunct w:val="0"/>
              <w:autoSpaceDE w:val="0"/>
              <w:autoSpaceDN w:val="0"/>
              <w:adjustRightInd w:val="0"/>
              <w:textAlignment w:val="baseline"/>
              <w:rPr>
                <w:rFonts w:ascii="Calibri" w:hAnsi="Calibri"/>
                <w:color w:val="000000"/>
                <w:sz w:val="18"/>
                <w:szCs w:val="18"/>
                <w:lang w:eastAsia="cs-CZ"/>
              </w:rPr>
            </w:pPr>
            <w:r w:rsidRPr="000A3C73">
              <w:rPr>
                <w:rFonts w:ascii="Calibri" w:hAnsi="Calibri"/>
                <w:color w:val="000000"/>
                <w:sz w:val="18"/>
                <w:szCs w:val="18"/>
                <w:lang w:eastAsia="cs-CZ"/>
              </w:rPr>
              <w:t>Priority bat colonies</w:t>
            </w:r>
          </w:p>
          <w:p w:rsidR="00E25677" w:rsidRPr="000A3C73" w:rsidRDefault="00373F98" w:rsidP="00373F98">
            <w:pPr>
              <w:rPr>
                <w:rFonts w:asciiTheme="majorHAnsi" w:hAnsiTheme="majorHAnsi"/>
                <w:sz w:val="18"/>
                <w:szCs w:val="18"/>
              </w:rPr>
            </w:pPr>
            <w:r w:rsidRPr="000A3C73">
              <w:rPr>
                <w:rFonts w:ascii="Calibri" w:hAnsi="Calibri"/>
                <w:color w:val="000000"/>
                <w:sz w:val="18"/>
                <w:szCs w:val="18"/>
                <w:lang w:eastAsia="cs-CZ"/>
              </w:rPr>
              <w:t>protected and monitored by year 3.</w:t>
            </w:r>
          </w:p>
        </w:tc>
        <w:tc>
          <w:tcPr>
            <w:tcW w:w="3258" w:type="dxa"/>
          </w:tcPr>
          <w:p w:rsidR="00E25677" w:rsidRPr="000A3C73" w:rsidRDefault="00373F98" w:rsidP="00E25677">
            <w:pPr>
              <w:rPr>
                <w:rFonts w:asciiTheme="majorHAnsi" w:hAnsiTheme="majorHAnsi"/>
                <w:sz w:val="18"/>
                <w:szCs w:val="18"/>
              </w:rPr>
            </w:pPr>
            <w:r w:rsidRPr="000A3C73">
              <w:rPr>
                <w:rFonts w:asciiTheme="majorHAnsi" w:hAnsiTheme="majorHAnsi"/>
                <w:sz w:val="18"/>
                <w:szCs w:val="18"/>
              </w:rPr>
              <w:t>At Treni cave in Albanian the bat population is observed, and the Prespa National Park administration has assisted with controlling access to the cave.</w:t>
            </w:r>
          </w:p>
        </w:tc>
      </w:tr>
      <w:tr w:rsidR="00F82A87" w:rsidRPr="000A3C73" w:rsidTr="00495F06">
        <w:tc>
          <w:tcPr>
            <w:tcW w:w="2628" w:type="dxa"/>
          </w:tcPr>
          <w:p w:rsidR="00276413" w:rsidRPr="000A3C73" w:rsidRDefault="00276413" w:rsidP="00E25677">
            <w:pPr>
              <w:rPr>
                <w:rFonts w:ascii="Calibri" w:hAnsi="Calibri"/>
                <w:color w:val="000000"/>
                <w:sz w:val="18"/>
                <w:szCs w:val="18"/>
              </w:rPr>
            </w:pPr>
            <w:r w:rsidRPr="000A3C73">
              <w:rPr>
                <w:rFonts w:ascii="Calibri" w:hAnsi="Calibri"/>
                <w:color w:val="000000"/>
                <w:sz w:val="18"/>
                <w:szCs w:val="18"/>
              </w:rPr>
              <w:t>Ecological requirements for endemic trout understood and protected.</w:t>
            </w:r>
          </w:p>
        </w:tc>
        <w:tc>
          <w:tcPr>
            <w:tcW w:w="3690" w:type="dxa"/>
          </w:tcPr>
          <w:p w:rsidR="00276413" w:rsidRPr="0089284E" w:rsidRDefault="00276413" w:rsidP="00276413">
            <w:pPr>
              <w:overflowPunct w:val="0"/>
              <w:autoSpaceDE w:val="0"/>
              <w:autoSpaceDN w:val="0"/>
              <w:adjustRightInd w:val="0"/>
              <w:textAlignment w:val="baseline"/>
              <w:rPr>
                <w:rFonts w:ascii="Calibri" w:hAnsi="Calibri"/>
                <w:sz w:val="18"/>
                <w:szCs w:val="18"/>
              </w:rPr>
            </w:pPr>
            <w:r w:rsidRPr="000A3C73">
              <w:rPr>
                <w:rFonts w:ascii="Calibri" w:hAnsi="Calibri"/>
                <w:color w:val="000000"/>
                <w:sz w:val="18"/>
                <w:szCs w:val="18"/>
                <w:lang w:eastAsia="cs-CZ"/>
              </w:rPr>
              <w:t xml:space="preserve">In-stream </w:t>
            </w:r>
            <w:r w:rsidR="00D163CA" w:rsidRPr="000A3C73">
              <w:rPr>
                <w:rFonts w:ascii="Calibri" w:hAnsi="Calibri"/>
                <w:color w:val="000000"/>
                <w:sz w:val="18"/>
                <w:szCs w:val="18"/>
                <w:lang w:eastAsia="cs-CZ"/>
              </w:rPr>
              <w:t>flows and</w:t>
            </w:r>
            <w:r w:rsidRPr="000A3C73">
              <w:rPr>
                <w:rFonts w:ascii="Calibri" w:hAnsi="Calibri"/>
                <w:color w:val="000000"/>
                <w:sz w:val="18"/>
                <w:szCs w:val="18"/>
                <w:lang w:eastAsia="cs-CZ"/>
              </w:rPr>
              <w:t xml:space="preserve"> water quality maintained in Brajcino, Krani, Leva and</w:t>
            </w:r>
            <w:r w:rsidR="00D163CA">
              <w:rPr>
                <w:rFonts w:ascii="Calibri" w:hAnsi="Calibri"/>
                <w:color w:val="000000"/>
                <w:sz w:val="18"/>
                <w:szCs w:val="18"/>
                <w:lang w:eastAsia="cs-CZ"/>
              </w:rPr>
              <w:t xml:space="preserve"> </w:t>
            </w:r>
            <w:r w:rsidRPr="000A3C73">
              <w:rPr>
                <w:rFonts w:ascii="Calibri" w:hAnsi="Calibri"/>
                <w:color w:val="000000"/>
                <w:sz w:val="18"/>
                <w:szCs w:val="18"/>
                <w:lang w:eastAsia="cs-CZ"/>
              </w:rPr>
              <w:t>Aghios</w:t>
            </w:r>
            <w:r w:rsidR="00D163CA">
              <w:rPr>
                <w:rFonts w:ascii="Calibri" w:hAnsi="Calibri"/>
                <w:color w:val="000000"/>
                <w:sz w:val="18"/>
                <w:szCs w:val="18"/>
                <w:lang w:eastAsia="cs-CZ"/>
              </w:rPr>
              <w:t xml:space="preserve"> </w:t>
            </w:r>
            <w:r w:rsidRPr="000A3C73">
              <w:rPr>
                <w:rFonts w:ascii="Calibri" w:hAnsi="Calibri"/>
                <w:color w:val="000000"/>
                <w:sz w:val="18"/>
                <w:szCs w:val="18"/>
                <w:lang w:eastAsia="cs-CZ"/>
              </w:rPr>
              <w:t>Germanos</w:t>
            </w:r>
            <w:r w:rsidR="00D163CA">
              <w:rPr>
                <w:rFonts w:ascii="Calibri" w:hAnsi="Calibri"/>
                <w:color w:val="000000"/>
                <w:sz w:val="18"/>
                <w:szCs w:val="18"/>
                <w:lang w:eastAsia="cs-CZ"/>
              </w:rPr>
              <w:t xml:space="preserve"> </w:t>
            </w:r>
            <w:r w:rsidRPr="000A3C73">
              <w:rPr>
                <w:rFonts w:ascii="Calibri" w:hAnsi="Calibri"/>
                <w:color w:val="000000"/>
                <w:sz w:val="18"/>
                <w:szCs w:val="18"/>
                <w:lang w:eastAsia="cs-CZ"/>
              </w:rPr>
              <w:t>Rivers by end of year 3;</w:t>
            </w:r>
            <w:r w:rsidR="00D163CA">
              <w:rPr>
                <w:rFonts w:ascii="Calibri" w:hAnsi="Calibri"/>
                <w:color w:val="000000"/>
                <w:sz w:val="18"/>
                <w:szCs w:val="18"/>
                <w:lang w:eastAsia="cs-CZ"/>
              </w:rPr>
              <w:t xml:space="preserve"> </w:t>
            </w:r>
            <w:r w:rsidRPr="000A3C73">
              <w:rPr>
                <w:rFonts w:ascii="Calibri" w:hAnsi="Calibri"/>
                <w:color w:val="000000"/>
                <w:sz w:val="18"/>
                <w:szCs w:val="18"/>
                <w:lang w:eastAsia="cs-CZ"/>
              </w:rPr>
              <w:t>Pilot action taken according to Species Action Plan by EoY 2;Habitat protection status ensured in both countries (i.e. establishment of closed seasons, fishing bans, establishment of protection zone, maintenance of riparian forests- avoiding</w:t>
            </w:r>
            <w:r w:rsidR="00D163CA">
              <w:rPr>
                <w:rFonts w:ascii="Calibri" w:hAnsi="Calibri"/>
                <w:color w:val="000000"/>
                <w:sz w:val="18"/>
                <w:szCs w:val="18"/>
                <w:lang w:eastAsia="cs-CZ"/>
              </w:rPr>
              <w:t xml:space="preserve"> </w:t>
            </w:r>
            <w:r w:rsidRPr="000A3C73">
              <w:rPr>
                <w:rFonts w:ascii="Calibri" w:hAnsi="Calibri"/>
                <w:color w:val="000000"/>
                <w:sz w:val="18"/>
                <w:szCs w:val="18"/>
                <w:lang w:eastAsia="cs-CZ"/>
              </w:rPr>
              <w:t>erosion, etc.) by</w:t>
            </w:r>
            <w:r w:rsidR="00D163CA">
              <w:rPr>
                <w:rFonts w:ascii="Calibri" w:hAnsi="Calibri"/>
                <w:color w:val="000000"/>
                <w:sz w:val="18"/>
                <w:szCs w:val="18"/>
                <w:lang w:eastAsia="cs-CZ"/>
              </w:rPr>
              <w:t xml:space="preserve"> </w:t>
            </w:r>
            <w:r w:rsidRPr="000A3C73">
              <w:rPr>
                <w:rFonts w:ascii="Calibri" w:hAnsi="Calibri"/>
                <w:color w:val="000000"/>
                <w:sz w:val="18"/>
                <w:szCs w:val="18"/>
                <w:lang w:eastAsia="cs-CZ"/>
              </w:rPr>
              <w:t>EoY 2;Efficient wardening for illegal angling in both countries by EoY 2; Pollution problems ameliorated by EoY 4</w:t>
            </w:r>
          </w:p>
        </w:tc>
        <w:tc>
          <w:tcPr>
            <w:tcW w:w="3258" w:type="dxa"/>
          </w:tcPr>
          <w:p w:rsidR="00276413" w:rsidRPr="00D77DF1" w:rsidRDefault="00210879" w:rsidP="00E25677">
            <w:pPr>
              <w:rPr>
                <w:rFonts w:asciiTheme="majorHAnsi" w:hAnsiTheme="majorHAnsi"/>
                <w:sz w:val="18"/>
                <w:szCs w:val="18"/>
              </w:rPr>
            </w:pPr>
            <w:r w:rsidRPr="00FC657B">
              <w:rPr>
                <w:rFonts w:asciiTheme="majorHAnsi" w:hAnsiTheme="majorHAnsi"/>
                <w:sz w:val="18"/>
                <w:szCs w:val="18"/>
              </w:rPr>
              <w:t xml:space="preserve">Additional monitoring data collected as part of the transboundary monitoring program and for development of the transboundary fisheries management plan, which includes a recommendation for a ban on fishing of trout for six years. </w:t>
            </w:r>
          </w:p>
        </w:tc>
      </w:tr>
      <w:tr w:rsidR="00F82A87" w:rsidRPr="000A3C73" w:rsidTr="00495F06">
        <w:tc>
          <w:tcPr>
            <w:tcW w:w="2628" w:type="dxa"/>
          </w:tcPr>
          <w:p w:rsidR="00C140D5" w:rsidRPr="000A3C73" w:rsidRDefault="002451B1" w:rsidP="00E25677">
            <w:pPr>
              <w:rPr>
                <w:rFonts w:ascii="Calibri" w:hAnsi="Calibri"/>
                <w:color w:val="000000"/>
                <w:sz w:val="18"/>
                <w:szCs w:val="18"/>
              </w:rPr>
            </w:pPr>
            <w:r w:rsidRPr="000A3C73">
              <w:rPr>
                <w:rFonts w:ascii="Calibri" w:hAnsi="Calibri"/>
                <w:color w:val="000000"/>
                <w:sz w:val="18"/>
                <w:szCs w:val="18"/>
              </w:rPr>
              <w:t>Imperial eagle nesting habitat enhanced/protected, along with other important raptor and vulture nesting habitats enhanced/protected simultaneously (e.g. Golden Eagle, or rare nocturnal species) in MK, AL and GR*.</w:t>
            </w:r>
          </w:p>
        </w:tc>
        <w:tc>
          <w:tcPr>
            <w:tcW w:w="3690" w:type="dxa"/>
          </w:tcPr>
          <w:p w:rsidR="002451B1" w:rsidRPr="000A3C73" w:rsidRDefault="002451B1" w:rsidP="002451B1">
            <w:pPr>
              <w:overflowPunct w:val="0"/>
              <w:autoSpaceDE w:val="0"/>
              <w:autoSpaceDN w:val="0"/>
              <w:adjustRightInd w:val="0"/>
              <w:textAlignment w:val="baseline"/>
              <w:rPr>
                <w:rFonts w:ascii="Calibri" w:hAnsi="Calibri"/>
                <w:color w:val="000000"/>
                <w:sz w:val="18"/>
                <w:szCs w:val="18"/>
                <w:lang w:eastAsia="cs-CZ"/>
              </w:rPr>
            </w:pPr>
            <w:r w:rsidRPr="000A3C73">
              <w:rPr>
                <w:rFonts w:ascii="Calibri" w:hAnsi="Calibri"/>
                <w:color w:val="000000"/>
                <w:sz w:val="18"/>
                <w:szCs w:val="18"/>
                <w:lang w:eastAsia="cs-CZ"/>
              </w:rPr>
              <w:t>Sub-</w:t>
            </w:r>
            <w:r w:rsidR="00D163CA" w:rsidRPr="000A3C73">
              <w:rPr>
                <w:rFonts w:ascii="Calibri" w:hAnsi="Calibri"/>
                <w:color w:val="000000"/>
                <w:sz w:val="18"/>
                <w:szCs w:val="18"/>
                <w:lang w:eastAsia="cs-CZ"/>
              </w:rPr>
              <w:t>Working Group</w:t>
            </w:r>
            <w:r w:rsidRPr="000A3C73">
              <w:rPr>
                <w:rFonts w:ascii="Calibri" w:hAnsi="Calibri"/>
                <w:color w:val="000000"/>
                <w:sz w:val="18"/>
                <w:szCs w:val="18"/>
                <w:lang w:eastAsia="cs-CZ"/>
              </w:rPr>
              <w:t xml:space="preserve"> on Birdlife formulates trans- boundary conservation actions for forest raptor species following by EoY1;</w:t>
            </w:r>
          </w:p>
          <w:p w:rsidR="002451B1" w:rsidRPr="000A3C73" w:rsidRDefault="002451B1" w:rsidP="002451B1">
            <w:pPr>
              <w:overflowPunct w:val="0"/>
              <w:autoSpaceDE w:val="0"/>
              <w:autoSpaceDN w:val="0"/>
              <w:adjustRightInd w:val="0"/>
              <w:textAlignment w:val="baseline"/>
              <w:rPr>
                <w:rFonts w:ascii="Calibri" w:hAnsi="Calibri"/>
                <w:color w:val="000000"/>
                <w:sz w:val="18"/>
                <w:szCs w:val="18"/>
                <w:lang w:eastAsia="cs-CZ"/>
              </w:rPr>
            </w:pPr>
            <w:r w:rsidRPr="000A3C73">
              <w:rPr>
                <w:rFonts w:ascii="Calibri" w:hAnsi="Calibri"/>
                <w:color w:val="000000"/>
                <w:sz w:val="18"/>
                <w:szCs w:val="18"/>
                <w:lang w:eastAsia="cs-CZ"/>
              </w:rPr>
              <w:t>Pilot conservation actions applied by EoY2;</w:t>
            </w:r>
          </w:p>
          <w:p w:rsidR="00C140D5" w:rsidRPr="000A3C73" w:rsidRDefault="002451B1" w:rsidP="002451B1">
            <w:pPr>
              <w:overflowPunct w:val="0"/>
              <w:autoSpaceDE w:val="0"/>
              <w:autoSpaceDN w:val="0"/>
              <w:adjustRightInd w:val="0"/>
              <w:textAlignment w:val="baseline"/>
              <w:rPr>
                <w:rFonts w:ascii="Calibri" w:hAnsi="Calibri"/>
                <w:color w:val="000000"/>
                <w:sz w:val="18"/>
                <w:szCs w:val="18"/>
                <w:lang w:eastAsia="cs-CZ"/>
              </w:rPr>
            </w:pPr>
            <w:r w:rsidRPr="000A3C73">
              <w:rPr>
                <w:rFonts w:ascii="Calibri" w:hAnsi="Calibri"/>
                <w:color w:val="000000"/>
                <w:sz w:val="18"/>
                <w:szCs w:val="18"/>
                <w:lang w:eastAsia="cs-CZ"/>
              </w:rPr>
              <w:t>At least two different potential eagle- nesting areas under special management by year 3.</w:t>
            </w:r>
          </w:p>
        </w:tc>
        <w:tc>
          <w:tcPr>
            <w:tcW w:w="3258" w:type="dxa"/>
          </w:tcPr>
          <w:p w:rsidR="00C140D5" w:rsidRPr="000A3C73" w:rsidRDefault="002451B1" w:rsidP="00E25677">
            <w:pPr>
              <w:rPr>
                <w:rFonts w:asciiTheme="majorHAnsi" w:hAnsiTheme="majorHAnsi"/>
                <w:sz w:val="18"/>
                <w:szCs w:val="18"/>
              </w:rPr>
            </w:pPr>
            <w:r w:rsidRPr="000A3C73">
              <w:rPr>
                <w:rFonts w:ascii="Calibri" w:hAnsi="Calibri"/>
                <w:color w:val="000000"/>
                <w:sz w:val="18"/>
                <w:szCs w:val="18"/>
              </w:rPr>
              <w:t>The imperial eagle was not selected by the trilateral Monitoring and Conservation Working Group amongst the priority species and habitats for which conservation plans were prepared.</w:t>
            </w:r>
          </w:p>
        </w:tc>
      </w:tr>
      <w:tr w:rsidR="00F82A87" w:rsidRPr="000A3C73" w:rsidTr="00495F06">
        <w:tc>
          <w:tcPr>
            <w:tcW w:w="2628" w:type="dxa"/>
          </w:tcPr>
          <w:p w:rsidR="00E336EB" w:rsidRPr="000A3C73" w:rsidRDefault="00E336EB" w:rsidP="00E25677">
            <w:pPr>
              <w:rPr>
                <w:rFonts w:ascii="Calibri" w:hAnsi="Calibri"/>
                <w:color w:val="000000"/>
                <w:sz w:val="18"/>
                <w:szCs w:val="18"/>
              </w:rPr>
            </w:pPr>
            <w:r w:rsidRPr="000A3C73">
              <w:rPr>
                <w:rFonts w:ascii="Calibri" w:hAnsi="Calibri"/>
                <w:color w:val="000000"/>
                <w:sz w:val="18"/>
                <w:szCs w:val="18"/>
              </w:rPr>
              <w:t>Rare water-bird conservation through trans-boundary protection of breeding and nesting habitats in MK, AL and GR*.</w:t>
            </w:r>
          </w:p>
        </w:tc>
        <w:tc>
          <w:tcPr>
            <w:tcW w:w="3690" w:type="dxa"/>
          </w:tcPr>
          <w:p w:rsidR="00E336EB" w:rsidRPr="000A3C73" w:rsidRDefault="00E336EB" w:rsidP="00E336EB">
            <w:pPr>
              <w:overflowPunct w:val="0"/>
              <w:autoSpaceDE w:val="0"/>
              <w:autoSpaceDN w:val="0"/>
              <w:adjustRightInd w:val="0"/>
              <w:textAlignment w:val="baseline"/>
              <w:rPr>
                <w:rFonts w:ascii="Calibri" w:hAnsi="Calibri"/>
                <w:color w:val="000000"/>
                <w:sz w:val="18"/>
                <w:szCs w:val="18"/>
                <w:lang w:eastAsia="cs-CZ"/>
              </w:rPr>
            </w:pPr>
            <w:r w:rsidRPr="000A3C73">
              <w:rPr>
                <w:rFonts w:ascii="Calibri" w:hAnsi="Calibri"/>
                <w:color w:val="000000"/>
                <w:sz w:val="18"/>
                <w:szCs w:val="18"/>
                <w:lang w:eastAsia="cs-CZ"/>
              </w:rPr>
              <w:t xml:space="preserve">Sub-Working Group on Birdlife </w:t>
            </w:r>
            <w:r w:rsidR="00D163CA" w:rsidRPr="000A3C73">
              <w:rPr>
                <w:rFonts w:ascii="Calibri" w:hAnsi="Calibri"/>
                <w:color w:val="000000"/>
                <w:sz w:val="18"/>
                <w:szCs w:val="18"/>
                <w:lang w:eastAsia="cs-CZ"/>
              </w:rPr>
              <w:t>formulates trans</w:t>
            </w:r>
            <w:r w:rsidRPr="000A3C73">
              <w:rPr>
                <w:rFonts w:ascii="Calibri" w:hAnsi="Calibri"/>
                <w:color w:val="000000"/>
                <w:sz w:val="18"/>
                <w:szCs w:val="18"/>
                <w:lang w:eastAsia="cs-CZ"/>
              </w:rPr>
              <w:t>-boundary conservation actions for water birds in both lakes by EoY1;</w:t>
            </w:r>
          </w:p>
          <w:p w:rsidR="00E336EB" w:rsidRPr="000A3C73" w:rsidRDefault="00E336EB" w:rsidP="00E336EB">
            <w:pPr>
              <w:overflowPunct w:val="0"/>
              <w:autoSpaceDE w:val="0"/>
              <w:autoSpaceDN w:val="0"/>
              <w:adjustRightInd w:val="0"/>
              <w:textAlignment w:val="baseline"/>
              <w:rPr>
                <w:rFonts w:ascii="Calibri" w:hAnsi="Calibri"/>
                <w:color w:val="000000"/>
                <w:sz w:val="18"/>
                <w:szCs w:val="18"/>
                <w:lang w:eastAsia="cs-CZ"/>
              </w:rPr>
            </w:pPr>
            <w:r w:rsidRPr="000A3C73">
              <w:rPr>
                <w:rFonts w:ascii="Calibri" w:hAnsi="Calibri"/>
                <w:color w:val="000000"/>
                <w:sz w:val="18"/>
                <w:szCs w:val="18"/>
                <w:lang w:eastAsia="cs-CZ"/>
              </w:rPr>
              <w:t>Pilot conservation actions applied by EoY2; Monitoring of pilot actions.</w:t>
            </w:r>
          </w:p>
        </w:tc>
        <w:tc>
          <w:tcPr>
            <w:tcW w:w="3258" w:type="dxa"/>
          </w:tcPr>
          <w:p w:rsidR="00E336EB" w:rsidRPr="000A3C73" w:rsidRDefault="00E336EB" w:rsidP="00E25677">
            <w:pPr>
              <w:rPr>
                <w:rFonts w:ascii="Calibri" w:hAnsi="Calibri"/>
                <w:color w:val="000000"/>
                <w:sz w:val="18"/>
                <w:szCs w:val="18"/>
              </w:rPr>
            </w:pPr>
            <w:r w:rsidRPr="000A3C73">
              <w:rPr>
                <w:rFonts w:ascii="Calibri" w:hAnsi="Calibri"/>
                <w:color w:val="000000"/>
                <w:sz w:val="18"/>
                <w:szCs w:val="18"/>
              </w:rPr>
              <w:t>Conservation action plan for reed beds prepared, not yet implemented.</w:t>
            </w:r>
          </w:p>
          <w:p w:rsidR="00765C85" w:rsidRPr="000A3C73" w:rsidRDefault="00765C85" w:rsidP="00765C85">
            <w:pPr>
              <w:rPr>
                <w:rFonts w:ascii="Calibri" w:hAnsi="Calibri"/>
                <w:color w:val="000000"/>
                <w:sz w:val="18"/>
                <w:szCs w:val="18"/>
              </w:rPr>
            </w:pPr>
            <w:r w:rsidRPr="000A3C73">
              <w:rPr>
                <w:rFonts w:ascii="Calibri" w:hAnsi="Calibri"/>
                <w:color w:val="000000"/>
                <w:sz w:val="18"/>
                <w:szCs w:val="18"/>
              </w:rPr>
              <w:t>In Albanian, the former result of a diminished extensive reeds population in the lake in a length of about 500 meters is remarkably being maintained by the PNP and KfW program.</w:t>
            </w:r>
          </w:p>
        </w:tc>
      </w:tr>
      <w:tr w:rsidR="00F82A87" w:rsidRPr="000A3C73" w:rsidTr="00495F06">
        <w:tc>
          <w:tcPr>
            <w:tcW w:w="2628" w:type="dxa"/>
          </w:tcPr>
          <w:p w:rsidR="004E706A" w:rsidRPr="000A3C73" w:rsidRDefault="004E706A" w:rsidP="00E25677">
            <w:pPr>
              <w:rPr>
                <w:rFonts w:ascii="Calibri" w:hAnsi="Calibri"/>
                <w:color w:val="000000"/>
                <w:sz w:val="18"/>
                <w:szCs w:val="18"/>
              </w:rPr>
            </w:pPr>
            <w:r w:rsidRPr="000A3C73">
              <w:rPr>
                <w:rFonts w:ascii="Calibri" w:hAnsi="Calibri"/>
                <w:color w:val="000000"/>
                <w:sz w:val="18"/>
                <w:szCs w:val="18"/>
              </w:rPr>
              <w:t>Reduction in level of threat to endemic fish posed by exotics in all 3 countries. Conservation of genetic diversity of endemic fish species in all 3 countries.</w:t>
            </w:r>
          </w:p>
        </w:tc>
        <w:tc>
          <w:tcPr>
            <w:tcW w:w="3690" w:type="dxa"/>
          </w:tcPr>
          <w:p w:rsidR="004E706A" w:rsidRPr="000A3C73" w:rsidRDefault="004E706A" w:rsidP="00E336EB">
            <w:pPr>
              <w:overflowPunct w:val="0"/>
              <w:autoSpaceDE w:val="0"/>
              <w:autoSpaceDN w:val="0"/>
              <w:adjustRightInd w:val="0"/>
              <w:textAlignment w:val="baseline"/>
              <w:rPr>
                <w:rFonts w:ascii="Calibri" w:hAnsi="Calibri"/>
                <w:color w:val="000000"/>
                <w:sz w:val="18"/>
                <w:szCs w:val="18"/>
                <w:lang w:eastAsia="cs-CZ"/>
              </w:rPr>
            </w:pPr>
            <w:r w:rsidRPr="000A3C73">
              <w:rPr>
                <w:rFonts w:ascii="Calibri" w:hAnsi="Calibri"/>
                <w:color w:val="000000"/>
                <w:sz w:val="18"/>
                <w:szCs w:val="18"/>
              </w:rPr>
              <w:t>Priority threats to endemic fish from exotics, habitat change, and overfishing and re-introductions understood by EoY1; Absolute prevention of introductions of predatory fish species of potential commercial value interest; Management action agreed by EoY 2; Pilot measures underway to reduce them by EoY 4.</w:t>
            </w:r>
          </w:p>
        </w:tc>
        <w:tc>
          <w:tcPr>
            <w:tcW w:w="3258" w:type="dxa"/>
          </w:tcPr>
          <w:p w:rsidR="004E706A" w:rsidRPr="000A3C73" w:rsidRDefault="00235462" w:rsidP="00E25677">
            <w:pPr>
              <w:rPr>
                <w:rFonts w:ascii="Calibri" w:hAnsi="Calibri"/>
                <w:color w:val="000000"/>
                <w:sz w:val="18"/>
                <w:szCs w:val="18"/>
              </w:rPr>
            </w:pPr>
            <w:r w:rsidRPr="000A3C73">
              <w:rPr>
                <w:rFonts w:ascii="Calibri" w:hAnsi="Calibri"/>
                <w:color w:val="000000"/>
                <w:sz w:val="18"/>
                <w:szCs w:val="18"/>
              </w:rPr>
              <w:t>Small-scale</w:t>
            </w:r>
            <w:r w:rsidR="004E706A" w:rsidRPr="000A3C73">
              <w:rPr>
                <w:rFonts w:ascii="Calibri" w:hAnsi="Calibri"/>
                <w:color w:val="000000"/>
                <w:sz w:val="18"/>
                <w:szCs w:val="18"/>
              </w:rPr>
              <w:t xml:space="preserve"> actions formerly taken by the project are being replicated from the fisherman associations in order to maintain the lake area of app. 40 ha under improved ecosystem status (AL).</w:t>
            </w:r>
          </w:p>
        </w:tc>
      </w:tr>
      <w:tr w:rsidR="00F82A87" w:rsidRPr="000A3C73" w:rsidTr="00495F06">
        <w:tc>
          <w:tcPr>
            <w:tcW w:w="2628" w:type="dxa"/>
          </w:tcPr>
          <w:p w:rsidR="008863E3" w:rsidRPr="000A3C73" w:rsidRDefault="008863E3" w:rsidP="00E25677">
            <w:pPr>
              <w:rPr>
                <w:rFonts w:ascii="Calibri" w:hAnsi="Calibri"/>
                <w:color w:val="000000"/>
                <w:sz w:val="18"/>
                <w:szCs w:val="18"/>
              </w:rPr>
            </w:pPr>
            <w:r w:rsidRPr="000A3C73">
              <w:rPr>
                <w:rFonts w:ascii="Calibri" w:hAnsi="Calibri"/>
                <w:color w:val="000000"/>
                <w:sz w:val="18"/>
                <w:szCs w:val="18"/>
              </w:rPr>
              <w:t>Wetland vegetation in GR and AL and MK are managed and their habitat values enhanced.</w:t>
            </w:r>
          </w:p>
        </w:tc>
        <w:tc>
          <w:tcPr>
            <w:tcW w:w="3690" w:type="dxa"/>
          </w:tcPr>
          <w:p w:rsidR="008863E3" w:rsidRPr="000A3C73" w:rsidRDefault="008863E3" w:rsidP="008863E3">
            <w:pPr>
              <w:overflowPunct w:val="0"/>
              <w:autoSpaceDE w:val="0"/>
              <w:autoSpaceDN w:val="0"/>
              <w:adjustRightInd w:val="0"/>
              <w:textAlignment w:val="baseline"/>
              <w:rPr>
                <w:rFonts w:ascii="Calibri" w:hAnsi="Calibri"/>
                <w:color w:val="000000"/>
                <w:sz w:val="18"/>
                <w:szCs w:val="18"/>
                <w:lang w:eastAsia="cs-CZ"/>
              </w:rPr>
            </w:pPr>
            <w:r w:rsidRPr="000A3C73">
              <w:rPr>
                <w:rFonts w:ascii="Calibri" w:hAnsi="Calibri"/>
                <w:color w:val="000000"/>
                <w:sz w:val="18"/>
                <w:szCs w:val="18"/>
                <w:lang w:eastAsia="cs-CZ"/>
              </w:rPr>
              <w:t>Wet meadows in GR are restored and properly managed in GR-Prespa (targeting at the maintenance of minimum 100 ha);</w:t>
            </w:r>
          </w:p>
          <w:p w:rsidR="008863E3" w:rsidRPr="000A3C73" w:rsidRDefault="008863E3" w:rsidP="008863E3">
            <w:pPr>
              <w:overflowPunct w:val="0"/>
              <w:autoSpaceDE w:val="0"/>
              <w:autoSpaceDN w:val="0"/>
              <w:adjustRightInd w:val="0"/>
              <w:textAlignment w:val="baseline"/>
              <w:rPr>
                <w:rFonts w:ascii="Calibri" w:hAnsi="Calibri"/>
                <w:color w:val="000000"/>
                <w:sz w:val="18"/>
                <w:szCs w:val="18"/>
              </w:rPr>
            </w:pPr>
            <w:r w:rsidRPr="000A3C73">
              <w:rPr>
                <w:rFonts w:ascii="Calibri" w:hAnsi="Calibri"/>
                <w:color w:val="000000"/>
                <w:sz w:val="18"/>
                <w:szCs w:val="18"/>
                <w:lang w:eastAsia="cs-CZ"/>
              </w:rPr>
              <w:t>Pilot projects are starting in AL-Prespa.</w:t>
            </w:r>
          </w:p>
        </w:tc>
        <w:tc>
          <w:tcPr>
            <w:tcW w:w="3258" w:type="dxa"/>
          </w:tcPr>
          <w:p w:rsidR="008863E3" w:rsidRPr="000A3C73" w:rsidRDefault="008863E3" w:rsidP="00E25677">
            <w:pPr>
              <w:rPr>
                <w:rFonts w:ascii="Calibri" w:hAnsi="Calibri"/>
                <w:color w:val="000000"/>
                <w:sz w:val="18"/>
                <w:szCs w:val="18"/>
              </w:rPr>
            </w:pPr>
            <w:r w:rsidRPr="000A3C73">
              <w:rPr>
                <w:rFonts w:ascii="Calibri" w:hAnsi="Calibri"/>
                <w:color w:val="000000"/>
                <w:sz w:val="18"/>
                <w:szCs w:val="18"/>
              </w:rPr>
              <w:t>The fisherman associations in AL Prespa continued efforts to sustain improved ecosystems situation of the lake area (40 ha) and clean navigation channels in Small Prespa (reeds removal) diminishing also the extensive reeds population in the lake (i a length of about 500 meters), and fish traps in Big Prespa Lake (reducing also the usage ‘llovizhda’) (AL)</w:t>
            </w:r>
          </w:p>
        </w:tc>
      </w:tr>
    </w:tbl>
    <w:p w:rsidR="00E25677" w:rsidRPr="000A3C73" w:rsidRDefault="00E25677" w:rsidP="00E25677">
      <w:pPr>
        <w:pStyle w:val="BodyText"/>
        <w:numPr>
          <w:ilvl w:val="0"/>
          <w:numId w:val="0"/>
        </w:numPr>
      </w:pPr>
    </w:p>
    <w:p w:rsidR="00D30193" w:rsidRPr="000A3C73" w:rsidRDefault="001A4887" w:rsidP="002A664A">
      <w:pPr>
        <w:pStyle w:val="BodyText"/>
      </w:pPr>
      <w:r w:rsidRPr="000A3C73">
        <w:t xml:space="preserve">In fact it is extremely difficult for GEF projects to demonstrate significant impact level results by the end of the project, as ecosystems and species populations can take a significant amount of time to measurably respond to conservation measures. In addition, environmental monitoring data is often inadequate to make these assessments. </w:t>
      </w:r>
      <w:r w:rsidR="000F361F" w:rsidRPr="000A3C73">
        <w:t>U</w:t>
      </w:r>
      <w:r w:rsidR="00043A2E" w:rsidRPr="000A3C73">
        <w:t xml:space="preserve">ltimately the project’s impact will need to be assessed years in the future to </w:t>
      </w:r>
      <w:r w:rsidR="00F2478E" w:rsidRPr="000A3C73">
        <w:t xml:space="preserve">appropriately </w:t>
      </w:r>
      <w:r w:rsidR="000F361F" w:rsidRPr="000A3C73">
        <w:t xml:space="preserve">consider how </w:t>
      </w:r>
      <w:r w:rsidR="007A7FAF" w:rsidRPr="000A3C73">
        <w:t xml:space="preserve">the actions and activities implemented under the project have contributed to improvements in the water resources, and land and biodiversity resources. In a situation such as Prespa, it must also be recognized that there are many active partners and participants contributing to improved environmental management in the area, and it would be impossible to quantify the exact GEF contribution beyond the very small site-specific level. </w:t>
      </w:r>
    </w:p>
    <w:p w:rsidR="00B41E00" w:rsidRPr="000A3C73" w:rsidRDefault="00B41E00" w:rsidP="00B41E00">
      <w:pPr>
        <w:pStyle w:val="Heading1"/>
        <w:ind w:left="360" w:hanging="360"/>
      </w:pPr>
      <w:bookmarkStart w:id="167" w:name="_Toc152154299"/>
      <w:bookmarkStart w:id="168" w:name="_Toc238551089"/>
      <w:r w:rsidRPr="000A3C73">
        <w:t>Main Lessons Learned and Recommendations</w:t>
      </w:r>
      <w:bookmarkEnd w:id="167"/>
      <w:bookmarkEnd w:id="168"/>
    </w:p>
    <w:p w:rsidR="00EA50B6" w:rsidRPr="000A3C73" w:rsidRDefault="00B41E00" w:rsidP="00B41E00">
      <w:pPr>
        <w:pStyle w:val="Heading2"/>
        <w:ind w:left="1080" w:hanging="360"/>
      </w:pPr>
      <w:bookmarkStart w:id="169" w:name="_Toc152154300"/>
      <w:bookmarkStart w:id="170" w:name="_Ref198376324"/>
      <w:bookmarkStart w:id="171" w:name="_Ref210987059"/>
      <w:bookmarkStart w:id="172" w:name="_Toc238551090"/>
      <w:r w:rsidRPr="000A3C73">
        <w:t xml:space="preserve">Lessons from the Experience of the </w:t>
      </w:r>
      <w:r w:rsidR="006C758C" w:rsidRPr="000A3C73">
        <w:t>Prespa IEM</w:t>
      </w:r>
      <w:r w:rsidRPr="000A3C73">
        <w:t xml:space="preserve"> Project</w:t>
      </w:r>
      <w:bookmarkEnd w:id="169"/>
      <w:bookmarkEnd w:id="170"/>
      <w:bookmarkEnd w:id="171"/>
      <w:bookmarkEnd w:id="172"/>
    </w:p>
    <w:p w:rsidR="00B23F3A" w:rsidRPr="000A3C73" w:rsidRDefault="0030118A" w:rsidP="005D3349">
      <w:pPr>
        <w:pStyle w:val="BodyText"/>
      </w:pPr>
      <w:r w:rsidRPr="000A3C73">
        <w:t>B</w:t>
      </w:r>
      <w:r w:rsidR="000F361F" w:rsidRPr="000A3C73">
        <w:t xml:space="preserve">elow </w:t>
      </w:r>
      <w:r w:rsidRPr="000A3C73">
        <w:t xml:space="preserve">are </w:t>
      </w:r>
      <w:r w:rsidR="000F361F" w:rsidRPr="000A3C73">
        <w:t>lessons considered by the evaluation team to be some of the more significant lessons drawn from the</w:t>
      </w:r>
      <w:r w:rsidRPr="000A3C73">
        <w:t xml:space="preserve"> project</w:t>
      </w:r>
      <w:r w:rsidR="000F361F" w:rsidRPr="000A3C73">
        <w:t xml:space="preserve"> experience, but </w:t>
      </w:r>
      <w:r w:rsidR="005D74EE" w:rsidRPr="000A3C73">
        <w:t xml:space="preserve">these </w:t>
      </w:r>
      <w:r w:rsidR="000F361F" w:rsidRPr="000A3C73">
        <w:t xml:space="preserve">should not necessarily be considered comprehensive. The project team and stakeholders should continue analyzing and drawing on the project experience to identify additional or more comprehensive lessons, and support dissemination of these lessons through documentation in knowledge products. </w:t>
      </w:r>
    </w:p>
    <w:p w:rsidR="00A8787B" w:rsidRPr="000A3C73" w:rsidRDefault="00A8787B" w:rsidP="005D3349">
      <w:pPr>
        <w:pStyle w:val="BodyText"/>
      </w:pPr>
      <w:r w:rsidRPr="000A3C73">
        <w:rPr>
          <w:b/>
          <w:i/>
          <w:u w:val="single"/>
        </w:rPr>
        <w:t>Lesson</w:t>
      </w:r>
      <w:r w:rsidR="00FC4DFC" w:rsidRPr="000A3C73">
        <w:rPr>
          <w:b/>
          <w:i/>
          <w:u w:val="single"/>
        </w:rPr>
        <w:t xml:space="preserve"> 1</w:t>
      </w:r>
      <w:r w:rsidRPr="000A3C73">
        <w:rPr>
          <w:b/>
          <w:i/>
          <w:u w:val="single"/>
        </w:rPr>
        <w:t>:</w:t>
      </w:r>
      <w:r w:rsidR="00914BBF" w:rsidRPr="000A3C73">
        <w:rPr>
          <w:b/>
          <w:i/>
          <w:u w:val="single"/>
        </w:rPr>
        <w:t xml:space="preserve"> </w:t>
      </w:r>
      <w:r w:rsidR="007B2310" w:rsidRPr="000A3C73">
        <w:t xml:space="preserve">Project designs and goals need to be cognizant of the fact that new approaches (i.e. IEM) can take </w:t>
      </w:r>
      <w:r w:rsidR="005D74EE" w:rsidRPr="000A3C73">
        <w:t>a long time</w:t>
      </w:r>
      <w:r w:rsidR="007B2310" w:rsidRPr="000A3C73">
        <w:t xml:space="preserve"> to gain traction and overcome societal inertia, and projects must be designed with stakeholder needs and capacities in mind to reach success. </w:t>
      </w:r>
      <w:r w:rsidR="001272CB" w:rsidRPr="000A3C73">
        <w:t>Active involvement of local and national stakeholders and resource users is imperative in the actual stage of the institutional and legal set up (i.e. Albania Prespa Nati</w:t>
      </w:r>
      <w:r w:rsidR="004A4CC3" w:rsidRPr="000A3C73">
        <w:t>onal Park Management Committee).</w:t>
      </w:r>
    </w:p>
    <w:p w:rsidR="00196181" w:rsidRPr="000A3C73" w:rsidRDefault="00196181" w:rsidP="005D3349">
      <w:pPr>
        <w:pStyle w:val="BodyText"/>
      </w:pPr>
      <w:r w:rsidRPr="000A3C73">
        <w:rPr>
          <w:b/>
          <w:i/>
          <w:u w:val="single"/>
        </w:rPr>
        <w:t>Lesson</w:t>
      </w:r>
      <w:r w:rsidR="00FC4DFC" w:rsidRPr="000A3C73">
        <w:rPr>
          <w:b/>
          <w:i/>
          <w:u w:val="single"/>
        </w:rPr>
        <w:t xml:space="preserve"> 2</w:t>
      </w:r>
      <w:r w:rsidRPr="000A3C73">
        <w:rPr>
          <w:b/>
          <w:i/>
          <w:u w:val="single"/>
        </w:rPr>
        <w:t>:</w:t>
      </w:r>
      <w:r w:rsidR="00914BBF" w:rsidRPr="000A3C73">
        <w:rPr>
          <w:b/>
          <w:i/>
          <w:u w:val="single"/>
        </w:rPr>
        <w:t xml:space="preserve"> </w:t>
      </w:r>
      <w:r w:rsidR="003D0F21" w:rsidRPr="000A3C73">
        <w:t xml:space="preserve">Transboundary cooperation, although an international fashion, is more important at local level, and thus initiation of transboundary approaches are likely to be successful when initiated and driven by local level stakeholders. </w:t>
      </w:r>
      <w:r w:rsidR="000545CC" w:rsidRPr="000A3C73">
        <w:t>Although formalized national-level legally-binding cooperation is often the ideal for transboundary environmental management, it is also possible to move ahead from a practical perspective by supporting cooperation among technical staff, local resource users, and local government, which can be adequately effective</w:t>
      </w:r>
      <w:r w:rsidR="00914BBF" w:rsidRPr="000A3C73">
        <w:t xml:space="preserve"> </w:t>
      </w:r>
      <w:r w:rsidR="000545CC" w:rsidRPr="000A3C73">
        <w:t xml:space="preserve">for environmental management. </w:t>
      </w:r>
    </w:p>
    <w:p w:rsidR="005D3349" w:rsidRPr="000A3C73" w:rsidRDefault="003E5ECD" w:rsidP="005D3349">
      <w:pPr>
        <w:pStyle w:val="BodyText"/>
      </w:pPr>
      <w:r w:rsidRPr="000A3C73">
        <w:rPr>
          <w:b/>
          <w:i/>
          <w:u w:val="single"/>
        </w:rPr>
        <w:t>Lesson</w:t>
      </w:r>
      <w:r w:rsidR="00FC4DFC" w:rsidRPr="000A3C73">
        <w:rPr>
          <w:b/>
          <w:i/>
          <w:u w:val="single"/>
        </w:rPr>
        <w:t xml:space="preserve"> 3</w:t>
      </w:r>
      <w:r w:rsidRPr="000A3C73">
        <w:rPr>
          <w:b/>
          <w:i/>
          <w:u w:val="single"/>
        </w:rPr>
        <w:t>:</w:t>
      </w:r>
      <w:r w:rsidR="00914BBF" w:rsidRPr="000A3C73">
        <w:rPr>
          <w:b/>
          <w:i/>
          <w:u w:val="single"/>
        </w:rPr>
        <w:t xml:space="preserve"> </w:t>
      </w:r>
      <w:r w:rsidR="005D74EE" w:rsidRPr="000A3C73">
        <w:t>L</w:t>
      </w:r>
      <w:r w:rsidR="000545CC" w:rsidRPr="000A3C73">
        <w:t>ocal level cooperation on environmental management is an effective means of building stakeholder ownership, and can contribute to good governance by involving diverse stakeholders and promoting transparency and participation on issues related to natural resources.</w:t>
      </w:r>
      <w:r w:rsidR="001054C9" w:rsidRPr="000A3C73">
        <w:t xml:space="preserve"> </w:t>
      </w:r>
      <w:r w:rsidR="000545CC" w:rsidRPr="000A3C73">
        <w:t>Such participatory approaches help establish a path for future initiatives, but in the Prespa region transboundary cooperation still needs external facilitation.</w:t>
      </w:r>
      <w:r w:rsidR="00365ABF" w:rsidRPr="000A3C73">
        <w:t xml:space="preserve"> The development of the Local Environmental Action Plan at the municipal level in Albania was an important tool for assuring stakeholder involvement and support for project activities, as the participatory approach used was very helpful.</w:t>
      </w:r>
    </w:p>
    <w:p w:rsidR="00C04C4A" w:rsidRPr="000A3C73" w:rsidRDefault="00C04C4A" w:rsidP="005D3349">
      <w:pPr>
        <w:pStyle w:val="BodyText"/>
      </w:pPr>
      <w:r w:rsidRPr="000A3C73">
        <w:rPr>
          <w:b/>
          <w:i/>
          <w:u w:val="single"/>
        </w:rPr>
        <w:t>Lesson</w:t>
      </w:r>
      <w:r w:rsidR="00FC4DFC" w:rsidRPr="000A3C73">
        <w:rPr>
          <w:b/>
          <w:i/>
          <w:u w:val="single"/>
        </w:rPr>
        <w:t xml:space="preserve"> 4</w:t>
      </w:r>
      <w:r w:rsidRPr="000A3C73">
        <w:rPr>
          <w:b/>
          <w:i/>
          <w:u w:val="single"/>
        </w:rPr>
        <w:t>:</w:t>
      </w:r>
      <w:r w:rsidR="00914BBF" w:rsidRPr="000A3C73">
        <w:rPr>
          <w:b/>
          <w:i/>
          <w:u w:val="single"/>
        </w:rPr>
        <w:t xml:space="preserve"> </w:t>
      </w:r>
      <w:r w:rsidR="005A299F" w:rsidRPr="000A3C73">
        <w:t xml:space="preserve">Having a local program office </w:t>
      </w:r>
      <w:r w:rsidR="005D74EE" w:rsidRPr="000A3C73">
        <w:t xml:space="preserve">(in Macedonia) and a locally-based project office (in Albania) </w:t>
      </w:r>
      <w:r w:rsidR="005A299F" w:rsidRPr="000A3C73">
        <w:t xml:space="preserve">has proven to be valuable for successful and efficient implementation of project activities. </w:t>
      </w:r>
    </w:p>
    <w:p w:rsidR="00C04C4A" w:rsidRPr="000A3C73" w:rsidRDefault="00C04C4A" w:rsidP="005D3349">
      <w:pPr>
        <w:pStyle w:val="BodyText"/>
      </w:pPr>
      <w:r w:rsidRPr="000A3C73">
        <w:rPr>
          <w:b/>
          <w:i/>
          <w:u w:val="single"/>
        </w:rPr>
        <w:t>Lesson</w:t>
      </w:r>
      <w:r w:rsidR="00FC4DFC" w:rsidRPr="000A3C73">
        <w:rPr>
          <w:b/>
          <w:i/>
          <w:u w:val="single"/>
        </w:rPr>
        <w:t xml:space="preserve"> 5</w:t>
      </w:r>
      <w:r w:rsidRPr="000A3C73">
        <w:rPr>
          <w:b/>
          <w:i/>
          <w:u w:val="single"/>
        </w:rPr>
        <w:t>:</w:t>
      </w:r>
      <w:r w:rsidR="00914BBF" w:rsidRPr="000A3C73">
        <w:rPr>
          <w:b/>
          <w:i/>
          <w:u w:val="single"/>
        </w:rPr>
        <w:t xml:space="preserve"> </w:t>
      </w:r>
      <w:r w:rsidR="005A299F" w:rsidRPr="000A3C73">
        <w:t xml:space="preserve">Effective implementation of complex long-term activities with a result-based focus requires flexibility and consistent ongoing risk management. </w:t>
      </w:r>
      <w:r w:rsidR="005D74EE" w:rsidRPr="000A3C73">
        <w:t xml:space="preserve">In the Prespa IEM project there were numerous challenges that arose during the six year implementation period, both for the national and transboundary components of the project. Some issues were resolved more effectively than others, and early intervention and flexible approaches proved to be keys for those issues that were successfully addressed. </w:t>
      </w:r>
    </w:p>
    <w:p w:rsidR="00C04C4A" w:rsidRPr="000A3C73" w:rsidRDefault="00C04C4A" w:rsidP="005D3349">
      <w:pPr>
        <w:pStyle w:val="BodyText"/>
      </w:pPr>
      <w:r w:rsidRPr="000A3C73">
        <w:rPr>
          <w:b/>
          <w:i/>
          <w:u w:val="single"/>
        </w:rPr>
        <w:t>Lesson</w:t>
      </w:r>
      <w:r w:rsidR="00FC4DFC" w:rsidRPr="000A3C73">
        <w:rPr>
          <w:b/>
          <w:i/>
          <w:u w:val="single"/>
        </w:rPr>
        <w:t xml:space="preserve"> 6</w:t>
      </w:r>
      <w:r w:rsidRPr="000A3C73">
        <w:rPr>
          <w:b/>
          <w:i/>
          <w:u w:val="single"/>
        </w:rPr>
        <w:t>:</w:t>
      </w:r>
      <w:r w:rsidR="00914BBF" w:rsidRPr="000A3C73">
        <w:rPr>
          <w:b/>
          <w:i/>
          <w:u w:val="single"/>
        </w:rPr>
        <w:t xml:space="preserve"> </w:t>
      </w:r>
      <w:r w:rsidR="00727FEB" w:rsidRPr="000A3C73">
        <w:t>Expectation management in the early stages of external donor intervention is critical for actual and perceived success over the long-term</w:t>
      </w:r>
      <w:r w:rsidR="00645E71" w:rsidRPr="000A3C73">
        <w:t>.</w:t>
      </w:r>
      <w:r w:rsidR="00914BBF" w:rsidRPr="000A3C73">
        <w:t xml:space="preserve"> </w:t>
      </w:r>
      <w:r w:rsidR="004047A0" w:rsidRPr="000A3C73">
        <w:t>The expectations</w:t>
      </w:r>
      <w:r w:rsidR="00824A3B" w:rsidRPr="000A3C73">
        <w:t xml:space="preserve"> of local </w:t>
      </w:r>
      <w:r w:rsidR="004047A0" w:rsidRPr="000A3C73">
        <w:t>government</w:t>
      </w:r>
      <w:r w:rsidR="00824A3B" w:rsidRPr="000A3C73">
        <w:t xml:space="preserve"> and NGOs are usually highest, particularly when they s</w:t>
      </w:r>
      <w:r w:rsidR="004047A0" w:rsidRPr="000A3C73">
        <w:t>ee the amount of money involved</w:t>
      </w:r>
      <w:r w:rsidR="00824A3B" w:rsidRPr="000A3C73">
        <w:t xml:space="preserve"> and </w:t>
      </w:r>
      <w:r w:rsidR="004047A0" w:rsidRPr="000A3C73">
        <w:t>begin</w:t>
      </w:r>
      <w:r w:rsidR="00824A3B" w:rsidRPr="000A3C73">
        <w:t xml:space="preserve"> to think all of their aims or requ</w:t>
      </w:r>
      <w:r w:rsidR="004047A0" w:rsidRPr="000A3C73">
        <w:t xml:space="preserve">irements will suddenly be met. </w:t>
      </w:r>
      <w:r w:rsidR="00824A3B" w:rsidRPr="000A3C73">
        <w:t>This is natura</w:t>
      </w:r>
      <w:r w:rsidR="004047A0" w:rsidRPr="000A3C73">
        <w:t>l, and common to most projects.</w:t>
      </w:r>
      <w:r w:rsidR="00824A3B" w:rsidRPr="000A3C73">
        <w:t xml:space="preserve"> However, projects should do more, particularly during the inception phase, to explain the likely level of deliverables, promote a clearer understanding of incremental cost, raise awareness of the fact that much money will be needed for enabling activities such as consultancy studies, planning, etc.</w:t>
      </w:r>
      <w:r w:rsidR="004047A0" w:rsidRPr="000A3C73">
        <w:t>,</w:t>
      </w:r>
      <w:r w:rsidR="00824A3B" w:rsidRPr="000A3C73">
        <w:t xml:space="preserve"> and that </w:t>
      </w:r>
      <w:r w:rsidR="004047A0" w:rsidRPr="000A3C73">
        <w:t>few</w:t>
      </w:r>
      <w:r w:rsidR="00824A3B" w:rsidRPr="000A3C73">
        <w:t xml:space="preserve"> project</w:t>
      </w:r>
      <w:r w:rsidR="004047A0" w:rsidRPr="000A3C73">
        <w:t>s</w:t>
      </w:r>
      <w:r w:rsidR="00824A3B" w:rsidRPr="000A3C73">
        <w:t xml:space="preserve"> despite the best of intentions manage to deliver everything </w:t>
      </w:r>
      <w:r w:rsidR="004047A0" w:rsidRPr="000A3C73">
        <w:t>they</w:t>
      </w:r>
      <w:r w:rsidR="00824A3B" w:rsidRPr="000A3C73">
        <w:t xml:space="preserve"> aim to.</w:t>
      </w:r>
    </w:p>
    <w:p w:rsidR="00C04C4A" w:rsidRPr="000A3C73" w:rsidRDefault="00C04C4A" w:rsidP="005D3349">
      <w:pPr>
        <w:pStyle w:val="BodyText"/>
      </w:pPr>
      <w:r w:rsidRPr="000A3C73">
        <w:rPr>
          <w:b/>
          <w:i/>
          <w:u w:val="single"/>
        </w:rPr>
        <w:t>Lesson</w:t>
      </w:r>
      <w:r w:rsidR="00FC4DFC" w:rsidRPr="000A3C73">
        <w:rPr>
          <w:b/>
          <w:i/>
          <w:u w:val="single"/>
        </w:rPr>
        <w:t xml:space="preserve"> 7</w:t>
      </w:r>
      <w:r w:rsidRPr="000A3C73">
        <w:rPr>
          <w:b/>
          <w:i/>
          <w:u w:val="single"/>
        </w:rPr>
        <w:t>:</w:t>
      </w:r>
      <w:r w:rsidR="00914BBF" w:rsidRPr="000A3C73">
        <w:rPr>
          <w:b/>
          <w:i/>
          <w:u w:val="single"/>
        </w:rPr>
        <w:t xml:space="preserve"> </w:t>
      </w:r>
      <w:r w:rsidR="00727FEB" w:rsidRPr="000A3C73">
        <w:t>It can be useful to leverage additional external donor funding for concrete pilot activities that a broader general umbrella project has identified as importa</w:t>
      </w:r>
      <w:r w:rsidR="00864295" w:rsidRPr="000A3C73">
        <w:t xml:space="preserve">nt for sustainable development, and aligning of environmental and development priorities can create significant programmatic and financial synergies. The Prespa IEM project’s linkage with SDC and KfW initiatives leveraged significant additional funding. However, there are risks along with the potential benefits to developing GEF-funded activities that are strongly integrated with and dependent on activities fully funded by other donors. Co-financing is required for all GEF projects, but the use of co-financing varies from project to project. For the Prespa IEM project there were multiple project activities directly incorporated in the project document and strategy from other donor funded activities – namely KfW’s support for protected areas in Macedonia and Albania. In both cases the timing of implementation of these activities did not correspond to the timing of the GEF-funded activities (in Macedonia the KfW support began before the GEF activities, and in Albania it was significantly delayed), and thus the project’s results targets that depended on the KfW activities in Albania have not been met. </w:t>
      </w:r>
      <w:r w:rsidR="00C61B5E" w:rsidRPr="000A3C73">
        <w:t xml:space="preserve">At the same time there have not been the level of synergies envisioned, as there has been a gap between preparation of studies and plans, and actual implementation, which causes some stakeholders to lose credibility, while the buy-in of other stakeholders is jeopardized. </w:t>
      </w:r>
      <w:r w:rsidR="00864295" w:rsidRPr="000A3C73">
        <w:t xml:space="preserve">On the other hand, the project work on the Golema Reka restoration and development of the biodegradable waste facility in Macedonia provide an excellent example of the potential synergies from strongly integrating donor activities. The GEF was able to fund the planning and scoping portions of these activities, which set the stage for the SDC to provide the capital investment. </w:t>
      </w:r>
    </w:p>
    <w:p w:rsidR="00C04C4A" w:rsidRPr="000A3C73" w:rsidRDefault="00C04C4A" w:rsidP="005D3349">
      <w:pPr>
        <w:pStyle w:val="BodyText"/>
      </w:pPr>
      <w:r w:rsidRPr="000A3C73">
        <w:rPr>
          <w:b/>
          <w:i/>
          <w:u w:val="single"/>
        </w:rPr>
        <w:t>Lesson</w:t>
      </w:r>
      <w:r w:rsidR="00FC4DFC" w:rsidRPr="000A3C73">
        <w:rPr>
          <w:b/>
          <w:i/>
          <w:u w:val="single"/>
        </w:rPr>
        <w:t xml:space="preserve"> 8</w:t>
      </w:r>
      <w:r w:rsidRPr="000A3C73">
        <w:rPr>
          <w:b/>
          <w:i/>
          <w:u w:val="single"/>
        </w:rPr>
        <w:t>:</w:t>
      </w:r>
      <w:r w:rsidR="00914BBF" w:rsidRPr="000A3C73">
        <w:rPr>
          <w:b/>
          <w:i/>
          <w:u w:val="single"/>
        </w:rPr>
        <w:t xml:space="preserve"> </w:t>
      </w:r>
      <w:r w:rsidR="00FA3791" w:rsidRPr="000A3C73">
        <w:t>Shared natural resources are a good basis for working on common initiatives and building networks among communities divided by country borders</w:t>
      </w:r>
      <w:r w:rsidR="00B136B1" w:rsidRPr="000A3C73">
        <w:t>.</w:t>
      </w:r>
      <w:r w:rsidR="00914BBF" w:rsidRPr="000A3C73">
        <w:t xml:space="preserve"> </w:t>
      </w:r>
      <w:r w:rsidR="00FA3791" w:rsidRPr="000A3C73">
        <w:t>In historically politically divided regions, joint initiatives in solving common environmental problems through participatory approach and information sharing proved to be an important vehicle for building trust and enhancing dialogue between the communities. Shared natural resources and their sustainable management served as a platform for exchanges, establishing networks, and building bridges between trans-boundary communities. Neutrality of the environmental topics further helped this process. Preservation of natural resources is a priority for all beneficiaries and thus made it appropriate for engaging local communities in common work. In some of the sites, the project provided the first opportunity when local government officials and stakeholders met each other and worked on solving a common problem.</w:t>
      </w:r>
    </w:p>
    <w:p w:rsidR="004B75CD" w:rsidRPr="000A3C73" w:rsidRDefault="004B75CD" w:rsidP="005D3349">
      <w:pPr>
        <w:pStyle w:val="BodyText"/>
      </w:pPr>
      <w:r w:rsidRPr="000A3C73">
        <w:rPr>
          <w:b/>
          <w:i/>
          <w:u w:val="single"/>
        </w:rPr>
        <w:t>Lesson</w:t>
      </w:r>
      <w:r w:rsidR="00FC4DFC" w:rsidRPr="000A3C73">
        <w:rPr>
          <w:b/>
          <w:i/>
          <w:u w:val="single"/>
        </w:rPr>
        <w:t xml:space="preserve"> 9</w:t>
      </w:r>
      <w:r w:rsidRPr="000A3C73">
        <w:rPr>
          <w:b/>
          <w:i/>
          <w:u w:val="single"/>
        </w:rPr>
        <w:t>:</w:t>
      </w:r>
      <w:r w:rsidR="00914BBF" w:rsidRPr="000A3C73">
        <w:rPr>
          <w:b/>
          <w:i/>
          <w:u w:val="single"/>
        </w:rPr>
        <w:t xml:space="preserve"> </w:t>
      </w:r>
      <w:r w:rsidR="00E17A9C" w:rsidRPr="000A3C73">
        <w:t xml:space="preserve">Transboundary cooperation for environmental management is likely to be stronger when the participating national governments have a similar level of priority on the targeted resources. In the case of the Prespa IEM project, it became clear that the three participating states’ central governments were not able to </w:t>
      </w:r>
      <w:r w:rsidR="004047A0" w:rsidRPr="000A3C73">
        <w:t>provide</w:t>
      </w:r>
      <w:r w:rsidR="00E17A9C" w:rsidRPr="000A3C73">
        <w:t xml:space="preserve"> an equal level of engagement </w:t>
      </w:r>
      <w:r w:rsidR="004047A0" w:rsidRPr="000A3C73">
        <w:t>for</w:t>
      </w:r>
      <w:r w:rsidR="00E17A9C" w:rsidRPr="000A3C73">
        <w:t xml:space="preserve"> multilateral ac</w:t>
      </w:r>
      <w:r w:rsidR="004047A0" w:rsidRPr="000A3C73">
        <w:t>tivities related to the Prespa b</w:t>
      </w:r>
      <w:r w:rsidR="00E17A9C" w:rsidRPr="000A3C73">
        <w:t>asin. This is understandable and was potentially foreseeable, but the necessary accommodations were not made in the project design to overcome this challenge.</w:t>
      </w:r>
      <w:r w:rsidR="00914BBF" w:rsidRPr="000A3C73">
        <w:t xml:space="preserve"> </w:t>
      </w:r>
      <w:r w:rsidR="00C61B5E" w:rsidRPr="000A3C73">
        <w:t xml:space="preserve">Projects supporting transboundary cooperation need to look to similar structures as a starting point for building sustainable cooperation. </w:t>
      </w:r>
    </w:p>
    <w:p w:rsidR="00AC43F1" w:rsidRPr="000A3C73" w:rsidRDefault="00AC43F1" w:rsidP="005D3349">
      <w:pPr>
        <w:pStyle w:val="BodyText"/>
      </w:pPr>
      <w:r w:rsidRPr="000A3C73">
        <w:rPr>
          <w:b/>
          <w:i/>
          <w:u w:val="single"/>
        </w:rPr>
        <w:t>Lesson</w:t>
      </w:r>
      <w:r w:rsidR="00FC4DFC" w:rsidRPr="000A3C73">
        <w:rPr>
          <w:b/>
          <w:i/>
          <w:u w:val="single"/>
        </w:rPr>
        <w:t xml:space="preserve"> 10</w:t>
      </w:r>
      <w:r w:rsidRPr="000A3C73">
        <w:rPr>
          <w:b/>
          <w:i/>
          <w:u w:val="single"/>
        </w:rPr>
        <w:t>:</w:t>
      </w:r>
      <w:r w:rsidR="00914BBF" w:rsidRPr="000A3C73">
        <w:rPr>
          <w:b/>
          <w:i/>
          <w:u w:val="single"/>
        </w:rPr>
        <w:t xml:space="preserve"> </w:t>
      </w:r>
      <w:r w:rsidR="0028592C" w:rsidRPr="000A3C73">
        <w:t>Integrated environmental management in a regional context requires projects with an integrated implementation structure</w:t>
      </w:r>
      <w:r w:rsidRPr="000A3C73">
        <w:t xml:space="preserve">. </w:t>
      </w:r>
      <w:r w:rsidR="0028592C" w:rsidRPr="000A3C73">
        <w:t>The three-part implementation structure of the Prespa IEM project, with one DEX and two NEX components, proved challenging for achieving strong synergistic and integrated project activities as a unified project rather than as three individual projects</w:t>
      </w:r>
      <w:r w:rsidR="00D008E1" w:rsidRPr="000A3C73">
        <w:t xml:space="preserve">. </w:t>
      </w:r>
      <w:r w:rsidR="00D008E1" w:rsidRPr="000A3C73">
        <w:rPr>
          <w:rFonts w:asciiTheme="majorHAnsi" w:hAnsiTheme="majorHAnsi"/>
          <w:color w:val="000000"/>
        </w:rPr>
        <w:t>In addition, to strengthen an integrated synergetic approach for regional projects, project activities in each of the participating countries should begin implementation at approximately the same time.</w:t>
      </w:r>
    </w:p>
    <w:p w:rsidR="00D83F22" w:rsidRPr="000A3C73" w:rsidRDefault="00D83F22" w:rsidP="005D3349">
      <w:pPr>
        <w:pStyle w:val="BodyText"/>
      </w:pPr>
      <w:r w:rsidRPr="000A3C73">
        <w:rPr>
          <w:b/>
          <w:i/>
          <w:u w:val="single"/>
        </w:rPr>
        <w:t>Lesson 11:</w:t>
      </w:r>
      <w:r w:rsidR="00914BBF" w:rsidRPr="000A3C73">
        <w:rPr>
          <w:b/>
          <w:i/>
          <w:u w:val="single"/>
        </w:rPr>
        <w:t xml:space="preserve"> </w:t>
      </w:r>
      <w:r w:rsidR="0028592C" w:rsidRPr="000A3C73">
        <w:t>It is important to find a nationally-sensitive approach to regional project implementation, as the perception that the project is dominated by one of the parties can reduce stakeholder ownership by all parties. This can be challenging in the context of regional projects, but there are variety of options and good practice examples within the GEF portfolio.</w:t>
      </w:r>
    </w:p>
    <w:p w:rsidR="00D83F22" w:rsidRPr="000A3C73" w:rsidRDefault="00D83F22" w:rsidP="005D3349">
      <w:pPr>
        <w:pStyle w:val="BodyText"/>
      </w:pPr>
      <w:r w:rsidRPr="000A3C73">
        <w:rPr>
          <w:b/>
          <w:i/>
          <w:u w:val="single"/>
        </w:rPr>
        <w:t>Lesson 12:</w:t>
      </w:r>
      <w:r w:rsidR="00914BBF" w:rsidRPr="000A3C73">
        <w:rPr>
          <w:b/>
          <w:i/>
          <w:u w:val="single"/>
        </w:rPr>
        <w:t xml:space="preserve"> </w:t>
      </w:r>
      <w:r w:rsidR="00D008E1" w:rsidRPr="000A3C73">
        <w:t>Adequate political will at the national level is critical for achieving international</w:t>
      </w:r>
      <w:r w:rsidR="004A4CC3" w:rsidRPr="000A3C73">
        <w:t xml:space="preserve"> transboundary</w:t>
      </w:r>
      <w:r w:rsidR="00D008E1" w:rsidRPr="000A3C73">
        <w:t xml:space="preserve"> results. </w:t>
      </w:r>
    </w:p>
    <w:p w:rsidR="00D83F22" w:rsidRPr="000A3C73" w:rsidRDefault="00D83F22" w:rsidP="005D3349">
      <w:pPr>
        <w:pStyle w:val="BodyText"/>
      </w:pPr>
      <w:r w:rsidRPr="000A3C73">
        <w:rPr>
          <w:b/>
          <w:i/>
          <w:u w:val="single"/>
        </w:rPr>
        <w:t>Lesson 13:</w:t>
      </w:r>
      <w:r w:rsidR="00914BBF" w:rsidRPr="000A3C73">
        <w:rPr>
          <w:b/>
          <w:i/>
          <w:u w:val="single"/>
        </w:rPr>
        <w:t xml:space="preserve"> </w:t>
      </w:r>
      <w:r w:rsidR="00D008E1" w:rsidRPr="000A3C73">
        <w:t xml:space="preserve">It is important to build a common transboundary identity and ownership, to build stakeholder communication and buy-in. </w:t>
      </w:r>
      <w:r w:rsidR="001272CB" w:rsidRPr="000A3C73">
        <w:t xml:space="preserve">Effective communication, information, strengthened knowledge and capacities and exchange among all parties concerned is a crucial success factor. </w:t>
      </w:r>
      <w:r w:rsidR="00D008E1" w:rsidRPr="000A3C73">
        <w:t>There are multiple ways to achieve this, but one potentially useful one is through an active and well-developed internet presence.</w:t>
      </w:r>
    </w:p>
    <w:p w:rsidR="00D83F22" w:rsidRPr="000A3C73" w:rsidRDefault="00D83F22" w:rsidP="005D3349">
      <w:pPr>
        <w:pStyle w:val="BodyText"/>
      </w:pPr>
      <w:r w:rsidRPr="000A3C73">
        <w:rPr>
          <w:b/>
          <w:i/>
          <w:u w:val="single"/>
        </w:rPr>
        <w:t>Lesson 14:</w:t>
      </w:r>
      <w:r w:rsidR="00914BBF" w:rsidRPr="000A3C73">
        <w:rPr>
          <w:b/>
          <w:i/>
          <w:u w:val="single"/>
        </w:rPr>
        <w:t xml:space="preserve"> </w:t>
      </w:r>
      <w:r w:rsidR="00D008E1" w:rsidRPr="000A3C73">
        <w:t>Details of co-financing should be clearly specified from the beginning when project results are depending on co-financed activities from national partners (as opposed to some instances where co-financing supports parallel processes).</w:t>
      </w:r>
      <w:r w:rsidR="00914BBF" w:rsidRPr="000A3C73">
        <w:t xml:space="preserve"> </w:t>
      </w:r>
      <w:r w:rsidR="00A80FD9" w:rsidRPr="000A3C73">
        <w:t xml:space="preserve">This is particularly critical in instances where one of the main countries involved is a non-GEF recipient country. </w:t>
      </w:r>
    </w:p>
    <w:p w:rsidR="00D008E1" w:rsidRPr="000A3C73" w:rsidRDefault="00D008E1" w:rsidP="0037628C">
      <w:pPr>
        <w:pStyle w:val="BodyText"/>
      </w:pPr>
      <w:r w:rsidRPr="000A3C73">
        <w:rPr>
          <w:b/>
          <w:i/>
          <w:u w:val="single"/>
        </w:rPr>
        <w:t>Lesson 15:</w:t>
      </w:r>
      <w:r w:rsidR="00914BBF" w:rsidRPr="000A3C73">
        <w:rPr>
          <w:b/>
          <w:i/>
          <w:u w:val="single"/>
        </w:rPr>
        <w:t xml:space="preserve"> </w:t>
      </w:r>
      <w:r w:rsidR="0037628C" w:rsidRPr="000A3C73">
        <w:t xml:space="preserve">An effective communications program targeted at multiple levels and audiences </w:t>
      </w:r>
      <w:r w:rsidR="00E51A2F" w:rsidRPr="000A3C73">
        <w:t xml:space="preserve">(including internal communication) </w:t>
      </w:r>
      <w:r w:rsidR="0037628C" w:rsidRPr="000A3C73">
        <w:t xml:space="preserve">is critical for project success, particularly in a project with numerous and diverse stakeholders, operating from the local to the international level. Communications can indeed be a powerful tool for reaching out to all target audiences and further facilitating the implementation of project activities. Communication activities </w:t>
      </w:r>
      <w:r w:rsidR="0084200F" w:rsidRPr="000A3C73">
        <w:t>catalyzed</w:t>
      </w:r>
      <w:r w:rsidR="0037628C" w:rsidRPr="000A3C73">
        <w:t xml:space="preserve"> stakeholder involvement and further improved the standards for transparency and openness for project implementation. They have helped people communicate across tri-national boundaries at the Prespa level. Local peoples’ knowledge of the Prespa ecosystem has improved, particularly through teaching of school children about their Prespa environment, thus building a strong youth constituency for Prespa. Municipalities, NGOs, resource users and managers have been brought together to exchange knowledge and experience and work together towards enhancing potentials and benefits.</w:t>
      </w:r>
      <w:r w:rsidR="00914BBF" w:rsidRPr="000A3C73">
        <w:t xml:space="preserve"> </w:t>
      </w:r>
      <w:r w:rsidR="0037628C" w:rsidRPr="000A3C73">
        <w:t>Community awareness and participation was mobilized, seeking to create new opportunities for community involvement and mobilize the skills and interest of the local communities. The communication of the ecological/cultural values and sustainable ecosystem services of Prespa have further consolidated the area's image, awareness was raised about the existence of Prespa Park at all levels, as well as of the specific subjec</w:t>
      </w:r>
      <w:r w:rsidR="00E51A2F" w:rsidRPr="000A3C73">
        <w:t>ts of importance to the Prespa lakes b</w:t>
      </w:r>
      <w:r w:rsidR="0037628C" w:rsidRPr="000A3C73">
        <w:t>asin. Therefore it is i</w:t>
      </w:r>
      <w:r w:rsidR="007D6892" w:rsidRPr="000A3C73">
        <w:t>mportant to have a communications person in place from the beginning</w:t>
      </w:r>
      <w:r w:rsidR="0037628C" w:rsidRPr="000A3C73">
        <w:t xml:space="preserve"> of a project. </w:t>
      </w:r>
    </w:p>
    <w:p w:rsidR="00D008E1" w:rsidRPr="000A3C73" w:rsidRDefault="00D008E1" w:rsidP="005D3349">
      <w:pPr>
        <w:pStyle w:val="BodyText"/>
      </w:pPr>
      <w:r w:rsidRPr="000A3C73">
        <w:rPr>
          <w:b/>
          <w:i/>
          <w:u w:val="single"/>
        </w:rPr>
        <w:t>Lesson 16:</w:t>
      </w:r>
      <w:r w:rsidR="00914BBF" w:rsidRPr="000A3C73">
        <w:rPr>
          <w:b/>
          <w:i/>
          <w:u w:val="single"/>
        </w:rPr>
        <w:t xml:space="preserve"> </w:t>
      </w:r>
      <w:r w:rsidR="00E41817" w:rsidRPr="000A3C73">
        <w:t>It is important to have a consistent staff presence, particularly at senior levels. Sometimes circumstances outside the control of the project create staff turnover, but projects must ensure adequate resources for staffing in the project design (e.g. ITA only financed for 2.5 years of project…).</w:t>
      </w:r>
    </w:p>
    <w:p w:rsidR="00D008E1" w:rsidRPr="000A3C73" w:rsidRDefault="00D008E1" w:rsidP="005D3349">
      <w:pPr>
        <w:pStyle w:val="BodyText"/>
      </w:pPr>
      <w:r w:rsidRPr="000A3C73">
        <w:rPr>
          <w:b/>
          <w:i/>
          <w:u w:val="single"/>
        </w:rPr>
        <w:t>Lesson 17:</w:t>
      </w:r>
      <w:r w:rsidR="00914BBF" w:rsidRPr="000A3C73">
        <w:rPr>
          <w:b/>
          <w:i/>
          <w:u w:val="single"/>
        </w:rPr>
        <w:t xml:space="preserve"> </w:t>
      </w:r>
      <w:r w:rsidR="00E41817" w:rsidRPr="000A3C73">
        <w:t>Building political consensus and stakeholder buy-in for processes that will require later stakeholder action (such as development of the Strategic Action Plan) fare best with a combination of bottom-up and top-down approaches, and must actively engage stakeholders at all necessary levels.</w:t>
      </w:r>
    </w:p>
    <w:p w:rsidR="00D008E1" w:rsidRPr="000A3C73" w:rsidRDefault="00D008E1" w:rsidP="005D3349">
      <w:pPr>
        <w:pStyle w:val="BodyText"/>
      </w:pPr>
      <w:r w:rsidRPr="000A3C73">
        <w:rPr>
          <w:b/>
          <w:i/>
          <w:u w:val="single"/>
        </w:rPr>
        <w:t>Lesson 18:</w:t>
      </w:r>
      <w:r w:rsidR="00914BBF" w:rsidRPr="000A3C73">
        <w:rPr>
          <w:b/>
          <w:i/>
          <w:u w:val="single"/>
        </w:rPr>
        <w:t xml:space="preserve"> </w:t>
      </w:r>
      <w:r w:rsidR="00E41817" w:rsidRPr="000A3C73">
        <w:t xml:space="preserve">Local resource users need to see concrete tangible benefits (for example, in </w:t>
      </w:r>
      <w:r w:rsidR="00E51A2F" w:rsidRPr="000A3C73">
        <w:t>Macedonia</w:t>
      </w:r>
      <w:r w:rsidR="00E41817" w:rsidRPr="000A3C73">
        <w:t>, the Golema Reka restoration, and support for the meteorological stations for agriculture) to buy-in to externally initiated environmental management initiatives.</w:t>
      </w:r>
      <w:r w:rsidR="00914BBF" w:rsidRPr="000A3C73">
        <w:t xml:space="preserve"> </w:t>
      </w:r>
      <w:r w:rsidR="00F50C19" w:rsidRPr="000A3C73">
        <w:rPr>
          <w:bCs/>
        </w:rPr>
        <w:t>Pilot activities, especially if demonstrating innovative management practices proposed by project experts, can more easily attract local stakeholder support and buy in to project activities. For example, three meteorological stations provided by the project were well accepted by the farmers in both Macedonia and Albania.</w:t>
      </w:r>
    </w:p>
    <w:p w:rsidR="00D008E1" w:rsidRPr="000A3C73" w:rsidRDefault="00D008E1" w:rsidP="005D3349">
      <w:pPr>
        <w:pStyle w:val="BodyText"/>
      </w:pPr>
      <w:r w:rsidRPr="000A3C73">
        <w:rPr>
          <w:b/>
          <w:i/>
          <w:u w:val="single"/>
        </w:rPr>
        <w:t>Lesson 19:</w:t>
      </w:r>
      <w:r w:rsidR="00914BBF" w:rsidRPr="000A3C73">
        <w:rPr>
          <w:b/>
          <w:i/>
          <w:u w:val="single"/>
        </w:rPr>
        <w:t xml:space="preserve"> </w:t>
      </w:r>
      <w:r w:rsidR="00E23847" w:rsidRPr="000A3C73">
        <w:t>In Macedonia, there was a good practice lesson</w:t>
      </w:r>
      <w:r w:rsidR="00E41817" w:rsidRPr="000A3C73">
        <w:t xml:space="preserve"> in developing capacity for strengthened regulatory asp</w:t>
      </w:r>
      <w:r w:rsidR="00E23847" w:rsidRPr="000A3C73">
        <w:t xml:space="preserve">ects (e.g. IPCC process), in which </w:t>
      </w:r>
      <w:r w:rsidR="00E41817" w:rsidRPr="000A3C73">
        <w:t xml:space="preserve">it </w:t>
      </w:r>
      <w:r w:rsidR="00E23847" w:rsidRPr="000A3C73">
        <w:t>was found to be</w:t>
      </w:r>
      <w:r w:rsidR="00E41817" w:rsidRPr="000A3C73">
        <w:t xml:space="preserve"> useful to involve industrial stakeholders who will be involved in such regulatory processes from a user perspective. </w:t>
      </w:r>
      <w:r w:rsidR="005D6CBB" w:rsidRPr="000A3C73">
        <w:t>Involving end-users from the beginning in implementation of a regulatory framework</w:t>
      </w:r>
      <w:r w:rsidR="00E41817" w:rsidRPr="000A3C73">
        <w:t xml:space="preserve"> can help clarify processes for both regulators and private sector, build trust, and establish working relationships.</w:t>
      </w:r>
    </w:p>
    <w:p w:rsidR="00D008E1" w:rsidRPr="000A3C73" w:rsidRDefault="00D008E1" w:rsidP="005D3349">
      <w:pPr>
        <w:pStyle w:val="BodyText"/>
      </w:pPr>
      <w:r w:rsidRPr="000A3C73">
        <w:rPr>
          <w:b/>
          <w:i/>
          <w:u w:val="single"/>
        </w:rPr>
        <w:t>Lesson 20:</w:t>
      </w:r>
      <w:r w:rsidR="00914BBF" w:rsidRPr="000A3C73">
        <w:rPr>
          <w:b/>
          <w:i/>
          <w:u w:val="single"/>
        </w:rPr>
        <w:t xml:space="preserve"> </w:t>
      </w:r>
      <w:r w:rsidR="00E23847" w:rsidRPr="000A3C73">
        <w:t xml:space="preserve">In Macedonia a good practice lesson was found in </w:t>
      </w:r>
      <w:r w:rsidR="00E41817" w:rsidRPr="000A3C73">
        <w:t xml:space="preserve">establishing the project management unit within the municipality </w:t>
      </w:r>
      <w:r w:rsidR="00E23847" w:rsidRPr="000A3C73">
        <w:t xml:space="preserve">of Resen, which </w:t>
      </w:r>
      <w:r w:rsidR="00E41817" w:rsidRPr="000A3C73">
        <w:t xml:space="preserve">led to excellent cooperation and communication with the municipality, </w:t>
      </w:r>
      <w:r w:rsidR="00E23847" w:rsidRPr="000A3C73">
        <w:t>and helped catalyze</w:t>
      </w:r>
      <w:r w:rsidR="00E41817" w:rsidRPr="000A3C73">
        <w:t xml:space="preserve"> the municipality to take on greater responsibility and ownership of the results and ongoing environmental management processes.</w:t>
      </w:r>
    </w:p>
    <w:p w:rsidR="00E41817" w:rsidRPr="000A3C73" w:rsidRDefault="00E41817" w:rsidP="005D3349">
      <w:pPr>
        <w:pStyle w:val="BodyText"/>
      </w:pPr>
      <w:r w:rsidRPr="000A3C73">
        <w:rPr>
          <w:b/>
          <w:i/>
          <w:u w:val="single"/>
        </w:rPr>
        <w:t>Lesson 21:</w:t>
      </w:r>
      <w:r w:rsidR="00914BBF" w:rsidRPr="000A3C73">
        <w:rPr>
          <w:b/>
          <w:i/>
          <w:u w:val="single"/>
        </w:rPr>
        <w:t xml:space="preserve"> </w:t>
      </w:r>
      <w:r w:rsidR="00E23847" w:rsidRPr="000A3C73">
        <w:t>A g</w:t>
      </w:r>
      <w:r w:rsidRPr="000A3C73">
        <w:t xml:space="preserve">ood practice lesson </w:t>
      </w:r>
      <w:r w:rsidR="00E23847" w:rsidRPr="000A3C73">
        <w:t>was that the project design included</w:t>
      </w:r>
      <w:r w:rsidRPr="000A3C73">
        <w:t xml:space="preserve"> a good balance of local, national and transboundary activities.</w:t>
      </w:r>
      <w:r w:rsidR="00914BBF" w:rsidRPr="000A3C73">
        <w:t xml:space="preserve"> </w:t>
      </w:r>
      <w:r w:rsidR="00E23847" w:rsidRPr="000A3C73">
        <w:t xml:space="preserve">It has been demonstrated in many GEF projects that to ensure strong stakeholder support, it is important to have some tangible, on-the-ground project activities that are visible to local level stakeholders. High-level policy work and capacity development is also important, but it is helpful when a project can link the policy level with practical implementation. </w:t>
      </w:r>
    </w:p>
    <w:p w:rsidR="00E41817" w:rsidRPr="000A3C73" w:rsidRDefault="00E41817" w:rsidP="005D3349">
      <w:pPr>
        <w:pStyle w:val="BodyText"/>
      </w:pPr>
      <w:r w:rsidRPr="000A3C73">
        <w:rPr>
          <w:b/>
          <w:i/>
          <w:u w:val="single"/>
        </w:rPr>
        <w:t>Lesson 22:</w:t>
      </w:r>
      <w:r w:rsidR="00914BBF" w:rsidRPr="000A3C73">
        <w:rPr>
          <w:b/>
          <w:i/>
          <w:u w:val="single"/>
        </w:rPr>
        <w:t xml:space="preserve"> </w:t>
      </w:r>
      <w:r w:rsidR="00590E85" w:rsidRPr="000A3C73">
        <w:t xml:space="preserve">To be useful, project logframes need a manageable number of results-focused indicators, which also </w:t>
      </w:r>
      <w:r w:rsidR="00E23847" w:rsidRPr="000A3C73">
        <w:t>need to meet SMART criteria to the extent possible.</w:t>
      </w:r>
    </w:p>
    <w:p w:rsidR="00E41817" w:rsidRPr="000A3C73" w:rsidRDefault="00E41817" w:rsidP="005D3349">
      <w:pPr>
        <w:pStyle w:val="BodyText"/>
      </w:pPr>
      <w:r w:rsidRPr="000A3C73">
        <w:rPr>
          <w:b/>
          <w:i/>
          <w:u w:val="single"/>
        </w:rPr>
        <w:t>Lesson 23:</w:t>
      </w:r>
      <w:r w:rsidR="00914BBF" w:rsidRPr="000A3C73">
        <w:rPr>
          <w:b/>
          <w:i/>
          <w:u w:val="single"/>
        </w:rPr>
        <w:t xml:space="preserve"> </w:t>
      </w:r>
      <w:r w:rsidR="00590E85" w:rsidRPr="000A3C73">
        <w:t xml:space="preserve">Civil society has a critical role in directly contributing to, supporting, and facilitating transboundary integrated environmental management, but cannot </w:t>
      </w:r>
      <w:r w:rsidR="00E51A2F" w:rsidRPr="000A3C73">
        <w:t xml:space="preserve">serve to </w:t>
      </w:r>
      <w:r w:rsidR="00590E85" w:rsidRPr="000A3C73">
        <w:t>represent government in multi-lateral dialogues.</w:t>
      </w:r>
      <w:r w:rsidR="00C61B5E" w:rsidRPr="000A3C73">
        <w:t xml:space="preserve"> The challenge in Prespa is that different types of institutions play a leading role on environmental management activities on different sides of the border (national government in Albania, local government in Macedonia, and civil society in Greece), which presents structural challenges to good cooperation.</w:t>
      </w:r>
    </w:p>
    <w:p w:rsidR="00E41817" w:rsidRPr="000A3C73" w:rsidRDefault="00E41817" w:rsidP="005D3349">
      <w:pPr>
        <w:pStyle w:val="BodyText"/>
      </w:pPr>
      <w:r w:rsidRPr="000A3C73">
        <w:rPr>
          <w:b/>
          <w:i/>
          <w:u w:val="single"/>
        </w:rPr>
        <w:t>Lesson 24:</w:t>
      </w:r>
      <w:r w:rsidR="00914BBF" w:rsidRPr="000A3C73">
        <w:rPr>
          <w:b/>
          <w:i/>
          <w:u w:val="single"/>
        </w:rPr>
        <w:t xml:space="preserve"> </w:t>
      </w:r>
      <w:r w:rsidR="00590E85" w:rsidRPr="000A3C73">
        <w:t>Effective project risk management requires the development of effective alternative risk mitigation strategies. Not just continuing to try harder the same way to address the problem, but to say, OK, given this risk, what alternative approach can be taken to work toward the similar objective. (e.g. issue of Greek co-financing/participation)</w:t>
      </w:r>
      <w:r w:rsidR="00E51A2F" w:rsidRPr="000A3C73">
        <w:t>.</w:t>
      </w:r>
      <w:r w:rsidR="00914BBF" w:rsidRPr="000A3C73">
        <w:t xml:space="preserve"> </w:t>
      </w:r>
      <w:r w:rsidR="00C816BE" w:rsidRPr="000A3C73">
        <w:t>Risks identified during project development need to have adequate risk management strategies prepared, and need to be consistently monitored and responded to during the course of implementation. The evolving political context between Macedonia and Greece created</w:t>
      </w:r>
      <w:r w:rsidR="00313D5E" w:rsidRPr="000A3C73">
        <w:t xml:space="preserve"> challenges for the transboundary component throughout the project and an effective alternate approach was not found. </w:t>
      </w:r>
    </w:p>
    <w:p w:rsidR="00E41817" w:rsidRPr="000A3C73" w:rsidRDefault="00E41817" w:rsidP="005D3349">
      <w:pPr>
        <w:pStyle w:val="BodyText"/>
      </w:pPr>
      <w:r w:rsidRPr="000A3C73">
        <w:rPr>
          <w:b/>
          <w:i/>
          <w:u w:val="single"/>
        </w:rPr>
        <w:t>Lesson 25:</w:t>
      </w:r>
      <w:r w:rsidR="00914BBF" w:rsidRPr="000A3C73">
        <w:rPr>
          <w:b/>
          <w:i/>
          <w:u w:val="single"/>
        </w:rPr>
        <w:t xml:space="preserve"> </w:t>
      </w:r>
      <w:r w:rsidR="00E23847" w:rsidRPr="000A3C73">
        <w:t>A good practice lesson was the</w:t>
      </w:r>
      <w:r w:rsidR="00EE32B9" w:rsidRPr="000A3C73">
        <w:t xml:space="preserve"> use of </w:t>
      </w:r>
      <w:r w:rsidR="00E23847" w:rsidRPr="000A3C73">
        <w:t xml:space="preserve">UNDP project </w:t>
      </w:r>
      <w:r w:rsidR="00EE32B9" w:rsidRPr="000A3C73">
        <w:t>staff in Albania that were already very familiar with UNDP-GEF procedures and requirements</w:t>
      </w:r>
      <w:r w:rsidR="00E23847" w:rsidRPr="000A3C73">
        <w:t>, which</w:t>
      </w:r>
      <w:r w:rsidR="00EE32B9" w:rsidRPr="000A3C73">
        <w:t xml:space="preserve"> helped the administrative aspects of project management, and increase</w:t>
      </w:r>
      <w:r w:rsidR="00E23847" w:rsidRPr="000A3C73">
        <w:t>d</w:t>
      </w:r>
      <w:r w:rsidR="00EE32B9" w:rsidRPr="000A3C73">
        <w:t xml:space="preserve"> project efficiency.</w:t>
      </w:r>
    </w:p>
    <w:p w:rsidR="00E41817" w:rsidRPr="000A3C73" w:rsidRDefault="00E41817" w:rsidP="005D3349">
      <w:pPr>
        <w:pStyle w:val="BodyText"/>
      </w:pPr>
      <w:r w:rsidRPr="000A3C73">
        <w:rPr>
          <w:b/>
          <w:i/>
          <w:u w:val="single"/>
        </w:rPr>
        <w:t>Lesson 26:</w:t>
      </w:r>
      <w:r w:rsidR="00914BBF" w:rsidRPr="000A3C73">
        <w:rPr>
          <w:b/>
          <w:i/>
          <w:u w:val="single"/>
        </w:rPr>
        <w:t xml:space="preserve"> </w:t>
      </w:r>
      <w:r w:rsidR="00A32B48" w:rsidRPr="000A3C73">
        <w:t xml:space="preserve">Even when project kick-off has been delayed beyond the initially planned timeframe, it is important to keep in mind the dependent sequencing of certain project activities, and prioritize those activities on which many others are dependent. In the Prespa IEM project it would have been helpful if activities such as the TDA/SAP, </w:t>
      </w:r>
      <w:r w:rsidR="004C1951" w:rsidRPr="000A3C73">
        <w:t xml:space="preserve">communications plan, and the species and habitat conservation plans had been completed in the first half of the project so later activities could build on them and move toward implementation to strengthen sustainability. </w:t>
      </w:r>
    </w:p>
    <w:p w:rsidR="00E41817" w:rsidRPr="000A3C73" w:rsidRDefault="00E41817" w:rsidP="005D3349">
      <w:pPr>
        <w:pStyle w:val="BodyText"/>
      </w:pPr>
      <w:r w:rsidRPr="000A3C73">
        <w:rPr>
          <w:b/>
          <w:i/>
          <w:u w:val="single"/>
        </w:rPr>
        <w:t>Lesson 27:</w:t>
      </w:r>
      <w:r w:rsidR="00914BBF" w:rsidRPr="000A3C73">
        <w:rPr>
          <w:b/>
          <w:i/>
          <w:u w:val="single"/>
        </w:rPr>
        <w:t xml:space="preserve"> </w:t>
      </w:r>
      <w:r w:rsidR="005C551E" w:rsidRPr="000A3C73">
        <w:t>If significant time has passed since the project concept was first developed, or between project approval and implementation, a re-assessment of risks and assumptions at the inception phase can pay dividends.</w:t>
      </w:r>
      <w:r w:rsidR="00C816BE" w:rsidRPr="000A3C73">
        <w:t xml:space="preserve"> The project results framework must also be revised to take account of current reality</w:t>
      </w:r>
      <w:r w:rsidR="00E23847" w:rsidRPr="000A3C73">
        <w:t>.</w:t>
      </w:r>
    </w:p>
    <w:p w:rsidR="00E41817" w:rsidRPr="000A3C73" w:rsidRDefault="00E41817" w:rsidP="005D3349">
      <w:pPr>
        <w:pStyle w:val="BodyText"/>
      </w:pPr>
      <w:r w:rsidRPr="000A3C73">
        <w:rPr>
          <w:b/>
          <w:i/>
          <w:u w:val="single"/>
        </w:rPr>
        <w:t>Lesson 28:</w:t>
      </w:r>
      <w:r w:rsidR="00914BBF" w:rsidRPr="000A3C73">
        <w:rPr>
          <w:b/>
          <w:i/>
          <w:u w:val="single"/>
        </w:rPr>
        <w:t xml:space="preserve"> </w:t>
      </w:r>
      <w:r w:rsidR="00A27D98" w:rsidRPr="000A3C73">
        <w:t xml:space="preserve">When staffing issues arise they should be dealt with as promptly as possible for the sake of project success, and when there is unavoidable staff turnover, replacement staff should be put in place immediately. </w:t>
      </w:r>
      <w:r w:rsidR="00E51A2F" w:rsidRPr="000A3C73">
        <w:t xml:space="preserve">In the Prespa IEM project there were significant gaps between refilling key project staff positions, which created a negative drag on implementation. </w:t>
      </w:r>
    </w:p>
    <w:p w:rsidR="00E41817" w:rsidRPr="000A3C73" w:rsidRDefault="00E41817" w:rsidP="005D3349">
      <w:pPr>
        <w:pStyle w:val="BodyText"/>
      </w:pPr>
      <w:r w:rsidRPr="000A3C73">
        <w:rPr>
          <w:b/>
          <w:i/>
          <w:u w:val="single"/>
        </w:rPr>
        <w:t>Lesson 29:</w:t>
      </w:r>
      <w:r w:rsidR="00914BBF" w:rsidRPr="000A3C73">
        <w:rPr>
          <w:b/>
          <w:i/>
          <w:u w:val="single"/>
        </w:rPr>
        <w:t xml:space="preserve"> </w:t>
      </w:r>
      <w:r w:rsidR="00414C4E" w:rsidRPr="000A3C73">
        <w:t xml:space="preserve">International donor-funded projects often rely on the expertise of international experts, but for their input to be applicable and adequate to the particular situation in the Balkan region it is important for international experts to be paired with capable national counterparts with comprehensive knowledge of the region and general context for implementing transboundary resource management activities. </w:t>
      </w:r>
    </w:p>
    <w:p w:rsidR="00B60E72" w:rsidRPr="000A3C73" w:rsidRDefault="00B60E72" w:rsidP="005D3349">
      <w:pPr>
        <w:pStyle w:val="BodyText"/>
      </w:pPr>
      <w:r w:rsidRPr="000A3C73">
        <w:rPr>
          <w:b/>
          <w:i/>
          <w:u w:val="single"/>
        </w:rPr>
        <w:t>Lesson 30:</w:t>
      </w:r>
      <w:r w:rsidRPr="000A3C73">
        <w:t xml:space="preserve"> The GEF investment in the Prespa basin has actually be</w:t>
      </w:r>
      <w:r w:rsidR="00FD5192" w:rsidRPr="000A3C73">
        <w:t>en</w:t>
      </w:r>
      <w:r w:rsidRPr="000A3C73">
        <w:t xml:space="preserve"> part of a larger body of going work undertaken in the region, with the support of multiple multi-lateral, bilateral, and other donors. </w:t>
      </w:r>
      <w:r w:rsidR="00850FBA" w:rsidRPr="000A3C73">
        <w:t xml:space="preserve">Although some risks of having a program of work well-integrated with other donors appeared (e.g. with the KfW projects), the project was able to build on a body of technical work carried out in the region (e.g. previous work done on fisheries management, and on hydrological flows), generate synergistic results (e.g. the Golema Reka restoration), and to improve the sustainability of project results, at least for the national components in Albania and Macedonia (e.g. the ongoing KfW and SDC activities, respectively). There is much discussion in GEF evaluations about the value of taking a “programmatic approach”; in Prespa this has been the case, with many donors </w:t>
      </w:r>
      <w:r w:rsidR="00243E02" w:rsidRPr="000A3C73">
        <w:t xml:space="preserve">making contributions according to their comparative advantage and strategic focus. </w:t>
      </w:r>
      <w:r w:rsidR="00C43C70" w:rsidRPr="000A3C73">
        <w:t xml:space="preserve">Some of the strategies and action plans produced in the Prespa IEM project should help continue this Prespa region programmatic engagement by defining priorities and identifying continued actions for integrated ecosystem management, even if in an ad-hoc manner. </w:t>
      </w:r>
    </w:p>
    <w:p w:rsidR="00B41E00" w:rsidRPr="000A3C73" w:rsidRDefault="00B41E00" w:rsidP="00B41E00">
      <w:pPr>
        <w:pStyle w:val="Heading2"/>
        <w:ind w:left="1080" w:hanging="360"/>
      </w:pPr>
      <w:bookmarkStart w:id="173" w:name="_Toc152154301"/>
      <w:bookmarkStart w:id="174" w:name="_Toc238551091"/>
      <w:r w:rsidRPr="000A3C73">
        <w:t xml:space="preserve">Recommendations </w:t>
      </w:r>
      <w:bookmarkEnd w:id="173"/>
      <w:r w:rsidR="003328F3" w:rsidRPr="000A3C73">
        <w:t>for Follow-up and Continued Action for Prespa Lakes Basin</w:t>
      </w:r>
      <w:bookmarkEnd w:id="174"/>
    </w:p>
    <w:p w:rsidR="00FB40E5" w:rsidRPr="000A3C73" w:rsidRDefault="00FB40E5" w:rsidP="00726D59">
      <w:pPr>
        <w:pStyle w:val="BodyText"/>
      </w:pPr>
      <w:r w:rsidRPr="000A3C73">
        <w:t xml:space="preserve">The Prespa IEM project yielded numerous benefits to the Prespa basin region, and above all, helped catalyze a new, modern outlook toward resource conservation and use. At the same time, it initiated changes in behavior related to environmental protection across a range of stakeholders, especially for the Macedonian and Albanian parts of the Prespa region. There remains a tremendous need for further activities aiming to contribute to natural resource conservation by adopting ecosystem-based policies and management practices at the local level in southeastern Europe. </w:t>
      </w:r>
    </w:p>
    <w:p w:rsidR="00C22113" w:rsidRPr="000A3C73" w:rsidRDefault="00C22113" w:rsidP="00971F4C">
      <w:pPr>
        <w:pStyle w:val="BodyText"/>
      </w:pPr>
      <w:r w:rsidRPr="000A3C73">
        <w:t xml:space="preserve">The recommendations from this </w:t>
      </w:r>
      <w:r w:rsidR="000F361F" w:rsidRPr="000A3C73">
        <w:t>terminal</w:t>
      </w:r>
      <w:r w:rsidR="008A3F16" w:rsidRPr="000A3C73">
        <w:t xml:space="preserve"> evaluation are provided below</w:t>
      </w:r>
      <w:r w:rsidR="00AF2B66" w:rsidRPr="000A3C73">
        <w:t xml:space="preserve">. </w:t>
      </w:r>
      <w:r w:rsidR="000F361F" w:rsidRPr="000A3C73">
        <w:t xml:space="preserve">Although the project is ending, there is still scope for recommendations to be followed-up by </w:t>
      </w:r>
      <w:r w:rsidR="00792918" w:rsidRPr="000A3C73">
        <w:t xml:space="preserve">the stakeholders involved in </w:t>
      </w:r>
      <w:r w:rsidR="002C080B" w:rsidRPr="000A3C73">
        <w:t>the SDC and KfW funded</w:t>
      </w:r>
      <w:r w:rsidR="00792918" w:rsidRPr="000A3C73">
        <w:t xml:space="preserve"> activities that are </w:t>
      </w:r>
      <w:r w:rsidR="002C080B" w:rsidRPr="000A3C73">
        <w:t>ongoing</w:t>
      </w:r>
      <w:r w:rsidR="00792918" w:rsidRPr="000A3C73">
        <w:t xml:space="preserve"> in both Macedonia and Albania, and for the stakeholders in Greek Prespa, who remain actively involved in these issues. </w:t>
      </w:r>
      <w:r w:rsidR="00C07D96" w:rsidRPr="000A3C73">
        <w:t xml:space="preserve">Furthermore, the 2010 tri-lateral agreement provides the foundation and framework for continued transboundary cooperation, once the three countries adequately buy into and again support the process that was long-established under the PPCC. </w:t>
      </w:r>
    </w:p>
    <w:p w:rsidR="000A6AF4" w:rsidRPr="00FC657B" w:rsidRDefault="000A6AF4" w:rsidP="00971F4C">
      <w:pPr>
        <w:pStyle w:val="BodyText"/>
      </w:pPr>
      <w:r w:rsidRPr="000A3C73">
        <w:t>The target audience for each recommendation is included in brackets</w:t>
      </w:r>
      <w:r w:rsidRPr="00FC657B">
        <w:t>.</w:t>
      </w:r>
    </w:p>
    <w:p w:rsidR="00D5740D" w:rsidRPr="00602E30" w:rsidRDefault="00D5740D" w:rsidP="00D5740D">
      <w:pPr>
        <w:pStyle w:val="BodyText"/>
        <w:rPr>
          <w:i/>
        </w:rPr>
      </w:pPr>
      <w:bookmarkStart w:id="175" w:name="_Toc152154302"/>
      <w:r w:rsidRPr="00D77DF1">
        <w:rPr>
          <w:b/>
          <w:i/>
          <w:u w:val="single"/>
        </w:rPr>
        <w:t>Recommendation 1:</w:t>
      </w:r>
      <w:r w:rsidR="00914BBF" w:rsidRPr="00CD42DE">
        <w:rPr>
          <w:b/>
          <w:i/>
          <w:u w:val="single"/>
        </w:rPr>
        <w:t xml:space="preserve"> </w:t>
      </w:r>
      <w:r w:rsidR="00494E84" w:rsidRPr="00AA7D1F">
        <w:t>The most urgent and significant recommendation that this evaluation can provide is that the three littora</w:t>
      </w:r>
      <w:r w:rsidR="00494E84" w:rsidRPr="005E69C8">
        <w:t>l states work together to find the political will and funding pathways to actively continu</w:t>
      </w:r>
      <w:r w:rsidR="00494E84" w:rsidRPr="008B7E9A">
        <w:t xml:space="preserve">e transboundary ecosystem management in the Prespa basin. Immediate priorities are the </w:t>
      </w:r>
      <w:r w:rsidR="001B7684" w:rsidRPr="000126EE">
        <w:t>re-activation of the PPCC (in the present form of the PPMC under the 2010 agreement), implementation of the regional environmental monitoring program developed under the</w:t>
      </w:r>
      <w:r w:rsidR="001B7684" w:rsidRPr="00B71D27">
        <w:t xml:space="preserve"> project, implementation of the species and habitat conservation plans, implementation of the transboundary fisheries management plan, and implementation of the transboundary tourism strategy. </w:t>
      </w:r>
      <w:r w:rsidR="000A6AF4" w:rsidRPr="00595792">
        <w:t>[Government of Albania, Government of Greece, Government of FYR of Macedonia]</w:t>
      </w:r>
    </w:p>
    <w:p w:rsidR="00D5740D" w:rsidRPr="000A3C73" w:rsidRDefault="00D5740D" w:rsidP="00D5740D">
      <w:pPr>
        <w:pStyle w:val="BodyText"/>
      </w:pPr>
      <w:r w:rsidRPr="00602E30">
        <w:rPr>
          <w:b/>
          <w:i/>
          <w:u w:val="single"/>
        </w:rPr>
        <w:t>Recommendation 2:</w:t>
      </w:r>
      <w:r w:rsidR="001054C9" w:rsidRPr="002A69B7">
        <w:rPr>
          <w:b/>
          <w:i/>
          <w:u w:val="single"/>
        </w:rPr>
        <w:t xml:space="preserve"> </w:t>
      </w:r>
      <w:r w:rsidR="000A6AF4" w:rsidRPr="002C744B">
        <w:t xml:space="preserve">Although there is at present </w:t>
      </w:r>
      <w:r w:rsidR="000A6AF4" w:rsidRPr="00C56966">
        <w:t>no financing of transboundary activities in the region, the stakeholders involved in national activities ongoing in Albania (with KfW support), in Macedonia (with SDC support) and Greece (as supported by SPP, local government in Greek Prespa, and the Greek</w:t>
      </w:r>
      <w:r w:rsidR="000A6AF4" w:rsidRPr="002D3949">
        <w:t xml:space="preserve"> national government), should actively seek to communicate and collaborate on issues of common concern, building on the professional networks developed during the Prespa IEM project. </w:t>
      </w:r>
      <w:r w:rsidR="00847FD7" w:rsidRPr="000A3C73">
        <w:t>[Prespa National Park – Albania, Municipality of Resen, SPP, Prespa National Park – Greece]</w:t>
      </w:r>
    </w:p>
    <w:p w:rsidR="00D5740D" w:rsidRPr="000A3C73" w:rsidRDefault="00D5740D" w:rsidP="00D5740D">
      <w:pPr>
        <w:pStyle w:val="BodyText"/>
      </w:pPr>
      <w:r w:rsidRPr="000A3C73">
        <w:rPr>
          <w:b/>
          <w:i/>
          <w:u w:val="single"/>
        </w:rPr>
        <w:t>Recommendation 3:</w:t>
      </w:r>
      <w:r w:rsidR="001054C9" w:rsidRPr="000A3C73">
        <w:rPr>
          <w:b/>
          <w:i/>
          <w:u w:val="single"/>
        </w:rPr>
        <w:t xml:space="preserve"> </w:t>
      </w:r>
      <w:r w:rsidR="00847FD7" w:rsidRPr="000A3C73">
        <w:t>The Prespa IEM project resulted in a large number of positive and negative lessons. Other initiatives in the region, particularly the Drin Dialogue initiative currently being developed for possible future GEF funding, should carefully heed these lessons, and ensure appropriate adjustments are made to future plans in the region. UNDP, as a GEF Agency, should pay particular attention to the incorporation of the lessons from the Prespa IEM project. [UNDP, Drin Dialogue partners)</w:t>
      </w:r>
    </w:p>
    <w:p w:rsidR="00691DEB" w:rsidRPr="000A3C73" w:rsidRDefault="00691DEB" w:rsidP="00D5740D">
      <w:pPr>
        <w:pStyle w:val="BodyText"/>
      </w:pPr>
      <w:r w:rsidRPr="000A3C73">
        <w:rPr>
          <w:b/>
          <w:i/>
          <w:u w:val="single"/>
        </w:rPr>
        <w:t>Recommendation 4:</w:t>
      </w:r>
      <w:r w:rsidRPr="000A3C73">
        <w:t xml:space="preserve"> There remains a need in the region for significant investment in capacity development related to technical aspects of environmental management, such as environmental monitoring. This is particularly important for the staff and authorities of protected areas </w:t>
      </w:r>
      <w:r w:rsidR="00950B00" w:rsidRPr="000A3C73">
        <w:t>that</w:t>
      </w:r>
      <w:r w:rsidRPr="000A3C73">
        <w:t xml:space="preserve"> are responsible for land, water, and biodiversity conservation in significant portions of the Prespa basin, which are also the most environmentally intact areas of the watershed.</w:t>
      </w:r>
      <w:r w:rsidR="001054C9" w:rsidRPr="000A3C73">
        <w:t xml:space="preserve"> </w:t>
      </w:r>
      <w:r w:rsidR="008466E4" w:rsidRPr="000A3C73">
        <w:t xml:space="preserve">However, numerous other organizations would continue to benefit from capacity development, such as the Macedonian Prespa Watershed Management Council, the resource users associations (e.g. fishermen’s associations), etc. </w:t>
      </w:r>
      <w:r w:rsidR="00AF3723" w:rsidRPr="000A3C73">
        <w:t xml:space="preserve">In many cases, securing effective environmental management is not simply a matter </w:t>
      </w:r>
      <w:r w:rsidR="00B36D12" w:rsidRPr="000A3C73">
        <w:t xml:space="preserve">of policy and behavior changes; it </w:t>
      </w:r>
      <w:r w:rsidR="00AF3723" w:rsidRPr="000A3C73">
        <w:t xml:space="preserve">requires </w:t>
      </w:r>
      <w:r w:rsidR="00B36D12" w:rsidRPr="000A3C73">
        <w:t>significant technical knowledge and skills to implement</w:t>
      </w:r>
      <w:r w:rsidR="00FD409F" w:rsidRPr="000A3C73">
        <w:t>, which are still currently underdeveloped in the Prespa region</w:t>
      </w:r>
      <w:r w:rsidR="00B36D12" w:rsidRPr="000A3C73">
        <w:t>.</w:t>
      </w:r>
      <w:r w:rsidR="006F454E">
        <w:t xml:space="preserve"> </w:t>
      </w:r>
      <w:r w:rsidR="00C463E6" w:rsidRPr="000A3C73">
        <w:t>[UNDP, SDC, KfW, GEF, international donor community]</w:t>
      </w:r>
    </w:p>
    <w:p w:rsidR="00D5740D" w:rsidRPr="000A3C73" w:rsidRDefault="00D5740D" w:rsidP="00D5740D">
      <w:pPr>
        <w:pStyle w:val="BodyText"/>
      </w:pPr>
      <w:r w:rsidRPr="000A3C73">
        <w:rPr>
          <w:b/>
          <w:i/>
          <w:u w:val="single"/>
        </w:rPr>
        <w:t xml:space="preserve">Recommendation </w:t>
      </w:r>
      <w:r w:rsidR="008466E4" w:rsidRPr="000A3C73">
        <w:rPr>
          <w:b/>
          <w:i/>
          <w:u w:val="single"/>
        </w:rPr>
        <w:t>5</w:t>
      </w:r>
      <w:r w:rsidRPr="000A3C73">
        <w:rPr>
          <w:b/>
          <w:i/>
          <w:u w:val="single"/>
        </w:rPr>
        <w:t>:</w:t>
      </w:r>
      <w:r w:rsidR="001054C9" w:rsidRPr="000A3C73">
        <w:rPr>
          <w:b/>
          <w:i/>
          <w:u w:val="single"/>
        </w:rPr>
        <w:t xml:space="preserve"> </w:t>
      </w:r>
      <w:r w:rsidR="00E44C0B" w:rsidRPr="000A3C73">
        <w:t>In Albania there is a need for further reform of the protected area system, to take steps, for example, to make protected area administrations independent legal entities</w:t>
      </w:r>
      <w:r w:rsidR="00D7694A" w:rsidRPr="000A3C73">
        <w:t>.</w:t>
      </w:r>
      <w:r w:rsidR="00E44C0B" w:rsidRPr="000A3C73">
        <w:t xml:space="preserve"> As a major funder of protected areas globally, the GEF may be in a position to support the Government of Albania to move in this direction over the medium-term. [UNDP, GEF Secretariat]</w:t>
      </w:r>
    </w:p>
    <w:p w:rsidR="00D5740D" w:rsidRPr="000A3C73" w:rsidRDefault="008466E4" w:rsidP="00D5740D">
      <w:pPr>
        <w:pStyle w:val="BodyText"/>
      </w:pPr>
      <w:r w:rsidRPr="000A3C73">
        <w:rPr>
          <w:b/>
          <w:i/>
          <w:u w:val="single"/>
        </w:rPr>
        <w:t>Recommendation 6</w:t>
      </w:r>
      <w:r w:rsidR="00D5740D" w:rsidRPr="000A3C73">
        <w:rPr>
          <w:b/>
          <w:i/>
          <w:u w:val="single"/>
        </w:rPr>
        <w:t>:</w:t>
      </w:r>
      <w:r w:rsidR="001054C9" w:rsidRPr="000A3C73">
        <w:rPr>
          <w:b/>
          <w:i/>
          <w:u w:val="single"/>
        </w:rPr>
        <w:t xml:space="preserve"> </w:t>
      </w:r>
      <w:r w:rsidR="00953169" w:rsidRPr="000A3C73">
        <w:t xml:space="preserve">The environmental education curriculum is under development in both Albania and Macedonia, </w:t>
      </w:r>
      <w:r w:rsidR="0001347A" w:rsidRPr="000A3C73">
        <w:t>and stakeholders working on this issue from both countries have been involved in the Prespa IEM project.</w:t>
      </w:r>
      <w:r w:rsidR="001054C9" w:rsidRPr="000A3C73">
        <w:t xml:space="preserve"> </w:t>
      </w:r>
      <w:r w:rsidR="0001347A" w:rsidRPr="000A3C73">
        <w:t>T</w:t>
      </w:r>
      <w:r w:rsidR="00953169" w:rsidRPr="000A3C73">
        <w:t xml:space="preserve">here is an opportunity to use the experience of integrated ecosystem management in the transboundary Prespa basin as an </w:t>
      </w:r>
      <w:r w:rsidR="0001347A" w:rsidRPr="000A3C73">
        <w:t>input</w:t>
      </w:r>
      <w:r w:rsidR="00953169" w:rsidRPr="000A3C73">
        <w:t xml:space="preserve"> and example </w:t>
      </w:r>
      <w:r w:rsidR="0001347A" w:rsidRPr="000A3C73">
        <w:t>for development of the environmental education curriculum (particularly for application in the region) and the local Albanian and Prespa stakeholders, as well as the responsible central government authorities from both countries should work together on this issue. [local Albania and Macedonia Prespa stakeholders, education authorities in Albania and Macedonia]</w:t>
      </w:r>
    </w:p>
    <w:p w:rsidR="00D5740D" w:rsidRPr="000A3C73" w:rsidRDefault="008466E4" w:rsidP="00D5740D">
      <w:pPr>
        <w:pStyle w:val="BodyText"/>
      </w:pPr>
      <w:r w:rsidRPr="000A3C73">
        <w:rPr>
          <w:b/>
          <w:i/>
          <w:u w:val="single"/>
        </w:rPr>
        <w:t>Recommendation 7</w:t>
      </w:r>
      <w:r w:rsidR="00D5740D" w:rsidRPr="000A3C73">
        <w:rPr>
          <w:b/>
          <w:i/>
          <w:u w:val="single"/>
        </w:rPr>
        <w:t>:</w:t>
      </w:r>
      <w:r w:rsidR="001054C9" w:rsidRPr="000A3C73">
        <w:rPr>
          <w:b/>
          <w:i/>
          <w:u w:val="single"/>
        </w:rPr>
        <w:t xml:space="preserve"> </w:t>
      </w:r>
      <w:r w:rsidR="00176688" w:rsidRPr="000A3C73">
        <w:t>To further sustainably develop production landscapes in the Prespa basin (i.e. orchards, croplands, grazing lands) the Prespa stakeholders should prioritize the diversification of agricultural production, especially with respect to the apple orchards in Macedonian Prespa. Additional development of the agricultural sector in an environmentally responsible manner should include further exploration of organic production. To support this, the municipality of Resen, in partnership with the Ministry of Agriculture, could consider establishing a few hectares of organic orchards as a pilot activity to test factors suc</w:t>
      </w:r>
      <w:r w:rsidR="00D8189C" w:rsidRPr="000A3C73">
        <w:t>h as yields relative to inputs, and the cost-effectiveness of organic production methods. Numerous technical factors would have to be considered – for example locating organic test plots in areas where they would not inadvertently benefit from pesticides applied to nearby conventional orchards. Nonetheless, taking some initial steps to further develop the organic market could help catalyze a long-term shift to environmentally sustainable production in the region. Other approaches could include sponsoring a visit by representatives of the farmer’s association to organic apple orchards in</w:t>
      </w:r>
      <w:r w:rsidR="00613C0E" w:rsidRPr="000A3C73">
        <w:t xml:space="preserve"> other countries in the region, and conducting a market feasibility study for organic production in the region. </w:t>
      </w:r>
      <w:r w:rsidR="00486F7B" w:rsidRPr="000A3C73">
        <w:t>[UNDP-SDC Macedonia project team, municipality of Resen, Macedonia Ministry of Agriculture]</w:t>
      </w:r>
    </w:p>
    <w:p w:rsidR="00D94E4A" w:rsidRPr="000A3C73" w:rsidRDefault="008466E4" w:rsidP="00D94E4A">
      <w:pPr>
        <w:pStyle w:val="BodyText"/>
      </w:pPr>
      <w:r w:rsidRPr="000A3C73">
        <w:rPr>
          <w:b/>
          <w:i/>
          <w:u w:val="single"/>
        </w:rPr>
        <w:t>Recommendation 8</w:t>
      </w:r>
      <w:r w:rsidR="00D5740D" w:rsidRPr="000A3C73">
        <w:rPr>
          <w:b/>
          <w:i/>
          <w:u w:val="single"/>
        </w:rPr>
        <w:t>:</w:t>
      </w:r>
      <w:r w:rsidR="001054C9" w:rsidRPr="000A3C73">
        <w:rPr>
          <w:b/>
          <w:i/>
          <w:u w:val="single"/>
        </w:rPr>
        <w:t xml:space="preserve"> </w:t>
      </w:r>
      <w:r w:rsidR="0036052D" w:rsidRPr="000A3C73">
        <w:t xml:space="preserve">To further develop local level education and awareness activities in all three countries, while also increasing the availability of environmental monitoring data, stakeholders should work to institute a community-based </w:t>
      </w:r>
      <w:r w:rsidR="0082242F" w:rsidRPr="000A3C73">
        <w:t>water-monitoring</w:t>
      </w:r>
      <w:r w:rsidR="0036052D" w:rsidRPr="000A3C73">
        <w:t xml:space="preserve"> program</w:t>
      </w:r>
      <w:r w:rsidR="0082242F" w:rsidRPr="000A3C73">
        <w:t xml:space="preserve"> (e.g. waterkeeper programs, adopt-a-stream, etc.)</w:t>
      </w:r>
      <w:r w:rsidR="0036052D" w:rsidRPr="000A3C73">
        <w:t>. Such programs are applied in many contexts around the world</w:t>
      </w:r>
      <w:r w:rsidR="0082242F" w:rsidRPr="000A3C73">
        <w:t xml:space="preserve">, and can contribute to </w:t>
      </w:r>
      <w:r w:rsidR="00D94E4A" w:rsidRPr="000A3C73">
        <w:t>a cost-effective environmental monitoring system.  Such programs also help increase community awareness and can be integrated with environmental education programs. Information on community-based water-moni</w:t>
      </w:r>
      <w:r w:rsidR="00486F7B" w:rsidRPr="000A3C73">
        <w:t>toring programs can be found at the below online resources. [</w:t>
      </w:r>
      <w:r w:rsidR="00557E0F" w:rsidRPr="000A3C73">
        <w:t>UNDP-SDC Macedonia project team, municipality of Resen]</w:t>
      </w:r>
    </w:p>
    <w:p w:rsidR="0082242F" w:rsidRPr="000A3C73" w:rsidRDefault="008269C6" w:rsidP="00486F7B">
      <w:pPr>
        <w:pStyle w:val="BodyText"/>
        <w:numPr>
          <w:ilvl w:val="0"/>
          <w:numId w:val="57"/>
        </w:numPr>
      </w:pPr>
      <w:hyperlink r:id="rId41" w:history="1">
        <w:r w:rsidR="0082242F" w:rsidRPr="000A3C73">
          <w:rPr>
            <w:rStyle w:val="Hyperlink"/>
          </w:rPr>
          <w:t>http://water.epa.gov/type/rsl/monitoring/index.cfm</w:t>
        </w:r>
      </w:hyperlink>
    </w:p>
    <w:p w:rsidR="00D94E4A" w:rsidRPr="000A3C73" w:rsidRDefault="008269C6" w:rsidP="00486F7B">
      <w:pPr>
        <w:pStyle w:val="BodyText"/>
        <w:numPr>
          <w:ilvl w:val="0"/>
          <w:numId w:val="57"/>
        </w:numPr>
      </w:pPr>
      <w:hyperlink r:id="rId42" w:history="1">
        <w:r w:rsidR="0082242F" w:rsidRPr="000A3C73">
          <w:rPr>
            <w:rStyle w:val="Hyperlink"/>
          </w:rPr>
          <w:t>http://inletkeeper.org/clean-water/citizen-monitoring</w:t>
        </w:r>
      </w:hyperlink>
    </w:p>
    <w:p w:rsidR="00486F7B" w:rsidRPr="000A3C73" w:rsidRDefault="008269C6" w:rsidP="00953169">
      <w:pPr>
        <w:pStyle w:val="BodyText"/>
        <w:numPr>
          <w:ilvl w:val="0"/>
          <w:numId w:val="57"/>
        </w:numPr>
      </w:pPr>
      <w:hyperlink r:id="rId43" w:history="1">
        <w:r w:rsidR="0082242F" w:rsidRPr="000A3C73">
          <w:rPr>
            <w:rStyle w:val="Hyperlink"/>
          </w:rPr>
          <w:t>http://www.georgiaadoptastream.org/db/</w:t>
        </w:r>
      </w:hyperlink>
    </w:p>
    <w:p w:rsidR="00D5740D" w:rsidRPr="000A3C73" w:rsidRDefault="00D5740D" w:rsidP="00D5740D">
      <w:pPr>
        <w:pStyle w:val="BodyText"/>
      </w:pPr>
      <w:r w:rsidRPr="000A3C73">
        <w:rPr>
          <w:b/>
          <w:i/>
          <w:u w:val="single"/>
        </w:rPr>
        <w:t xml:space="preserve">Recommendation </w:t>
      </w:r>
      <w:r w:rsidR="008466E4" w:rsidRPr="000A3C73">
        <w:rPr>
          <w:b/>
          <w:i/>
          <w:u w:val="single"/>
        </w:rPr>
        <w:t>9</w:t>
      </w:r>
      <w:r w:rsidRPr="000A3C73">
        <w:rPr>
          <w:b/>
          <w:i/>
          <w:u w:val="single"/>
        </w:rPr>
        <w:t>:</w:t>
      </w:r>
      <w:r w:rsidR="001054C9" w:rsidRPr="000A3C73">
        <w:rPr>
          <w:b/>
          <w:i/>
          <w:u w:val="single"/>
        </w:rPr>
        <w:t xml:space="preserve"> </w:t>
      </w:r>
      <w:r w:rsidR="003878DC" w:rsidRPr="000A3C73">
        <w:t>The agricultural waste management practices in Macedonia</w:t>
      </w:r>
      <w:r w:rsidR="001054C9" w:rsidRPr="000A3C73">
        <w:t xml:space="preserve"> </w:t>
      </w:r>
      <w:r w:rsidR="003878DC" w:rsidRPr="000A3C73">
        <w:t xml:space="preserve">initiated under the project have shown promise, but require additional resources for further implementation, institutionalization, and scaling up in the basin. The municipality of Resen and all other relevant stakeholders should prioritize support and seek additional financing for continuing and expanding agricultural waste management activities. </w:t>
      </w:r>
      <w:r w:rsidR="0055672B" w:rsidRPr="000A3C73">
        <w:t>[UNDP-SDC Macedonia project team, municipality of Resen, Macedonia government relevant authorities]</w:t>
      </w:r>
    </w:p>
    <w:p w:rsidR="00E523A1" w:rsidRPr="000A3C73" w:rsidRDefault="00DF0A32" w:rsidP="00180B9D">
      <w:pPr>
        <w:pStyle w:val="BodyText"/>
      </w:pPr>
      <w:r w:rsidRPr="000A3C73">
        <w:t xml:space="preserve">The terminal evaluation team also developed specific recommendations for the ongoing work in Macedonia to follow-up on the project activities and results. These are presented in bullet form in </w:t>
      </w:r>
      <w:r w:rsidR="008269C6" w:rsidRPr="00206E7A">
        <w:fldChar w:fldCharType="begin"/>
      </w:r>
      <w:r w:rsidRPr="000A3C73">
        <w:instrText xml:space="preserve"> REF _Ref211332777 \h </w:instrText>
      </w:r>
      <w:r w:rsidR="008269C6" w:rsidRPr="00206E7A">
        <w:fldChar w:fldCharType="separate"/>
      </w:r>
      <w:r w:rsidR="006E18A7" w:rsidRPr="000A3C73">
        <w:t xml:space="preserve">Table </w:t>
      </w:r>
      <w:r w:rsidR="006E18A7" w:rsidRPr="000A3C73">
        <w:rPr>
          <w:noProof/>
        </w:rPr>
        <w:t>14</w:t>
      </w:r>
      <w:r w:rsidR="008269C6" w:rsidRPr="00206E7A">
        <w:fldChar w:fldCharType="end"/>
      </w:r>
      <w:r w:rsidRPr="000A3C73">
        <w:t xml:space="preserve">, below. </w:t>
      </w:r>
    </w:p>
    <w:p w:rsidR="00DF0A32" w:rsidRPr="000A3C73" w:rsidRDefault="00DF0A32" w:rsidP="00DF0A32">
      <w:pPr>
        <w:pStyle w:val="Caption"/>
      </w:pPr>
      <w:bookmarkStart w:id="176" w:name="_Ref211332777"/>
      <w:r w:rsidRPr="000A3C73">
        <w:t xml:space="preserve">Table </w:t>
      </w:r>
      <w:r w:rsidR="008269C6" w:rsidRPr="00552EEF">
        <w:fldChar w:fldCharType="begin"/>
      </w:r>
      <w:r w:rsidR="00CF23E9" w:rsidRPr="000A3C73">
        <w:instrText xml:space="preserve"> SEQ Table \* ARABIC </w:instrText>
      </w:r>
      <w:r w:rsidR="008269C6" w:rsidRPr="00552EEF">
        <w:fldChar w:fldCharType="separate"/>
      </w:r>
      <w:r w:rsidR="006E18A7" w:rsidRPr="000A3C73">
        <w:rPr>
          <w:noProof/>
        </w:rPr>
        <w:t>14</w:t>
      </w:r>
      <w:r w:rsidR="008269C6" w:rsidRPr="00552EEF">
        <w:rPr>
          <w:noProof/>
        </w:rPr>
        <w:fldChar w:fldCharType="end"/>
      </w:r>
      <w:bookmarkEnd w:id="176"/>
      <w:r w:rsidRPr="000A3C73">
        <w:t xml:space="preserve"> Specific Follow-up Recommendations for Macedonia</w:t>
      </w:r>
      <w:r w:rsidR="00360987" w:rsidRPr="000A3C73">
        <w:t xml:space="preserve"> by Project Outcome</w:t>
      </w:r>
    </w:p>
    <w:tbl>
      <w:tblPr>
        <w:tblW w:w="9470" w:type="dxa"/>
        <w:jc w:val="center"/>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86"/>
        <w:gridCol w:w="5410"/>
        <w:gridCol w:w="2374"/>
      </w:tblGrid>
      <w:tr w:rsidR="00726D59" w:rsidRPr="000A3C73" w:rsidTr="008D78D0">
        <w:trPr>
          <w:trHeight w:val="588"/>
          <w:jc w:val="center"/>
        </w:trPr>
        <w:tc>
          <w:tcPr>
            <w:tcW w:w="1686" w:type="dxa"/>
            <w:shd w:val="clear" w:color="auto" w:fill="auto"/>
            <w:vAlign w:val="center"/>
          </w:tcPr>
          <w:p w:rsidR="00726D59" w:rsidRPr="000A3C73" w:rsidRDefault="00726D59" w:rsidP="0097745A">
            <w:pPr>
              <w:widowControl w:val="0"/>
              <w:rPr>
                <w:rFonts w:ascii="Calibri" w:hAnsi="Calibri"/>
                <w:b/>
                <w:sz w:val="20"/>
                <w:szCs w:val="20"/>
              </w:rPr>
            </w:pPr>
            <w:r w:rsidRPr="000A3C73">
              <w:rPr>
                <w:rFonts w:ascii="Calibri" w:hAnsi="Calibri"/>
                <w:b/>
                <w:sz w:val="20"/>
                <w:szCs w:val="20"/>
              </w:rPr>
              <w:t>Objective</w:t>
            </w:r>
          </w:p>
        </w:tc>
        <w:tc>
          <w:tcPr>
            <w:tcW w:w="5410" w:type="dxa"/>
            <w:shd w:val="clear" w:color="auto" w:fill="auto"/>
            <w:vAlign w:val="center"/>
          </w:tcPr>
          <w:p w:rsidR="00726D59" w:rsidRPr="000A3C73" w:rsidRDefault="00726D59" w:rsidP="0097745A">
            <w:pPr>
              <w:widowControl w:val="0"/>
              <w:jc w:val="center"/>
              <w:rPr>
                <w:rFonts w:ascii="Calibri" w:hAnsi="Calibri"/>
                <w:b/>
                <w:sz w:val="20"/>
                <w:szCs w:val="20"/>
              </w:rPr>
            </w:pPr>
            <w:r w:rsidRPr="000A3C73">
              <w:rPr>
                <w:rFonts w:ascii="Calibri" w:hAnsi="Calibri"/>
                <w:b/>
                <w:sz w:val="20"/>
                <w:szCs w:val="20"/>
              </w:rPr>
              <w:t xml:space="preserve">Recommended </w:t>
            </w:r>
            <w:r w:rsidR="00126588" w:rsidRPr="000A3C73">
              <w:rPr>
                <w:rFonts w:ascii="Calibri" w:hAnsi="Calibri"/>
                <w:b/>
                <w:sz w:val="20"/>
                <w:szCs w:val="20"/>
              </w:rPr>
              <w:t>Follow-up A</w:t>
            </w:r>
            <w:r w:rsidRPr="000A3C73">
              <w:rPr>
                <w:rFonts w:ascii="Calibri" w:hAnsi="Calibri"/>
                <w:b/>
                <w:sz w:val="20"/>
                <w:szCs w:val="20"/>
              </w:rPr>
              <w:t>ctivities</w:t>
            </w:r>
          </w:p>
        </w:tc>
        <w:tc>
          <w:tcPr>
            <w:tcW w:w="2374" w:type="dxa"/>
            <w:shd w:val="clear" w:color="auto" w:fill="auto"/>
            <w:vAlign w:val="center"/>
          </w:tcPr>
          <w:p w:rsidR="00726D59" w:rsidRPr="000A3C73" w:rsidRDefault="00726D59" w:rsidP="00747F99">
            <w:pPr>
              <w:widowControl w:val="0"/>
              <w:jc w:val="center"/>
              <w:rPr>
                <w:rFonts w:ascii="Calibri" w:hAnsi="Calibri"/>
                <w:b/>
                <w:sz w:val="20"/>
                <w:szCs w:val="20"/>
              </w:rPr>
            </w:pPr>
            <w:r w:rsidRPr="000A3C73">
              <w:rPr>
                <w:rFonts w:ascii="Calibri" w:hAnsi="Calibri"/>
                <w:b/>
                <w:sz w:val="20"/>
                <w:szCs w:val="20"/>
              </w:rPr>
              <w:t>Responsibility</w:t>
            </w:r>
          </w:p>
        </w:tc>
      </w:tr>
      <w:tr w:rsidR="00726D59" w:rsidRPr="000A3C73" w:rsidTr="008D78D0">
        <w:trPr>
          <w:jc w:val="center"/>
        </w:trPr>
        <w:tc>
          <w:tcPr>
            <w:tcW w:w="1686" w:type="dxa"/>
            <w:vMerge w:val="restart"/>
            <w:shd w:val="clear" w:color="auto" w:fill="auto"/>
            <w:vAlign w:val="center"/>
          </w:tcPr>
          <w:p w:rsidR="00726D59" w:rsidRPr="000A3C73" w:rsidRDefault="00726D59" w:rsidP="0089284E">
            <w:pPr>
              <w:widowControl w:val="0"/>
              <w:rPr>
                <w:rFonts w:ascii="Calibri" w:hAnsi="Calibri"/>
                <w:b/>
                <w:sz w:val="20"/>
                <w:szCs w:val="20"/>
              </w:rPr>
            </w:pPr>
            <w:r w:rsidRPr="000A3C73">
              <w:rPr>
                <w:rFonts w:ascii="Calibri" w:hAnsi="Calibri"/>
                <w:b/>
                <w:sz w:val="20"/>
                <w:szCs w:val="20"/>
              </w:rPr>
              <w:t>Outcome 1</w:t>
            </w:r>
          </w:p>
          <w:p w:rsidR="00726D59" w:rsidRPr="000A3C73" w:rsidRDefault="00726D59" w:rsidP="0097745A">
            <w:pPr>
              <w:widowControl w:val="0"/>
              <w:rPr>
                <w:rFonts w:ascii="Calibri" w:hAnsi="Calibri"/>
                <w:sz w:val="20"/>
                <w:szCs w:val="20"/>
              </w:rPr>
            </w:pPr>
            <w:r w:rsidRPr="000A3C73">
              <w:rPr>
                <w:rFonts w:ascii="Calibri" w:hAnsi="Calibri"/>
                <w:bCs/>
                <w:i/>
                <w:sz w:val="20"/>
                <w:szCs w:val="20"/>
              </w:rPr>
              <w:t>[Strengthened legal and regulatory enabling environment]</w:t>
            </w:r>
          </w:p>
        </w:tc>
        <w:tc>
          <w:tcPr>
            <w:tcW w:w="5410" w:type="dxa"/>
            <w:shd w:val="clear" w:color="auto" w:fill="auto"/>
            <w:vAlign w:val="center"/>
          </w:tcPr>
          <w:p w:rsidR="00726D59" w:rsidRPr="000A3C73" w:rsidRDefault="00325AFF" w:rsidP="0089284E">
            <w:pPr>
              <w:widowControl w:val="0"/>
              <w:numPr>
                <w:ilvl w:val="0"/>
                <w:numId w:val="17"/>
              </w:numPr>
              <w:tabs>
                <w:tab w:val="clear" w:pos="720"/>
                <w:tab w:val="num" w:pos="459"/>
              </w:tabs>
              <w:ind w:left="459" w:hanging="284"/>
              <w:rPr>
                <w:rFonts w:ascii="Calibri" w:hAnsi="Calibri"/>
                <w:sz w:val="20"/>
                <w:szCs w:val="20"/>
              </w:rPr>
            </w:pPr>
            <w:r w:rsidRPr="000A3C73">
              <w:rPr>
                <w:rFonts w:ascii="Calibri" w:hAnsi="Calibri"/>
                <w:sz w:val="20"/>
                <w:szCs w:val="20"/>
              </w:rPr>
              <w:t>Disseminate developed m</w:t>
            </w:r>
            <w:r w:rsidR="00726D59" w:rsidRPr="000A3C73">
              <w:rPr>
                <w:rFonts w:ascii="Calibri" w:hAnsi="Calibri"/>
                <w:sz w:val="20"/>
                <w:szCs w:val="20"/>
              </w:rPr>
              <w:t>ethodology for spatial planning to other regions in the country</w:t>
            </w:r>
          </w:p>
          <w:p w:rsidR="00726D59" w:rsidRPr="000A3C73" w:rsidRDefault="00726D59" w:rsidP="0089284E">
            <w:pPr>
              <w:widowControl w:val="0"/>
              <w:numPr>
                <w:ilvl w:val="0"/>
                <w:numId w:val="17"/>
              </w:numPr>
              <w:tabs>
                <w:tab w:val="clear" w:pos="720"/>
                <w:tab w:val="num" w:pos="459"/>
              </w:tabs>
              <w:ind w:left="459" w:hanging="284"/>
              <w:rPr>
                <w:rFonts w:ascii="Calibri" w:hAnsi="Calibri"/>
                <w:sz w:val="20"/>
                <w:szCs w:val="20"/>
              </w:rPr>
            </w:pPr>
            <w:r w:rsidRPr="000A3C73">
              <w:rPr>
                <w:rFonts w:ascii="Calibri" w:hAnsi="Calibri"/>
                <w:sz w:val="20"/>
                <w:szCs w:val="20"/>
              </w:rPr>
              <w:t>Disseminate the River Basin Management planning manual to the target audience (planners, river basin authorities, consultants…)</w:t>
            </w:r>
          </w:p>
        </w:tc>
        <w:tc>
          <w:tcPr>
            <w:tcW w:w="2374" w:type="dxa"/>
            <w:shd w:val="clear" w:color="auto" w:fill="auto"/>
            <w:vAlign w:val="center"/>
          </w:tcPr>
          <w:p w:rsidR="00726D59" w:rsidRPr="000A3C73" w:rsidRDefault="00726D59" w:rsidP="0089284E">
            <w:pPr>
              <w:widowControl w:val="0"/>
              <w:numPr>
                <w:ilvl w:val="0"/>
                <w:numId w:val="17"/>
              </w:numPr>
              <w:tabs>
                <w:tab w:val="clear" w:pos="720"/>
                <w:tab w:val="num" w:pos="459"/>
              </w:tabs>
              <w:ind w:left="-3526" w:firstLine="3701"/>
              <w:rPr>
                <w:rFonts w:ascii="Calibri" w:hAnsi="Calibri"/>
                <w:sz w:val="20"/>
                <w:szCs w:val="20"/>
              </w:rPr>
            </w:pPr>
            <w:r w:rsidRPr="000A3C73">
              <w:rPr>
                <w:rFonts w:ascii="Calibri" w:hAnsi="Calibri"/>
                <w:sz w:val="20"/>
                <w:szCs w:val="20"/>
              </w:rPr>
              <w:t>MoEPP; UNDP</w:t>
            </w:r>
          </w:p>
        </w:tc>
      </w:tr>
      <w:tr w:rsidR="00726D59" w:rsidRPr="000A3C73" w:rsidTr="008D78D0">
        <w:trPr>
          <w:jc w:val="center"/>
        </w:trPr>
        <w:tc>
          <w:tcPr>
            <w:tcW w:w="1686" w:type="dxa"/>
            <w:vMerge/>
            <w:shd w:val="clear" w:color="auto" w:fill="auto"/>
            <w:vAlign w:val="center"/>
          </w:tcPr>
          <w:p w:rsidR="00726D59" w:rsidRPr="000A3C73" w:rsidRDefault="00726D59" w:rsidP="0089284E">
            <w:pPr>
              <w:widowControl w:val="0"/>
              <w:rPr>
                <w:rFonts w:ascii="Calibri" w:hAnsi="Calibri"/>
                <w:sz w:val="20"/>
                <w:szCs w:val="20"/>
              </w:rPr>
            </w:pPr>
          </w:p>
        </w:tc>
        <w:tc>
          <w:tcPr>
            <w:tcW w:w="5410" w:type="dxa"/>
            <w:shd w:val="clear" w:color="auto" w:fill="auto"/>
            <w:vAlign w:val="center"/>
          </w:tcPr>
          <w:p w:rsidR="00726D59" w:rsidRPr="000A3C73" w:rsidRDefault="00726D59" w:rsidP="0089284E">
            <w:pPr>
              <w:widowControl w:val="0"/>
              <w:numPr>
                <w:ilvl w:val="0"/>
                <w:numId w:val="17"/>
              </w:numPr>
              <w:tabs>
                <w:tab w:val="clear" w:pos="720"/>
                <w:tab w:val="num" w:pos="459"/>
              </w:tabs>
              <w:ind w:left="459" w:hanging="284"/>
              <w:rPr>
                <w:rFonts w:ascii="Calibri" w:hAnsi="Calibri"/>
                <w:sz w:val="20"/>
                <w:szCs w:val="20"/>
              </w:rPr>
            </w:pPr>
            <w:r w:rsidRPr="000A3C73">
              <w:rPr>
                <w:rFonts w:ascii="Calibri" w:hAnsi="Calibri"/>
                <w:sz w:val="20"/>
                <w:szCs w:val="20"/>
              </w:rPr>
              <w:t>Initiate implementation of the Programme of Measures from the WMP</w:t>
            </w:r>
          </w:p>
        </w:tc>
        <w:tc>
          <w:tcPr>
            <w:tcW w:w="2374" w:type="dxa"/>
            <w:shd w:val="clear" w:color="auto" w:fill="auto"/>
            <w:vAlign w:val="center"/>
          </w:tcPr>
          <w:p w:rsidR="007061BA" w:rsidRPr="000A3C73" w:rsidRDefault="008D78D0" w:rsidP="0089284E">
            <w:pPr>
              <w:widowControl w:val="0"/>
              <w:numPr>
                <w:ilvl w:val="0"/>
                <w:numId w:val="17"/>
              </w:numPr>
              <w:tabs>
                <w:tab w:val="clear" w:pos="720"/>
                <w:tab w:val="num" w:pos="459"/>
              </w:tabs>
              <w:ind w:left="-3526" w:firstLine="3701"/>
              <w:rPr>
                <w:rFonts w:ascii="Calibri" w:hAnsi="Calibri"/>
                <w:sz w:val="20"/>
                <w:szCs w:val="20"/>
              </w:rPr>
            </w:pPr>
            <w:r w:rsidRPr="000A3C73">
              <w:rPr>
                <w:rFonts w:ascii="Calibri" w:hAnsi="Calibri"/>
                <w:sz w:val="20"/>
                <w:szCs w:val="20"/>
              </w:rPr>
              <w:t xml:space="preserve">Resen </w:t>
            </w:r>
            <w:r w:rsidR="00AE70A7" w:rsidRPr="000A3C73">
              <w:rPr>
                <w:rFonts w:ascii="Calibri" w:hAnsi="Calibri"/>
                <w:sz w:val="20"/>
                <w:szCs w:val="20"/>
              </w:rPr>
              <w:t>Mun</w:t>
            </w:r>
            <w:r w:rsidR="00AE70A7">
              <w:rPr>
                <w:rFonts w:ascii="Calibri" w:hAnsi="Calibri"/>
                <w:sz w:val="20"/>
                <w:szCs w:val="20"/>
              </w:rPr>
              <w:t>icipality</w:t>
            </w:r>
          </w:p>
          <w:p w:rsidR="00726D59" w:rsidRPr="000A3C73" w:rsidRDefault="007061BA" w:rsidP="0089284E">
            <w:pPr>
              <w:widowControl w:val="0"/>
              <w:numPr>
                <w:ilvl w:val="0"/>
                <w:numId w:val="17"/>
              </w:numPr>
              <w:tabs>
                <w:tab w:val="clear" w:pos="720"/>
                <w:tab w:val="num" w:pos="459"/>
              </w:tabs>
              <w:ind w:left="-3526" w:firstLine="3701"/>
              <w:rPr>
                <w:rFonts w:ascii="Calibri" w:hAnsi="Calibri"/>
                <w:sz w:val="20"/>
                <w:szCs w:val="20"/>
              </w:rPr>
            </w:pPr>
            <w:r w:rsidRPr="000A3C73">
              <w:rPr>
                <w:rFonts w:ascii="Calibri" w:hAnsi="Calibri"/>
                <w:sz w:val="20"/>
                <w:szCs w:val="20"/>
              </w:rPr>
              <w:t>MoEPP</w:t>
            </w:r>
          </w:p>
        </w:tc>
      </w:tr>
      <w:tr w:rsidR="00726D59" w:rsidRPr="000A3C73" w:rsidTr="008D78D0">
        <w:trPr>
          <w:jc w:val="center"/>
        </w:trPr>
        <w:tc>
          <w:tcPr>
            <w:tcW w:w="1686" w:type="dxa"/>
            <w:vMerge/>
            <w:shd w:val="clear" w:color="auto" w:fill="auto"/>
            <w:vAlign w:val="center"/>
          </w:tcPr>
          <w:p w:rsidR="00726D59" w:rsidRPr="000A3C73" w:rsidRDefault="00726D59" w:rsidP="0089284E">
            <w:pPr>
              <w:widowControl w:val="0"/>
              <w:rPr>
                <w:rFonts w:ascii="Calibri" w:hAnsi="Calibri"/>
                <w:sz w:val="20"/>
                <w:szCs w:val="20"/>
              </w:rPr>
            </w:pPr>
          </w:p>
        </w:tc>
        <w:tc>
          <w:tcPr>
            <w:tcW w:w="5410" w:type="dxa"/>
            <w:shd w:val="clear" w:color="auto" w:fill="auto"/>
            <w:vAlign w:val="center"/>
          </w:tcPr>
          <w:p w:rsidR="00726D59" w:rsidRPr="000A3C73" w:rsidRDefault="00726D59" w:rsidP="0089284E">
            <w:pPr>
              <w:widowControl w:val="0"/>
              <w:numPr>
                <w:ilvl w:val="0"/>
                <w:numId w:val="17"/>
              </w:numPr>
              <w:tabs>
                <w:tab w:val="clear" w:pos="720"/>
                <w:tab w:val="num" w:pos="459"/>
              </w:tabs>
              <w:ind w:left="459" w:hanging="284"/>
              <w:rPr>
                <w:rFonts w:ascii="Calibri" w:hAnsi="Calibri"/>
                <w:sz w:val="20"/>
                <w:szCs w:val="20"/>
              </w:rPr>
            </w:pPr>
            <w:r w:rsidRPr="000A3C73">
              <w:rPr>
                <w:rFonts w:ascii="Calibri" w:hAnsi="Calibri"/>
                <w:sz w:val="20"/>
                <w:szCs w:val="20"/>
              </w:rPr>
              <w:t>Build capacity and support the Prespa WMC</w:t>
            </w:r>
          </w:p>
        </w:tc>
        <w:tc>
          <w:tcPr>
            <w:tcW w:w="2374" w:type="dxa"/>
            <w:shd w:val="clear" w:color="auto" w:fill="auto"/>
            <w:vAlign w:val="center"/>
          </w:tcPr>
          <w:p w:rsidR="007061BA" w:rsidRPr="000A3C73" w:rsidRDefault="007061BA" w:rsidP="0089284E">
            <w:pPr>
              <w:widowControl w:val="0"/>
              <w:numPr>
                <w:ilvl w:val="0"/>
                <w:numId w:val="17"/>
              </w:numPr>
              <w:tabs>
                <w:tab w:val="clear" w:pos="720"/>
                <w:tab w:val="num" w:pos="459"/>
              </w:tabs>
              <w:ind w:left="-3526" w:firstLine="3701"/>
              <w:rPr>
                <w:rFonts w:ascii="Calibri" w:hAnsi="Calibri"/>
                <w:sz w:val="20"/>
                <w:szCs w:val="20"/>
              </w:rPr>
            </w:pPr>
            <w:r w:rsidRPr="000A3C73">
              <w:rPr>
                <w:rFonts w:ascii="Calibri" w:hAnsi="Calibri"/>
                <w:sz w:val="20"/>
                <w:szCs w:val="20"/>
              </w:rPr>
              <w:t>UNDP</w:t>
            </w:r>
          </w:p>
          <w:p w:rsidR="00726D59" w:rsidRPr="000A3C73" w:rsidRDefault="00726D59" w:rsidP="0089284E">
            <w:pPr>
              <w:widowControl w:val="0"/>
              <w:numPr>
                <w:ilvl w:val="0"/>
                <w:numId w:val="17"/>
              </w:numPr>
              <w:tabs>
                <w:tab w:val="clear" w:pos="720"/>
                <w:tab w:val="num" w:pos="459"/>
              </w:tabs>
              <w:ind w:left="-3526" w:firstLine="3701"/>
              <w:rPr>
                <w:rFonts w:ascii="Calibri" w:hAnsi="Calibri"/>
                <w:sz w:val="20"/>
                <w:szCs w:val="20"/>
              </w:rPr>
            </w:pPr>
            <w:r w:rsidRPr="000A3C73">
              <w:rPr>
                <w:rFonts w:ascii="Calibri" w:hAnsi="Calibri"/>
                <w:sz w:val="20"/>
                <w:szCs w:val="20"/>
              </w:rPr>
              <w:t>MoEPP</w:t>
            </w:r>
          </w:p>
        </w:tc>
      </w:tr>
      <w:tr w:rsidR="00726D59" w:rsidRPr="000A3C73" w:rsidTr="008D78D0">
        <w:trPr>
          <w:jc w:val="center"/>
        </w:trPr>
        <w:tc>
          <w:tcPr>
            <w:tcW w:w="1686" w:type="dxa"/>
            <w:vMerge/>
            <w:shd w:val="clear" w:color="auto" w:fill="auto"/>
            <w:vAlign w:val="center"/>
          </w:tcPr>
          <w:p w:rsidR="00726D59" w:rsidRPr="000A3C73" w:rsidRDefault="00726D59" w:rsidP="0089284E">
            <w:pPr>
              <w:widowControl w:val="0"/>
              <w:rPr>
                <w:rFonts w:ascii="Calibri" w:hAnsi="Calibri"/>
                <w:sz w:val="20"/>
                <w:szCs w:val="20"/>
              </w:rPr>
            </w:pPr>
          </w:p>
        </w:tc>
        <w:tc>
          <w:tcPr>
            <w:tcW w:w="5410" w:type="dxa"/>
            <w:shd w:val="clear" w:color="auto" w:fill="auto"/>
            <w:vAlign w:val="center"/>
          </w:tcPr>
          <w:p w:rsidR="00726D59" w:rsidRPr="000A3C73" w:rsidRDefault="00726D59" w:rsidP="0089284E">
            <w:pPr>
              <w:widowControl w:val="0"/>
              <w:numPr>
                <w:ilvl w:val="0"/>
                <w:numId w:val="17"/>
              </w:numPr>
              <w:tabs>
                <w:tab w:val="clear" w:pos="720"/>
                <w:tab w:val="num" w:pos="459"/>
              </w:tabs>
              <w:ind w:left="459" w:hanging="284"/>
              <w:rPr>
                <w:rFonts w:ascii="Calibri" w:hAnsi="Calibri"/>
                <w:sz w:val="20"/>
                <w:szCs w:val="20"/>
              </w:rPr>
            </w:pPr>
            <w:r w:rsidRPr="000A3C73">
              <w:rPr>
                <w:rFonts w:ascii="Calibri" w:hAnsi="Calibri"/>
                <w:sz w:val="20"/>
                <w:szCs w:val="20"/>
              </w:rPr>
              <w:t>Disseminate developed Guidelines for conducting SEA of water management plans to other regions in the country</w:t>
            </w:r>
          </w:p>
        </w:tc>
        <w:tc>
          <w:tcPr>
            <w:tcW w:w="2374" w:type="dxa"/>
            <w:shd w:val="clear" w:color="auto" w:fill="auto"/>
            <w:vAlign w:val="center"/>
          </w:tcPr>
          <w:p w:rsidR="007061BA" w:rsidRPr="000A3C73" w:rsidRDefault="007061BA" w:rsidP="0089284E">
            <w:pPr>
              <w:widowControl w:val="0"/>
              <w:numPr>
                <w:ilvl w:val="0"/>
                <w:numId w:val="17"/>
              </w:numPr>
              <w:tabs>
                <w:tab w:val="clear" w:pos="720"/>
                <w:tab w:val="num" w:pos="459"/>
              </w:tabs>
              <w:ind w:left="-3526" w:firstLine="3701"/>
              <w:rPr>
                <w:rFonts w:ascii="Calibri" w:hAnsi="Calibri"/>
                <w:sz w:val="20"/>
                <w:szCs w:val="20"/>
              </w:rPr>
            </w:pPr>
            <w:r w:rsidRPr="000A3C73">
              <w:rPr>
                <w:rFonts w:ascii="Calibri" w:hAnsi="Calibri"/>
                <w:sz w:val="20"/>
                <w:szCs w:val="20"/>
              </w:rPr>
              <w:t>MoEPP</w:t>
            </w:r>
          </w:p>
          <w:p w:rsidR="00726D59" w:rsidRPr="000A3C73" w:rsidRDefault="00726D59" w:rsidP="0089284E">
            <w:pPr>
              <w:widowControl w:val="0"/>
              <w:numPr>
                <w:ilvl w:val="0"/>
                <w:numId w:val="17"/>
              </w:numPr>
              <w:tabs>
                <w:tab w:val="clear" w:pos="720"/>
                <w:tab w:val="num" w:pos="459"/>
              </w:tabs>
              <w:ind w:left="-3526" w:firstLine="3701"/>
              <w:rPr>
                <w:rFonts w:ascii="Calibri" w:hAnsi="Calibri"/>
                <w:sz w:val="20"/>
                <w:szCs w:val="20"/>
              </w:rPr>
            </w:pPr>
            <w:r w:rsidRPr="000A3C73">
              <w:rPr>
                <w:rFonts w:ascii="Calibri" w:hAnsi="Calibri"/>
                <w:sz w:val="20"/>
                <w:szCs w:val="20"/>
              </w:rPr>
              <w:t>UNDP</w:t>
            </w:r>
          </w:p>
        </w:tc>
      </w:tr>
      <w:tr w:rsidR="00726D59" w:rsidRPr="000A3C73" w:rsidTr="008D78D0">
        <w:trPr>
          <w:jc w:val="center"/>
        </w:trPr>
        <w:tc>
          <w:tcPr>
            <w:tcW w:w="1686" w:type="dxa"/>
            <w:vMerge/>
            <w:shd w:val="clear" w:color="auto" w:fill="auto"/>
            <w:vAlign w:val="center"/>
          </w:tcPr>
          <w:p w:rsidR="00726D59" w:rsidRPr="000A3C73" w:rsidRDefault="00726D59" w:rsidP="0089284E">
            <w:pPr>
              <w:widowControl w:val="0"/>
              <w:rPr>
                <w:rFonts w:ascii="Calibri" w:hAnsi="Calibri"/>
                <w:sz w:val="20"/>
                <w:szCs w:val="20"/>
              </w:rPr>
            </w:pPr>
          </w:p>
        </w:tc>
        <w:tc>
          <w:tcPr>
            <w:tcW w:w="5410" w:type="dxa"/>
            <w:shd w:val="clear" w:color="auto" w:fill="auto"/>
            <w:vAlign w:val="center"/>
          </w:tcPr>
          <w:p w:rsidR="00726D59" w:rsidRPr="000A3C73" w:rsidRDefault="00726D59" w:rsidP="0089284E">
            <w:pPr>
              <w:widowControl w:val="0"/>
              <w:numPr>
                <w:ilvl w:val="0"/>
                <w:numId w:val="17"/>
              </w:numPr>
              <w:tabs>
                <w:tab w:val="clear" w:pos="720"/>
                <w:tab w:val="num" w:pos="459"/>
              </w:tabs>
              <w:ind w:left="459" w:hanging="284"/>
              <w:rPr>
                <w:rFonts w:ascii="Calibri" w:hAnsi="Calibri"/>
                <w:sz w:val="20"/>
                <w:szCs w:val="20"/>
              </w:rPr>
            </w:pPr>
            <w:r w:rsidRPr="000A3C73">
              <w:rPr>
                <w:rFonts w:ascii="Calibri" w:hAnsi="Calibri"/>
                <w:sz w:val="20"/>
                <w:szCs w:val="20"/>
              </w:rPr>
              <w:t>Continuous application and improvement of established IPPC process</w:t>
            </w:r>
          </w:p>
        </w:tc>
        <w:tc>
          <w:tcPr>
            <w:tcW w:w="2374" w:type="dxa"/>
            <w:shd w:val="clear" w:color="auto" w:fill="auto"/>
            <w:vAlign w:val="center"/>
          </w:tcPr>
          <w:p w:rsidR="00726D59" w:rsidRPr="000A3C73" w:rsidRDefault="008D78D0" w:rsidP="0089284E">
            <w:pPr>
              <w:widowControl w:val="0"/>
              <w:numPr>
                <w:ilvl w:val="0"/>
                <w:numId w:val="17"/>
              </w:numPr>
              <w:tabs>
                <w:tab w:val="clear" w:pos="720"/>
                <w:tab w:val="num" w:pos="459"/>
              </w:tabs>
              <w:ind w:left="-3526" w:firstLine="3701"/>
              <w:rPr>
                <w:rFonts w:ascii="Calibri" w:hAnsi="Calibri"/>
                <w:sz w:val="20"/>
                <w:szCs w:val="20"/>
              </w:rPr>
            </w:pPr>
            <w:r w:rsidRPr="000A3C73">
              <w:rPr>
                <w:rFonts w:ascii="Calibri" w:hAnsi="Calibri"/>
                <w:sz w:val="20"/>
                <w:szCs w:val="20"/>
              </w:rPr>
              <w:t xml:space="preserve">Resen </w:t>
            </w:r>
            <w:r w:rsidR="00AE70A7" w:rsidRPr="000A3C73">
              <w:rPr>
                <w:rFonts w:ascii="Calibri" w:hAnsi="Calibri"/>
                <w:sz w:val="20"/>
                <w:szCs w:val="20"/>
              </w:rPr>
              <w:t>Mun</w:t>
            </w:r>
            <w:r w:rsidR="00AE70A7">
              <w:rPr>
                <w:rFonts w:ascii="Calibri" w:hAnsi="Calibri"/>
                <w:sz w:val="20"/>
                <w:szCs w:val="20"/>
              </w:rPr>
              <w:t>icipality</w:t>
            </w:r>
          </w:p>
        </w:tc>
      </w:tr>
      <w:tr w:rsidR="00726D59" w:rsidRPr="000A3C73" w:rsidTr="008D78D0">
        <w:trPr>
          <w:jc w:val="center"/>
        </w:trPr>
        <w:tc>
          <w:tcPr>
            <w:tcW w:w="1686" w:type="dxa"/>
            <w:vMerge/>
            <w:shd w:val="clear" w:color="auto" w:fill="auto"/>
            <w:vAlign w:val="center"/>
          </w:tcPr>
          <w:p w:rsidR="00726D59" w:rsidRPr="000A3C73" w:rsidRDefault="00726D59" w:rsidP="0089284E">
            <w:pPr>
              <w:widowControl w:val="0"/>
              <w:rPr>
                <w:rFonts w:ascii="Calibri" w:hAnsi="Calibri"/>
                <w:sz w:val="20"/>
                <w:szCs w:val="20"/>
              </w:rPr>
            </w:pPr>
          </w:p>
        </w:tc>
        <w:tc>
          <w:tcPr>
            <w:tcW w:w="5410" w:type="dxa"/>
            <w:shd w:val="clear" w:color="auto" w:fill="auto"/>
            <w:vAlign w:val="center"/>
          </w:tcPr>
          <w:p w:rsidR="00726D59" w:rsidRPr="000A3C73" w:rsidRDefault="00726D59" w:rsidP="0089284E">
            <w:pPr>
              <w:widowControl w:val="0"/>
              <w:numPr>
                <w:ilvl w:val="0"/>
                <w:numId w:val="17"/>
              </w:numPr>
              <w:tabs>
                <w:tab w:val="clear" w:pos="720"/>
                <w:tab w:val="num" w:pos="459"/>
              </w:tabs>
              <w:ind w:left="459" w:hanging="284"/>
              <w:rPr>
                <w:rFonts w:ascii="Calibri" w:hAnsi="Calibri"/>
                <w:sz w:val="20"/>
                <w:szCs w:val="20"/>
              </w:rPr>
            </w:pPr>
            <w:r w:rsidRPr="000A3C73">
              <w:rPr>
                <w:rFonts w:ascii="Calibri" w:hAnsi="Calibri"/>
                <w:sz w:val="20"/>
                <w:szCs w:val="20"/>
              </w:rPr>
              <w:t>Disseminate developed Guidelines for hazardous pesticide packaging waste to other municipalities in the country</w:t>
            </w:r>
          </w:p>
        </w:tc>
        <w:tc>
          <w:tcPr>
            <w:tcW w:w="2374" w:type="dxa"/>
            <w:shd w:val="clear" w:color="auto" w:fill="auto"/>
            <w:vAlign w:val="center"/>
          </w:tcPr>
          <w:p w:rsidR="007061BA" w:rsidRPr="000A3C73" w:rsidRDefault="007061BA" w:rsidP="0089284E">
            <w:pPr>
              <w:widowControl w:val="0"/>
              <w:numPr>
                <w:ilvl w:val="0"/>
                <w:numId w:val="17"/>
              </w:numPr>
              <w:tabs>
                <w:tab w:val="clear" w:pos="720"/>
                <w:tab w:val="num" w:pos="459"/>
              </w:tabs>
              <w:ind w:left="-3526" w:firstLine="3701"/>
              <w:rPr>
                <w:rFonts w:ascii="Calibri" w:hAnsi="Calibri"/>
                <w:sz w:val="20"/>
                <w:szCs w:val="20"/>
              </w:rPr>
            </w:pPr>
            <w:r w:rsidRPr="000A3C73">
              <w:rPr>
                <w:rFonts w:ascii="Calibri" w:hAnsi="Calibri"/>
                <w:sz w:val="20"/>
                <w:szCs w:val="20"/>
              </w:rPr>
              <w:t>MoEPP</w:t>
            </w:r>
          </w:p>
          <w:p w:rsidR="00726D59" w:rsidRPr="000A3C73" w:rsidRDefault="00726D59" w:rsidP="0089284E">
            <w:pPr>
              <w:widowControl w:val="0"/>
              <w:numPr>
                <w:ilvl w:val="0"/>
                <w:numId w:val="17"/>
              </w:numPr>
              <w:tabs>
                <w:tab w:val="clear" w:pos="720"/>
                <w:tab w:val="num" w:pos="459"/>
              </w:tabs>
              <w:ind w:left="-3526" w:firstLine="3701"/>
              <w:rPr>
                <w:rFonts w:ascii="Calibri" w:hAnsi="Calibri"/>
                <w:sz w:val="20"/>
                <w:szCs w:val="20"/>
              </w:rPr>
            </w:pPr>
            <w:r w:rsidRPr="000A3C73">
              <w:rPr>
                <w:rFonts w:ascii="Calibri" w:hAnsi="Calibri"/>
                <w:sz w:val="20"/>
                <w:szCs w:val="20"/>
              </w:rPr>
              <w:t>ZELS</w:t>
            </w:r>
          </w:p>
        </w:tc>
      </w:tr>
      <w:tr w:rsidR="00726D59" w:rsidRPr="000A3C73" w:rsidTr="008D78D0">
        <w:trPr>
          <w:jc w:val="center"/>
        </w:trPr>
        <w:tc>
          <w:tcPr>
            <w:tcW w:w="1686" w:type="dxa"/>
            <w:vMerge w:val="restart"/>
            <w:shd w:val="clear" w:color="auto" w:fill="auto"/>
            <w:vAlign w:val="center"/>
          </w:tcPr>
          <w:p w:rsidR="00726D59" w:rsidRPr="000A3C73" w:rsidRDefault="00726D59" w:rsidP="0089284E">
            <w:pPr>
              <w:rPr>
                <w:rFonts w:ascii="Calibri" w:hAnsi="Calibri"/>
                <w:b/>
                <w:sz w:val="20"/>
                <w:szCs w:val="20"/>
              </w:rPr>
            </w:pPr>
            <w:r w:rsidRPr="000A3C73">
              <w:rPr>
                <w:rFonts w:ascii="Calibri" w:hAnsi="Calibri"/>
                <w:b/>
                <w:sz w:val="20"/>
                <w:szCs w:val="20"/>
              </w:rPr>
              <w:t>Outcome 2</w:t>
            </w:r>
          </w:p>
          <w:p w:rsidR="00726D59" w:rsidRPr="000A3C73" w:rsidRDefault="00726D59" w:rsidP="0097745A">
            <w:pPr>
              <w:rPr>
                <w:rFonts w:ascii="Calibri" w:hAnsi="Calibri"/>
                <w:sz w:val="20"/>
                <w:szCs w:val="20"/>
              </w:rPr>
            </w:pPr>
            <w:r w:rsidRPr="000A3C73">
              <w:rPr>
                <w:rFonts w:ascii="Calibri" w:hAnsi="Calibri"/>
                <w:i/>
                <w:sz w:val="20"/>
                <w:szCs w:val="20"/>
              </w:rPr>
              <w:t>[Modified productive sector resource management practices]</w:t>
            </w:r>
          </w:p>
        </w:tc>
        <w:tc>
          <w:tcPr>
            <w:tcW w:w="5410" w:type="dxa"/>
            <w:shd w:val="clear" w:color="auto" w:fill="auto"/>
            <w:vAlign w:val="center"/>
          </w:tcPr>
          <w:p w:rsidR="00726D59" w:rsidRPr="000A3C73" w:rsidRDefault="00726D59" w:rsidP="0089284E">
            <w:pPr>
              <w:widowControl w:val="0"/>
              <w:numPr>
                <w:ilvl w:val="0"/>
                <w:numId w:val="17"/>
              </w:numPr>
              <w:tabs>
                <w:tab w:val="clear" w:pos="720"/>
                <w:tab w:val="num" w:pos="459"/>
              </w:tabs>
              <w:ind w:left="459" w:hanging="284"/>
              <w:rPr>
                <w:rFonts w:ascii="Calibri" w:hAnsi="Calibri"/>
                <w:sz w:val="20"/>
                <w:szCs w:val="20"/>
              </w:rPr>
            </w:pPr>
            <w:r w:rsidRPr="000A3C73">
              <w:rPr>
                <w:rFonts w:ascii="Calibri" w:hAnsi="Calibri"/>
                <w:sz w:val="20"/>
                <w:szCs w:val="20"/>
              </w:rPr>
              <w:t>Broaden application of Good Agriculture Practices (and agro-ecological practices) in Prespa and other regions in the country</w:t>
            </w:r>
          </w:p>
        </w:tc>
        <w:tc>
          <w:tcPr>
            <w:tcW w:w="2374" w:type="dxa"/>
            <w:shd w:val="clear" w:color="auto" w:fill="auto"/>
            <w:vAlign w:val="center"/>
          </w:tcPr>
          <w:p w:rsidR="007061BA" w:rsidRPr="000A3C73" w:rsidRDefault="008D78D0" w:rsidP="0089284E">
            <w:pPr>
              <w:widowControl w:val="0"/>
              <w:numPr>
                <w:ilvl w:val="0"/>
                <w:numId w:val="17"/>
              </w:numPr>
              <w:tabs>
                <w:tab w:val="clear" w:pos="720"/>
                <w:tab w:val="num" w:pos="459"/>
              </w:tabs>
              <w:ind w:left="-3526" w:firstLine="3701"/>
              <w:rPr>
                <w:rFonts w:ascii="Calibri" w:hAnsi="Calibri"/>
                <w:sz w:val="20"/>
                <w:szCs w:val="20"/>
              </w:rPr>
            </w:pPr>
            <w:r w:rsidRPr="000A3C73">
              <w:rPr>
                <w:rFonts w:ascii="Calibri" w:hAnsi="Calibri"/>
                <w:sz w:val="20"/>
                <w:szCs w:val="20"/>
              </w:rPr>
              <w:t xml:space="preserve">Resen </w:t>
            </w:r>
            <w:r w:rsidR="00AE70A7" w:rsidRPr="000A3C73">
              <w:rPr>
                <w:rFonts w:ascii="Calibri" w:hAnsi="Calibri"/>
                <w:sz w:val="20"/>
                <w:szCs w:val="20"/>
              </w:rPr>
              <w:t>Mun</w:t>
            </w:r>
            <w:r w:rsidR="00AE70A7">
              <w:rPr>
                <w:rFonts w:ascii="Calibri" w:hAnsi="Calibri"/>
                <w:sz w:val="20"/>
                <w:szCs w:val="20"/>
              </w:rPr>
              <w:t>icipality</w:t>
            </w:r>
          </w:p>
          <w:p w:rsidR="00726D59" w:rsidRPr="000A3C73" w:rsidRDefault="007061BA" w:rsidP="0089284E">
            <w:pPr>
              <w:widowControl w:val="0"/>
              <w:numPr>
                <w:ilvl w:val="0"/>
                <w:numId w:val="17"/>
              </w:numPr>
              <w:tabs>
                <w:tab w:val="clear" w:pos="720"/>
                <w:tab w:val="num" w:pos="459"/>
              </w:tabs>
              <w:ind w:left="-3526" w:firstLine="3701"/>
              <w:rPr>
                <w:rFonts w:ascii="Calibri" w:hAnsi="Calibri"/>
                <w:sz w:val="20"/>
                <w:szCs w:val="20"/>
              </w:rPr>
            </w:pPr>
            <w:r w:rsidRPr="000A3C73">
              <w:rPr>
                <w:rFonts w:ascii="Calibri" w:hAnsi="Calibri"/>
                <w:sz w:val="20"/>
                <w:szCs w:val="20"/>
              </w:rPr>
              <w:t>UNDP</w:t>
            </w:r>
          </w:p>
          <w:p w:rsidR="00726D59" w:rsidRPr="000A3C73" w:rsidRDefault="00726D59" w:rsidP="0089284E">
            <w:pPr>
              <w:widowControl w:val="0"/>
              <w:numPr>
                <w:ilvl w:val="0"/>
                <w:numId w:val="17"/>
              </w:numPr>
              <w:tabs>
                <w:tab w:val="clear" w:pos="720"/>
                <w:tab w:val="num" w:pos="459"/>
              </w:tabs>
              <w:ind w:left="-3526" w:firstLine="3701"/>
              <w:rPr>
                <w:rFonts w:ascii="Calibri" w:hAnsi="Calibri"/>
                <w:sz w:val="20"/>
                <w:szCs w:val="20"/>
              </w:rPr>
            </w:pPr>
            <w:r w:rsidRPr="000A3C73">
              <w:rPr>
                <w:rFonts w:ascii="Calibri" w:hAnsi="Calibri"/>
                <w:sz w:val="20"/>
                <w:szCs w:val="20"/>
              </w:rPr>
              <w:t>MAWFE</w:t>
            </w:r>
          </w:p>
        </w:tc>
      </w:tr>
      <w:tr w:rsidR="00726D59" w:rsidRPr="000A3C73" w:rsidTr="008D78D0">
        <w:trPr>
          <w:jc w:val="center"/>
        </w:trPr>
        <w:tc>
          <w:tcPr>
            <w:tcW w:w="1686" w:type="dxa"/>
            <w:vMerge/>
            <w:shd w:val="clear" w:color="auto" w:fill="auto"/>
            <w:vAlign w:val="center"/>
          </w:tcPr>
          <w:p w:rsidR="00726D59" w:rsidRPr="000A3C73" w:rsidRDefault="00726D59" w:rsidP="0089284E">
            <w:pPr>
              <w:rPr>
                <w:rFonts w:ascii="Calibri" w:hAnsi="Calibri"/>
                <w:b/>
                <w:sz w:val="20"/>
                <w:szCs w:val="20"/>
              </w:rPr>
            </w:pPr>
          </w:p>
        </w:tc>
        <w:tc>
          <w:tcPr>
            <w:tcW w:w="5410" w:type="dxa"/>
            <w:shd w:val="clear" w:color="auto" w:fill="auto"/>
            <w:vAlign w:val="center"/>
          </w:tcPr>
          <w:p w:rsidR="00726D59" w:rsidRPr="000A3C73" w:rsidRDefault="00726D59" w:rsidP="0089284E">
            <w:pPr>
              <w:widowControl w:val="0"/>
              <w:numPr>
                <w:ilvl w:val="0"/>
                <w:numId w:val="17"/>
              </w:numPr>
              <w:tabs>
                <w:tab w:val="clear" w:pos="720"/>
                <w:tab w:val="num" w:pos="459"/>
              </w:tabs>
              <w:ind w:left="459" w:hanging="284"/>
              <w:rPr>
                <w:rFonts w:ascii="Calibri" w:hAnsi="Calibri"/>
                <w:sz w:val="20"/>
                <w:szCs w:val="20"/>
              </w:rPr>
            </w:pPr>
            <w:r w:rsidRPr="000A3C73">
              <w:rPr>
                <w:rFonts w:ascii="Calibri" w:hAnsi="Calibri"/>
                <w:sz w:val="20"/>
                <w:szCs w:val="20"/>
              </w:rPr>
              <w:t>Provide continuous performance monitoring to the established agrochemical laboratory</w:t>
            </w:r>
          </w:p>
        </w:tc>
        <w:tc>
          <w:tcPr>
            <w:tcW w:w="2374" w:type="dxa"/>
            <w:shd w:val="clear" w:color="auto" w:fill="auto"/>
            <w:vAlign w:val="center"/>
          </w:tcPr>
          <w:p w:rsidR="007061BA" w:rsidRPr="000A3C73" w:rsidRDefault="008D78D0" w:rsidP="0089284E">
            <w:pPr>
              <w:widowControl w:val="0"/>
              <w:numPr>
                <w:ilvl w:val="0"/>
                <w:numId w:val="17"/>
              </w:numPr>
              <w:tabs>
                <w:tab w:val="clear" w:pos="720"/>
                <w:tab w:val="num" w:pos="459"/>
              </w:tabs>
              <w:ind w:left="-3526" w:firstLine="3701"/>
              <w:rPr>
                <w:rFonts w:ascii="Calibri" w:hAnsi="Calibri"/>
                <w:sz w:val="20"/>
                <w:szCs w:val="20"/>
              </w:rPr>
            </w:pPr>
            <w:r w:rsidRPr="000A3C73">
              <w:rPr>
                <w:rFonts w:ascii="Calibri" w:hAnsi="Calibri"/>
                <w:sz w:val="20"/>
                <w:szCs w:val="20"/>
              </w:rPr>
              <w:t xml:space="preserve">Resen </w:t>
            </w:r>
            <w:r w:rsidR="00AE70A7" w:rsidRPr="000A3C73">
              <w:rPr>
                <w:rFonts w:ascii="Calibri" w:hAnsi="Calibri"/>
                <w:sz w:val="20"/>
                <w:szCs w:val="20"/>
              </w:rPr>
              <w:t>Mun</w:t>
            </w:r>
            <w:r w:rsidR="00AE70A7">
              <w:rPr>
                <w:rFonts w:ascii="Calibri" w:hAnsi="Calibri"/>
                <w:sz w:val="20"/>
                <w:szCs w:val="20"/>
              </w:rPr>
              <w:t>icipality</w:t>
            </w:r>
          </w:p>
          <w:p w:rsidR="00726D59" w:rsidRPr="000A3C73" w:rsidRDefault="00726D59" w:rsidP="0089284E">
            <w:pPr>
              <w:widowControl w:val="0"/>
              <w:numPr>
                <w:ilvl w:val="0"/>
                <w:numId w:val="17"/>
              </w:numPr>
              <w:tabs>
                <w:tab w:val="clear" w:pos="720"/>
                <w:tab w:val="num" w:pos="459"/>
              </w:tabs>
              <w:ind w:left="-3526" w:firstLine="3701"/>
              <w:rPr>
                <w:rFonts w:ascii="Calibri" w:hAnsi="Calibri"/>
                <w:sz w:val="20"/>
                <w:szCs w:val="20"/>
              </w:rPr>
            </w:pPr>
            <w:r w:rsidRPr="000A3C73">
              <w:rPr>
                <w:rFonts w:ascii="Calibri" w:hAnsi="Calibri"/>
                <w:sz w:val="20"/>
                <w:szCs w:val="20"/>
              </w:rPr>
              <w:t>MAFWE</w:t>
            </w:r>
          </w:p>
        </w:tc>
      </w:tr>
      <w:tr w:rsidR="00726D59" w:rsidRPr="000A3C73" w:rsidTr="008D78D0">
        <w:trPr>
          <w:jc w:val="center"/>
        </w:trPr>
        <w:tc>
          <w:tcPr>
            <w:tcW w:w="1686" w:type="dxa"/>
            <w:vMerge/>
            <w:shd w:val="clear" w:color="auto" w:fill="auto"/>
            <w:vAlign w:val="center"/>
          </w:tcPr>
          <w:p w:rsidR="00726D59" w:rsidRPr="000A3C73" w:rsidRDefault="00726D59" w:rsidP="0089284E">
            <w:pPr>
              <w:rPr>
                <w:rFonts w:ascii="Calibri" w:hAnsi="Calibri"/>
                <w:b/>
                <w:sz w:val="20"/>
                <w:szCs w:val="20"/>
              </w:rPr>
            </w:pPr>
          </w:p>
        </w:tc>
        <w:tc>
          <w:tcPr>
            <w:tcW w:w="5410" w:type="dxa"/>
            <w:shd w:val="clear" w:color="auto" w:fill="auto"/>
            <w:vAlign w:val="center"/>
          </w:tcPr>
          <w:p w:rsidR="00726D59" w:rsidRPr="000A3C73" w:rsidRDefault="00726D59" w:rsidP="0089284E">
            <w:pPr>
              <w:widowControl w:val="0"/>
              <w:numPr>
                <w:ilvl w:val="0"/>
                <w:numId w:val="17"/>
              </w:numPr>
              <w:tabs>
                <w:tab w:val="clear" w:pos="720"/>
                <w:tab w:val="num" w:pos="459"/>
              </w:tabs>
              <w:ind w:left="459" w:hanging="284"/>
              <w:rPr>
                <w:rFonts w:ascii="Calibri" w:hAnsi="Calibri"/>
                <w:sz w:val="20"/>
                <w:szCs w:val="20"/>
              </w:rPr>
            </w:pPr>
            <w:r w:rsidRPr="000A3C73">
              <w:rPr>
                <w:rFonts w:ascii="Calibri" w:hAnsi="Calibri"/>
                <w:sz w:val="20"/>
                <w:szCs w:val="20"/>
              </w:rPr>
              <w:t>Provide continuous performance</w:t>
            </w:r>
            <w:r w:rsidR="00065EFF" w:rsidRPr="000A3C73">
              <w:rPr>
                <w:rFonts w:ascii="Calibri" w:hAnsi="Calibri"/>
                <w:sz w:val="20"/>
                <w:szCs w:val="20"/>
              </w:rPr>
              <w:t xml:space="preserve"> monitoring to the established </w:t>
            </w:r>
            <w:r w:rsidRPr="000A3C73">
              <w:rPr>
                <w:rFonts w:ascii="Calibri" w:hAnsi="Calibri"/>
                <w:sz w:val="20"/>
                <w:szCs w:val="20"/>
              </w:rPr>
              <w:t>pest and disease monitoring system</w:t>
            </w:r>
          </w:p>
        </w:tc>
        <w:tc>
          <w:tcPr>
            <w:tcW w:w="2374" w:type="dxa"/>
            <w:shd w:val="clear" w:color="auto" w:fill="auto"/>
            <w:vAlign w:val="center"/>
          </w:tcPr>
          <w:p w:rsidR="007061BA" w:rsidRPr="000A3C73" w:rsidRDefault="008D78D0" w:rsidP="0089284E">
            <w:pPr>
              <w:widowControl w:val="0"/>
              <w:numPr>
                <w:ilvl w:val="0"/>
                <w:numId w:val="17"/>
              </w:numPr>
              <w:tabs>
                <w:tab w:val="clear" w:pos="720"/>
                <w:tab w:val="num" w:pos="459"/>
              </w:tabs>
              <w:ind w:left="-3526" w:firstLine="3701"/>
              <w:rPr>
                <w:rFonts w:ascii="Calibri" w:hAnsi="Calibri"/>
                <w:sz w:val="20"/>
                <w:szCs w:val="20"/>
              </w:rPr>
            </w:pPr>
            <w:r w:rsidRPr="000A3C73">
              <w:rPr>
                <w:rFonts w:ascii="Calibri" w:hAnsi="Calibri"/>
                <w:sz w:val="20"/>
                <w:szCs w:val="20"/>
              </w:rPr>
              <w:t xml:space="preserve">Resen </w:t>
            </w:r>
            <w:r w:rsidR="00AE70A7" w:rsidRPr="000A3C73">
              <w:rPr>
                <w:rFonts w:ascii="Calibri" w:hAnsi="Calibri"/>
                <w:sz w:val="20"/>
                <w:szCs w:val="20"/>
              </w:rPr>
              <w:t>Mun</w:t>
            </w:r>
            <w:r w:rsidR="00AE70A7">
              <w:rPr>
                <w:rFonts w:ascii="Calibri" w:hAnsi="Calibri"/>
                <w:sz w:val="20"/>
                <w:szCs w:val="20"/>
              </w:rPr>
              <w:t>icipality</w:t>
            </w:r>
          </w:p>
          <w:p w:rsidR="00726D59" w:rsidRPr="000A3C73" w:rsidRDefault="00726D59" w:rsidP="0089284E">
            <w:pPr>
              <w:widowControl w:val="0"/>
              <w:numPr>
                <w:ilvl w:val="0"/>
                <w:numId w:val="17"/>
              </w:numPr>
              <w:tabs>
                <w:tab w:val="clear" w:pos="720"/>
                <w:tab w:val="num" w:pos="459"/>
              </w:tabs>
              <w:ind w:left="-3526" w:firstLine="3701"/>
              <w:rPr>
                <w:rFonts w:ascii="Calibri" w:hAnsi="Calibri"/>
                <w:sz w:val="20"/>
                <w:szCs w:val="20"/>
              </w:rPr>
            </w:pPr>
            <w:r w:rsidRPr="000A3C73">
              <w:rPr>
                <w:rFonts w:ascii="Calibri" w:hAnsi="Calibri"/>
                <w:sz w:val="20"/>
                <w:szCs w:val="20"/>
              </w:rPr>
              <w:t>MAFWE</w:t>
            </w:r>
          </w:p>
        </w:tc>
      </w:tr>
      <w:tr w:rsidR="00726D59" w:rsidRPr="000A3C73" w:rsidTr="008D78D0">
        <w:trPr>
          <w:jc w:val="center"/>
        </w:trPr>
        <w:tc>
          <w:tcPr>
            <w:tcW w:w="1686" w:type="dxa"/>
            <w:vMerge/>
            <w:shd w:val="clear" w:color="auto" w:fill="auto"/>
            <w:vAlign w:val="center"/>
          </w:tcPr>
          <w:p w:rsidR="00726D59" w:rsidRPr="000A3C73" w:rsidRDefault="00726D59" w:rsidP="0089284E">
            <w:pPr>
              <w:rPr>
                <w:rFonts w:ascii="Calibri" w:hAnsi="Calibri"/>
                <w:b/>
                <w:sz w:val="20"/>
                <w:szCs w:val="20"/>
              </w:rPr>
            </w:pPr>
          </w:p>
        </w:tc>
        <w:tc>
          <w:tcPr>
            <w:tcW w:w="5410" w:type="dxa"/>
            <w:shd w:val="clear" w:color="auto" w:fill="auto"/>
            <w:vAlign w:val="center"/>
          </w:tcPr>
          <w:p w:rsidR="00726D59" w:rsidRPr="000A3C73" w:rsidRDefault="00726D59" w:rsidP="0089284E">
            <w:pPr>
              <w:widowControl w:val="0"/>
              <w:numPr>
                <w:ilvl w:val="0"/>
                <w:numId w:val="17"/>
              </w:numPr>
              <w:tabs>
                <w:tab w:val="clear" w:pos="720"/>
                <w:tab w:val="num" w:pos="459"/>
              </w:tabs>
              <w:ind w:left="459" w:hanging="284"/>
              <w:rPr>
                <w:rFonts w:ascii="Calibri" w:hAnsi="Calibri"/>
                <w:sz w:val="20"/>
                <w:szCs w:val="20"/>
              </w:rPr>
            </w:pPr>
            <w:r w:rsidRPr="000A3C73">
              <w:rPr>
                <w:rFonts w:ascii="Calibri" w:hAnsi="Calibri"/>
                <w:sz w:val="20"/>
                <w:szCs w:val="20"/>
              </w:rPr>
              <w:t>Completion of the wastewater management system in Nakolec</w:t>
            </w:r>
          </w:p>
        </w:tc>
        <w:tc>
          <w:tcPr>
            <w:tcW w:w="2374" w:type="dxa"/>
            <w:shd w:val="clear" w:color="auto" w:fill="auto"/>
            <w:vAlign w:val="center"/>
          </w:tcPr>
          <w:p w:rsidR="007061BA" w:rsidRPr="000A3C73" w:rsidRDefault="007061BA" w:rsidP="0089284E">
            <w:pPr>
              <w:widowControl w:val="0"/>
              <w:numPr>
                <w:ilvl w:val="0"/>
                <w:numId w:val="17"/>
              </w:numPr>
              <w:tabs>
                <w:tab w:val="clear" w:pos="720"/>
                <w:tab w:val="num" w:pos="459"/>
              </w:tabs>
              <w:ind w:left="-3526" w:firstLine="3701"/>
              <w:rPr>
                <w:rFonts w:ascii="Calibri" w:hAnsi="Calibri"/>
                <w:sz w:val="20"/>
                <w:szCs w:val="20"/>
              </w:rPr>
            </w:pPr>
            <w:r w:rsidRPr="000A3C73">
              <w:rPr>
                <w:rFonts w:ascii="Calibri" w:hAnsi="Calibri"/>
                <w:sz w:val="20"/>
                <w:szCs w:val="20"/>
              </w:rPr>
              <w:t>MoEPP</w:t>
            </w:r>
          </w:p>
          <w:p w:rsidR="00726D59" w:rsidRPr="000A3C73" w:rsidRDefault="008D78D0" w:rsidP="0089284E">
            <w:pPr>
              <w:widowControl w:val="0"/>
              <w:numPr>
                <w:ilvl w:val="0"/>
                <w:numId w:val="17"/>
              </w:numPr>
              <w:tabs>
                <w:tab w:val="clear" w:pos="720"/>
                <w:tab w:val="num" w:pos="459"/>
              </w:tabs>
              <w:ind w:left="-3526" w:firstLine="3701"/>
              <w:rPr>
                <w:rFonts w:ascii="Calibri" w:hAnsi="Calibri"/>
                <w:sz w:val="20"/>
                <w:szCs w:val="20"/>
              </w:rPr>
            </w:pPr>
            <w:r w:rsidRPr="000A3C73">
              <w:rPr>
                <w:rFonts w:ascii="Calibri" w:hAnsi="Calibri"/>
                <w:sz w:val="20"/>
                <w:szCs w:val="20"/>
              </w:rPr>
              <w:t xml:space="preserve">Resen </w:t>
            </w:r>
            <w:r w:rsidR="00AE70A7" w:rsidRPr="000A3C73">
              <w:rPr>
                <w:rFonts w:ascii="Calibri" w:hAnsi="Calibri"/>
                <w:sz w:val="20"/>
                <w:szCs w:val="20"/>
              </w:rPr>
              <w:t>Mun</w:t>
            </w:r>
            <w:r w:rsidR="00AE70A7">
              <w:rPr>
                <w:rFonts w:ascii="Calibri" w:hAnsi="Calibri"/>
                <w:sz w:val="20"/>
                <w:szCs w:val="20"/>
              </w:rPr>
              <w:t>icipality</w:t>
            </w:r>
          </w:p>
        </w:tc>
      </w:tr>
      <w:tr w:rsidR="00726D59" w:rsidRPr="000A3C73" w:rsidTr="008D78D0">
        <w:trPr>
          <w:jc w:val="center"/>
        </w:trPr>
        <w:tc>
          <w:tcPr>
            <w:tcW w:w="1686" w:type="dxa"/>
            <w:vMerge/>
            <w:shd w:val="clear" w:color="auto" w:fill="auto"/>
            <w:vAlign w:val="center"/>
          </w:tcPr>
          <w:p w:rsidR="00726D59" w:rsidRPr="000A3C73" w:rsidRDefault="00726D59" w:rsidP="0089284E">
            <w:pPr>
              <w:rPr>
                <w:rFonts w:ascii="Calibri" w:hAnsi="Calibri"/>
                <w:b/>
                <w:sz w:val="20"/>
                <w:szCs w:val="20"/>
              </w:rPr>
            </w:pPr>
          </w:p>
        </w:tc>
        <w:tc>
          <w:tcPr>
            <w:tcW w:w="5410" w:type="dxa"/>
            <w:shd w:val="clear" w:color="auto" w:fill="auto"/>
            <w:vAlign w:val="center"/>
          </w:tcPr>
          <w:p w:rsidR="00726D59" w:rsidRPr="000A3C73" w:rsidRDefault="00726D59" w:rsidP="0089284E">
            <w:pPr>
              <w:widowControl w:val="0"/>
              <w:numPr>
                <w:ilvl w:val="0"/>
                <w:numId w:val="17"/>
              </w:numPr>
              <w:tabs>
                <w:tab w:val="clear" w:pos="720"/>
                <w:tab w:val="num" w:pos="459"/>
              </w:tabs>
              <w:ind w:left="459" w:hanging="284"/>
              <w:rPr>
                <w:rFonts w:ascii="Calibri" w:hAnsi="Calibri"/>
                <w:sz w:val="20"/>
                <w:szCs w:val="20"/>
              </w:rPr>
            </w:pPr>
            <w:r w:rsidRPr="000A3C73">
              <w:rPr>
                <w:rFonts w:ascii="Calibri" w:hAnsi="Calibri"/>
                <w:sz w:val="20"/>
                <w:szCs w:val="20"/>
              </w:rPr>
              <w:t>Disseminate the technology used for the WWTP in Nakolec to other villages in Prespa and regions in the country</w:t>
            </w:r>
          </w:p>
        </w:tc>
        <w:tc>
          <w:tcPr>
            <w:tcW w:w="2374" w:type="dxa"/>
            <w:shd w:val="clear" w:color="auto" w:fill="auto"/>
            <w:vAlign w:val="center"/>
          </w:tcPr>
          <w:p w:rsidR="007061BA" w:rsidRPr="000A3C73" w:rsidRDefault="007061BA" w:rsidP="0089284E">
            <w:pPr>
              <w:widowControl w:val="0"/>
              <w:numPr>
                <w:ilvl w:val="0"/>
                <w:numId w:val="17"/>
              </w:numPr>
              <w:tabs>
                <w:tab w:val="clear" w:pos="720"/>
                <w:tab w:val="num" w:pos="459"/>
              </w:tabs>
              <w:ind w:left="-3526" w:firstLine="3701"/>
              <w:rPr>
                <w:rFonts w:ascii="Calibri" w:hAnsi="Calibri"/>
                <w:sz w:val="20"/>
                <w:szCs w:val="20"/>
              </w:rPr>
            </w:pPr>
            <w:r w:rsidRPr="000A3C73">
              <w:rPr>
                <w:rFonts w:ascii="Calibri" w:hAnsi="Calibri"/>
                <w:sz w:val="20"/>
                <w:szCs w:val="20"/>
              </w:rPr>
              <w:t>UNDP</w:t>
            </w:r>
          </w:p>
          <w:p w:rsidR="00726D59" w:rsidRPr="000A3C73" w:rsidRDefault="00726D59" w:rsidP="0089284E">
            <w:pPr>
              <w:widowControl w:val="0"/>
              <w:numPr>
                <w:ilvl w:val="0"/>
                <w:numId w:val="17"/>
              </w:numPr>
              <w:tabs>
                <w:tab w:val="clear" w:pos="720"/>
                <w:tab w:val="num" w:pos="459"/>
              </w:tabs>
              <w:ind w:left="-3526" w:firstLine="3701"/>
              <w:rPr>
                <w:rFonts w:ascii="Calibri" w:hAnsi="Calibri"/>
                <w:sz w:val="20"/>
                <w:szCs w:val="20"/>
              </w:rPr>
            </w:pPr>
            <w:r w:rsidRPr="000A3C73">
              <w:rPr>
                <w:rFonts w:ascii="Calibri" w:hAnsi="Calibri"/>
                <w:sz w:val="20"/>
                <w:szCs w:val="20"/>
              </w:rPr>
              <w:t>MoEPP</w:t>
            </w:r>
          </w:p>
        </w:tc>
      </w:tr>
      <w:tr w:rsidR="00726D59" w:rsidRPr="000A3C73" w:rsidTr="008D78D0">
        <w:trPr>
          <w:jc w:val="center"/>
        </w:trPr>
        <w:tc>
          <w:tcPr>
            <w:tcW w:w="1686" w:type="dxa"/>
            <w:vMerge/>
            <w:shd w:val="clear" w:color="auto" w:fill="auto"/>
            <w:vAlign w:val="center"/>
          </w:tcPr>
          <w:p w:rsidR="00726D59" w:rsidRPr="000A3C73" w:rsidRDefault="00726D59" w:rsidP="0089284E">
            <w:pPr>
              <w:rPr>
                <w:rFonts w:ascii="Calibri" w:hAnsi="Calibri"/>
                <w:b/>
                <w:sz w:val="20"/>
                <w:szCs w:val="20"/>
              </w:rPr>
            </w:pPr>
          </w:p>
        </w:tc>
        <w:tc>
          <w:tcPr>
            <w:tcW w:w="5410" w:type="dxa"/>
            <w:shd w:val="clear" w:color="auto" w:fill="auto"/>
            <w:vAlign w:val="center"/>
          </w:tcPr>
          <w:p w:rsidR="00726D59" w:rsidRPr="00FC657B" w:rsidRDefault="00726D59" w:rsidP="0089284E">
            <w:pPr>
              <w:widowControl w:val="0"/>
              <w:numPr>
                <w:ilvl w:val="0"/>
                <w:numId w:val="17"/>
              </w:numPr>
              <w:tabs>
                <w:tab w:val="clear" w:pos="720"/>
                <w:tab w:val="num" w:pos="459"/>
              </w:tabs>
              <w:ind w:left="459" w:hanging="284"/>
              <w:rPr>
                <w:rFonts w:ascii="Calibri" w:hAnsi="Calibri"/>
                <w:sz w:val="20"/>
                <w:szCs w:val="20"/>
              </w:rPr>
            </w:pPr>
            <w:r w:rsidRPr="000A3C73">
              <w:rPr>
                <w:rFonts w:ascii="Calibri" w:hAnsi="Calibri"/>
                <w:sz w:val="20"/>
                <w:szCs w:val="20"/>
              </w:rPr>
              <w:t>Replicate and spread the biodegradable (</w:t>
            </w:r>
            <w:r w:rsidRPr="00FC657B">
              <w:rPr>
                <w:rFonts w:ascii="Calibri" w:hAnsi="Calibri"/>
                <w:sz w:val="20"/>
                <w:szCs w:val="20"/>
              </w:rPr>
              <w:t>agricultural) waste management system in Prespa</w:t>
            </w:r>
          </w:p>
        </w:tc>
        <w:tc>
          <w:tcPr>
            <w:tcW w:w="2374" w:type="dxa"/>
            <w:shd w:val="clear" w:color="auto" w:fill="auto"/>
            <w:vAlign w:val="center"/>
          </w:tcPr>
          <w:p w:rsidR="007061BA" w:rsidRPr="00D77DF1" w:rsidRDefault="008D78D0" w:rsidP="0089284E">
            <w:pPr>
              <w:widowControl w:val="0"/>
              <w:numPr>
                <w:ilvl w:val="0"/>
                <w:numId w:val="17"/>
              </w:numPr>
              <w:tabs>
                <w:tab w:val="clear" w:pos="720"/>
                <w:tab w:val="num" w:pos="459"/>
              </w:tabs>
              <w:ind w:left="-3526" w:firstLine="3701"/>
              <w:rPr>
                <w:rFonts w:ascii="Calibri" w:hAnsi="Calibri"/>
                <w:sz w:val="20"/>
                <w:szCs w:val="20"/>
              </w:rPr>
            </w:pPr>
            <w:r w:rsidRPr="00FC657B">
              <w:rPr>
                <w:rFonts w:ascii="Calibri" w:hAnsi="Calibri"/>
                <w:sz w:val="20"/>
                <w:szCs w:val="20"/>
              </w:rPr>
              <w:t xml:space="preserve">Resen </w:t>
            </w:r>
            <w:r w:rsidR="00AE70A7" w:rsidRPr="000A3C73">
              <w:rPr>
                <w:rFonts w:ascii="Calibri" w:hAnsi="Calibri"/>
                <w:sz w:val="20"/>
                <w:szCs w:val="20"/>
              </w:rPr>
              <w:t>Mun</w:t>
            </w:r>
            <w:r w:rsidR="00AE70A7">
              <w:rPr>
                <w:rFonts w:ascii="Calibri" w:hAnsi="Calibri"/>
                <w:sz w:val="20"/>
                <w:szCs w:val="20"/>
              </w:rPr>
              <w:t>icipality</w:t>
            </w:r>
          </w:p>
          <w:p w:rsidR="00726D59" w:rsidRPr="00CD42DE" w:rsidRDefault="00726D59" w:rsidP="0089284E">
            <w:pPr>
              <w:widowControl w:val="0"/>
              <w:numPr>
                <w:ilvl w:val="0"/>
                <w:numId w:val="17"/>
              </w:numPr>
              <w:tabs>
                <w:tab w:val="clear" w:pos="720"/>
                <w:tab w:val="num" w:pos="459"/>
              </w:tabs>
              <w:ind w:left="-3526" w:firstLine="3701"/>
              <w:rPr>
                <w:rFonts w:ascii="Calibri" w:hAnsi="Calibri"/>
                <w:sz w:val="20"/>
                <w:szCs w:val="20"/>
              </w:rPr>
            </w:pPr>
            <w:r w:rsidRPr="00CD42DE">
              <w:rPr>
                <w:rFonts w:ascii="Calibri" w:hAnsi="Calibri"/>
                <w:sz w:val="20"/>
                <w:szCs w:val="20"/>
              </w:rPr>
              <w:t>UNDP</w:t>
            </w:r>
          </w:p>
        </w:tc>
      </w:tr>
      <w:tr w:rsidR="00726D59" w:rsidRPr="000A3C73" w:rsidTr="008D78D0">
        <w:trPr>
          <w:jc w:val="center"/>
        </w:trPr>
        <w:tc>
          <w:tcPr>
            <w:tcW w:w="1686" w:type="dxa"/>
            <w:vMerge/>
            <w:shd w:val="clear" w:color="auto" w:fill="auto"/>
            <w:vAlign w:val="center"/>
          </w:tcPr>
          <w:p w:rsidR="00726D59" w:rsidRPr="000A3C73" w:rsidRDefault="00726D59" w:rsidP="0089284E">
            <w:pPr>
              <w:rPr>
                <w:rFonts w:ascii="Calibri" w:hAnsi="Calibri"/>
                <w:b/>
                <w:sz w:val="20"/>
                <w:szCs w:val="20"/>
              </w:rPr>
            </w:pPr>
          </w:p>
        </w:tc>
        <w:tc>
          <w:tcPr>
            <w:tcW w:w="5410" w:type="dxa"/>
            <w:shd w:val="clear" w:color="auto" w:fill="auto"/>
            <w:vAlign w:val="center"/>
          </w:tcPr>
          <w:p w:rsidR="00726D59" w:rsidRPr="000A3C73" w:rsidRDefault="00726D59" w:rsidP="0089284E">
            <w:pPr>
              <w:widowControl w:val="0"/>
              <w:numPr>
                <w:ilvl w:val="0"/>
                <w:numId w:val="17"/>
              </w:numPr>
              <w:tabs>
                <w:tab w:val="clear" w:pos="720"/>
                <w:tab w:val="num" w:pos="459"/>
              </w:tabs>
              <w:ind w:left="459" w:hanging="284"/>
              <w:rPr>
                <w:rFonts w:ascii="Calibri" w:hAnsi="Calibri"/>
                <w:sz w:val="20"/>
                <w:szCs w:val="20"/>
              </w:rPr>
            </w:pPr>
            <w:r w:rsidRPr="000A3C73">
              <w:rPr>
                <w:rFonts w:ascii="Calibri" w:hAnsi="Calibri"/>
                <w:sz w:val="20"/>
                <w:szCs w:val="20"/>
              </w:rPr>
              <w:t xml:space="preserve">Provide further support and capacity building to the </w:t>
            </w:r>
            <w:r w:rsidR="00065EFF" w:rsidRPr="000A3C73">
              <w:rPr>
                <w:rFonts w:ascii="Calibri" w:hAnsi="Calibri"/>
                <w:sz w:val="20"/>
                <w:szCs w:val="20"/>
              </w:rPr>
              <w:t>established Fishery</w:t>
            </w:r>
            <w:r w:rsidRPr="000A3C73">
              <w:rPr>
                <w:rFonts w:ascii="Calibri" w:hAnsi="Calibri"/>
                <w:sz w:val="20"/>
                <w:szCs w:val="20"/>
              </w:rPr>
              <w:t xml:space="preserve"> Association</w:t>
            </w:r>
          </w:p>
        </w:tc>
        <w:tc>
          <w:tcPr>
            <w:tcW w:w="2374" w:type="dxa"/>
            <w:shd w:val="clear" w:color="auto" w:fill="auto"/>
            <w:vAlign w:val="center"/>
          </w:tcPr>
          <w:p w:rsidR="007061BA" w:rsidRPr="000A3C73" w:rsidRDefault="007061BA" w:rsidP="0089284E">
            <w:pPr>
              <w:widowControl w:val="0"/>
              <w:numPr>
                <w:ilvl w:val="0"/>
                <w:numId w:val="17"/>
              </w:numPr>
              <w:tabs>
                <w:tab w:val="clear" w:pos="720"/>
                <w:tab w:val="num" w:pos="459"/>
              </w:tabs>
              <w:ind w:left="-3526" w:firstLine="3701"/>
              <w:rPr>
                <w:rFonts w:ascii="Calibri" w:hAnsi="Calibri"/>
                <w:sz w:val="20"/>
                <w:szCs w:val="20"/>
              </w:rPr>
            </w:pPr>
            <w:r w:rsidRPr="000A3C73">
              <w:rPr>
                <w:rFonts w:ascii="Calibri" w:hAnsi="Calibri"/>
                <w:sz w:val="20"/>
                <w:szCs w:val="20"/>
              </w:rPr>
              <w:t>UNDP</w:t>
            </w:r>
          </w:p>
          <w:p w:rsidR="00726D59" w:rsidRPr="000A3C73" w:rsidRDefault="00726D59" w:rsidP="0089284E">
            <w:pPr>
              <w:widowControl w:val="0"/>
              <w:numPr>
                <w:ilvl w:val="0"/>
                <w:numId w:val="17"/>
              </w:numPr>
              <w:tabs>
                <w:tab w:val="clear" w:pos="720"/>
                <w:tab w:val="num" w:pos="459"/>
              </w:tabs>
              <w:ind w:left="-3526" w:firstLine="3701"/>
              <w:rPr>
                <w:rFonts w:ascii="Calibri" w:hAnsi="Calibri"/>
                <w:sz w:val="20"/>
                <w:szCs w:val="20"/>
              </w:rPr>
            </w:pPr>
            <w:r w:rsidRPr="000A3C73">
              <w:rPr>
                <w:rFonts w:ascii="Calibri" w:hAnsi="Calibri"/>
                <w:sz w:val="20"/>
                <w:szCs w:val="20"/>
              </w:rPr>
              <w:t>MoEPP</w:t>
            </w:r>
          </w:p>
        </w:tc>
      </w:tr>
      <w:tr w:rsidR="00726D59" w:rsidRPr="000A3C73" w:rsidTr="008D78D0">
        <w:trPr>
          <w:jc w:val="center"/>
        </w:trPr>
        <w:tc>
          <w:tcPr>
            <w:tcW w:w="1686" w:type="dxa"/>
            <w:vMerge/>
            <w:shd w:val="clear" w:color="auto" w:fill="auto"/>
            <w:vAlign w:val="center"/>
          </w:tcPr>
          <w:p w:rsidR="00726D59" w:rsidRPr="000A3C73" w:rsidRDefault="00726D59" w:rsidP="0089284E">
            <w:pPr>
              <w:rPr>
                <w:rFonts w:ascii="Calibri" w:hAnsi="Calibri"/>
                <w:b/>
                <w:sz w:val="20"/>
                <w:szCs w:val="20"/>
              </w:rPr>
            </w:pPr>
          </w:p>
        </w:tc>
        <w:tc>
          <w:tcPr>
            <w:tcW w:w="5410" w:type="dxa"/>
            <w:shd w:val="clear" w:color="auto" w:fill="auto"/>
            <w:vAlign w:val="center"/>
          </w:tcPr>
          <w:p w:rsidR="00726D59" w:rsidRPr="000A3C73" w:rsidRDefault="00726D59" w:rsidP="0089284E">
            <w:pPr>
              <w:widowControl w:val="0"/>
              <w:numPr>
                <w:ilvl w:val="0"/>
                <w:numId w:val="17"/>
              </w:numPr>
              <w:tabs>
                <w:tab w:val="clear" w:pos="720"/>
                <w:tab w:val="num" w:pos="459"/>
              </w:tabs>
              <w:ind w:left="459" w:hanging="284"/>
              <w:rPr>
                <w:rFonts w:ascii="Calibri" w:hAnsi="Calibri"/>
                <w:sz w:val="20"/>
                <w:szCs w:val="20"/>
              </w:rPr>
            </w:pPr>
            <w:r w:rsidRPr="000A3C73">
              <w:rPr>
                <w:rFonts w:ascii="Calibri" w:hAnsi="Calibri"/>
                <w:sz w:val="20"/>
                <w:szCs w:val="20"/>
              </w:rPr>
              <w:t>Provide resources for continuous work of the NCRC until it becomes be fully integrated into municipality structure)</w:t>
            </w:r>
          </w:p>
        </w:tc>
        <w:tc>
          <w:tcPr>
            <w:tcW w:w="2374" w:type="dxa"/>
            <w:shd w:val="clear" w:color="auto" w:fill="auto"/>
            <w:vAlign w:val="center"/>
          </w:tcPr>
          <w:p w:rsidR="00726D59" w:rsidRPr="000A3C73" w:rsidRDefault="008D78D0" w:rsidP="0089284E">
            <w:pPr>
              <w:widowControl w:val="0"/>
              <w:numPr>
                <w:ilvl w:val="0"/>
                <w:numId w:val="17"/>
              </w:numPr>
              <w:tabs>
                <w:tab w:val="clear" w:pos="720"/>
                <w:tab w:val="num" w:pos="459"/>
              </w:tabs>
              <w:ind w:left="-3526" w:firstLine="3701"/>
              <w:rPr>
                <w:rFonts w:ascii="Calibri" w:hAnsi="Calibri"/>
                <w:sz w:val="20"/>
                <w:szCs w:val="20"/>
              </w:rPr>
            </w:pPr>
            <w:r w:rsidRPr="000A3C73">
              <w:rPr>
                <w:rFonts w:ascii="Calibri" w:hAnsi="Calibri"/>
                <w:sz w:val="20"/>
                <w:szCs w:val="20"/>
              </w:rPr>
              <w:t xml:space="preserve">Resen </w:t>
            </w:r>
            <w:r w:rsidR="00AE70A7" w:rsidRPr="000A3C73">
              <w:rPr>
                <w:rFonts w:ascii="Calibri" w:hAnsi="Calibri"/>
                <w:sz w:val="20"/>
                <w:szCs w:val="20"/>
              </w:rPr>
              <w:t>Mun</w:t>
            </w:r>
            <w:r w:rsidR="00AE70A7">
              <w:rPr>
                <w:rFonts w:ascii="Calibri" w:hAnsi="Calibri"/>
                <w:sz w:val="20"/>
                <w:szCs w:val="20"/>
              </w:rPr>
              <w:t>icipality</w:t>
            </w:r>
          </w:p>
        </w:tc>
      </w:tr>
      <w:tr w:rsidR="00726D59" w:rsidRPr="000A3C73" w:rsidTr="008D78D0">
        <w:trPr>
          <w:jc w:val="center"/>
        </w:trPr>
        <w:tc>
          <w:tcPr>
            <w:tcW w:w="1686" w:type="dxa"/>
            <w:vMerge w:val="restart"/>
            <w:shd w:val="clear" w:color="auto" w:fill="auto"/>
            <w:vAlign w:val="center"/>
          </w:tcPr>
          <w:p w:rsidR="00726D59" w:rsidRPr="000A3C73" w:rsidRDefault="00726D59" w:rsidP="0089284E">
            <w:pPr>
              <w:rPr>
                <w:rFonts w:ascii="Calibri" w:hAnsi="Calibri"/>
                <w:b/>
                <w:sz w:val="20"/>
                <w:szCs w:val="20"/>
              </w:rPr>
            </w:pPr>
            <w:r w:rsidRPr="000A3C73">
              <w:rPr>
                <w:rFonts w:ascii="Calibri" w:hAnsi="Calibri"/>
                <w:b/>
                <w:sz w:val="20"/>
                <w:szCs w:val="20"/>
              </w:rPr>
              <w:t>Outcome 3</w:t>
            </w:r>
          </w:p>
          <w:p w:rsidR="00726D59" w:rsidRPr="000A3C73" w:rsidRDefault="00726D59" w:rsidP="0089284E">
            <w:pPr>
              <w:rPr>
                <w:rFonts w:ascii="Calibri" w:hAnsi="Calibri"/>
                <w:b/>
                <w:sz w:val="20"/>
                <w:szCs w:val="20"/>
              </w:rPr>
            </w:pPr>
            <w:r w:rsidRPr="000A3C73">
              <w:rPr>
                <w:rFonts w:ascii="Calibri" w:hAnsi="Calibri"/>
                <w:i/>
                <w:sz w:val="20"/>
                <w:szCs w:val="20"/>
              </w:rPr>
              <w:t>[Conservation of priority biological diversity]</w:t>
            </w:r>
          </w:p>
        </w:tc>
        <w:tc>
          <w:tcPr>
            <w:tcW w:w="5410" w:type="dxa"/>
            <w:shd w:val="clear" w:color="auto" w:fill="auto"/>
            <w:noWrap/>
            <w:vAlign w:val="center"/>
          </w:tcPr>
          <w:p w:rsidR="00726D59" w:rsidRPr="000A3C73" w:rsidRDefault="00726D59" w:rsidP="0089284E">
            <w:pPr>
              <w:widowControl w:val="0"/>
              <w:numPr>
                <w:ilvl w:val="0"/>
                <w:numId w:val="17"/>
              </w:numPr>
              <w:tabs>
                <w:tab w:val="clear" w:pos="720"/>
                <w:tab w:val="num" w:pos="459"/>
              </w:tabs>
              <w:ind w:left="459" w:hanging="284"/>
              <w:rPr>
                <w:rFonts w:ascii="Calibri" w:hAnsi="Calibri"/>
                <w:sz w:val="20"/>
                <w:szCs w:val="20"/>
              </w:rPr>
            </w:pPr>
            <w:r w:rsidRPr="000A3C73">
              <w:rPr>
                <w:rFonts w:ascii="Calibri" w:hAnsi="Calibri"/>
                <w:sz w:val="20"/>
                <w:szCs w:val="20"/>
              </w:rPr>
              <w:t>Plan and implement further restoration of Golema Reka; priority should be given to the lower river section (Resen to Ezerani), per the WMC and Ezerani Management Plan</w:t>
            </w:r>
          </w:p>
        </w:tc>
        <w:tc>
          <w:tcPr>
            <w:tcW w:w="2374" w:type="dxa"/>
            <w:shd w:val="clear" w:color="auto" w:fill="auto"/>
            <w:noWrap/>
            <w:vAlign w:val="center"/>
          </w:tcPr>
          <w:p w:rsidR="007061BA" w:rsidRPr="000A3C73" w:rsidRDefault="008D78D0" w:rsidP="0089284E">
            <w:pPr>
              <w:widowControl w:val="0"/>
              <w:numPr>
                <w:ilvl w:val="0"/>
                <w:numId w:val="17"/>
              </w:numPr>
              <w:tabs>
                <w:tab w:val="clear" w:pos="720"/>
                <w:tab w:val="num" w:pos="459"/>
              </w:tabs>
              <w:ind w:left="-3526" w:firstLine="3701"/>
              <w:rPr>
                <w:rFonts w:ascii="Calibri" w:hAnsi="Calibri"/>
                <w:sz w:val="20"/>
                <w:szCs w:val="20"/>
              </w:rPr>
            </w:pPr>
            <w:r w:rsidRPr="000A3C73">
              <w:rPr>
                <w:rFonts w:ascii="Calibri" w:hAnsi="Calibri"/>
                <w:sz w:val="20"/>
                <w:szCs w:val="20"/>
              </w:rPr>
              <w:t xml:space="preserve">Resen </w:t>
            </w:r>
            <w:r w:rsidR="00AE70A7" w:rsidRPr="000A3C73">
              <w:rPr>
                <w:rFonts w:ascii="Calibri" w:hAnsi="Calibri"/>
                <w:sz w:val="20"/>
                <w:szCs w:val="20"/>
              </w:rPr>
              <w:t>Mun</w:t>
            </w:r>
            <w:r w:rsidR="00AE70A7">
              <w:rPr>
                <w:rFonts w:ascii="Calibri" w:hAnsi="Calibri"/>
                <w:sz w:val="20"/>
                <w:szCs w:val="20"/>
              </w:rPr>
              <w:t>icipality</w:t>
            </w:r>
          </w:p>
          <w:p w:rsidR="00726D59" w:rsidRPr="000A3C73" w:rsidRDefault="00726D59" w:rsidP="0089284E">
            <w:pPr>
              <w:widowControl w:val="0"/>
              <w:numPr>
                <w:ilvl w:val="0"/>
                <w:numId w:val="17"/>
              </w:numPr>
              <w:tabs>
                <w:tab w:val="clear" w:pos="720"/>
                <w:tab w:val="num" w:pos="459"/>
              </w:tabs>
              <w:ind w:left="-3526" w:firstLine="3701"/>
              <w:rPr>
                <w:rFonts w:ascii="Calibri" w:hAnsi="Calibri"/>
                <w:sz w:val="20"/>
                <w:szCs w:val="20"/>
              </w:rPr>
            </w:pPr>
            <w:r w:rsidRPr="000A3C73">
              <w:rPr>
                <w:rFonts w:ascii="Calibri" w:hAnsi="Calibri"/>
                <w:sz w:val="20"/>
                <w:szCs w:val="20"/>
              </w:rPr>
              <w:t xml:space="preserve">UNDP </w:t>
            </w:r>
          </w:p>
        </w:tc>
      </w:tr>
      <w:tr w:rsidR="00726D59" w:rsidRPr="000A3C73" w:rsidTr="008D78D0">
        <w:trPr>
          <w:jc w:val="center"/>
        </w:trPr>
        <w:tc>
          <w:tcPr>
            <w:tcW w:w="1686" w:type="dxa"/>
            <w:vMerge/>
            <w:shd w:val="clear" w:color="auto" w:fill="auto"/>
            <w:vAlign w:val="center"/>
          </w:tcPr>
          <w:p w:rsidR="00726D59" w:rsidRPr="000A3C73" w:rsidRDefault="00726D59" w:rsidP="0089284E">
            <w:pPr>
              <w:rPr>
                <w:rFonts w:ascii="Calibri" w:hAnsi="Calibri"/>
                <w:b/>
                <w:sz w:val="20"/>
                <w:szCs w:val="20"/>
              </w:rPr>
            </w:pPr>
          </w:p>
        </w:tc>
        <w:tc>
          <w:tcPr>
            <w:tcW w:w="5410" w:type="dxa"/>
            <w:shd w:val="clear" w:color="auto" w:fill="auto"/>
            <w:vAlign w:val="center"/>
          </w:tcPr>
          <w:p w:rsidR="00726D59" w:rsidRPr="000A3C73" w:rsidRDefault="00726D59" w:rsidP="0089284E">
            <w:pPr>
              <w:widowControl w:val="0"/>
              <w:numPr>
                <w:ilvl w:val="0"/>
                <w:numId w:val="17"/>
              </w:numPr>
              <w:tabs>
                <w:tab w:val="clear" w:pos="720"/>
                <w:tab w:val="num" w:pos="459"/>
              </w:tabs>
              <w:ind w:left="459" w:hanging="284"/>
              <w:rPr>
                <w:rFonts w:ascii="Calibri" w:hAnsi="Calibri"/>
                <w:sz w:val="20"/>
                <w:szCs w:val="20"/>
              </w:rPr>
            </w:pPr>
            <w:r w:rsidRPr="000A3C73">
              <w:rPr>
                <w:rFonts w:ascii="Calibri" w:hAnsi="Calibri"/>
                <w:sz w:val="20"/>
                <w:szCs w:val="20"/>
              </w:rPr>
              <w:t>Plan and implement further reconstruction of existing and installation of new WWCS in the region; priority should be given to villages in proximity villages in proximity of water courses and important habitats</w:t>
            </w:r>
          </w:p>
        </w:tc>
        <w:tc>
          <w:tcPr>
            <w:tcW w:w="2374" w:type="dxa"/>
            <w:shd w:val="clear" w:color="auto" w:fill="auto"/>
            <w:vAlign w:val="center"/>
          </w:tcPr>
          <w:p w:rsidR="007061BA" w:rsidRPr="000A3C73" w:rsidRDefault="008D78D0" w:rsidP="0089284E">
            <w:pPr>
              <w:widowControl w:val="0"/>
              <w:numPr>
                <w:ilvl w:val="0"/>
                <w:numId w:val="17"/>
              </w:numPr>
              <w:tabs>
                <w:tab w:val="clear" w:pos="720"/>
                <w:tab w:val="num" w:pos="459"/>
              </w:tabs>
              <w:ind w:left="-3526" w:firstLine="3701"/>
              <w:rPr>
                <w:rFonts w:ascii="Calibri" w:hAnsi="Calibri"/>
                <w:sz w:val="20"/>
                <w:szCs w:val="20"/>
              </w:rPr>
            </w:pPr>
            <w:r w:rsidRPr="000A3C73">
              <w:rPr>
                <w:rFonts w:ascii="Calibri" w:hAnsi="Calibri"/>
                <w:sz w:val="20"/>
                <w:szCs w:val="20"/>
              </w:rPr>
              <w:t xml:space="preserve">Resen </w:t>
            </w:r>
            <w:r w:rsidR="00D163CA" w:rsidRPr="000A3C73">
              <w:rPr>
                <w:rFonts w:ascii="Calibri" w:hAnsi="Calibri"/>
                <w:sz w:val="20"/>
                <w:szCs w:val="20"/>
              </w:rPr>
              <w:t>Mun</w:t>
            </w:r>
            <w:r w:rsidR="00D163CA">
              <w:rPr>
                <w:rFonts w:ascii="Calibri" w:hAnsi="Calibri"/>
                <w:sz w:val="20"/>
                <w:szCs w:val="20"/>
              </w:rPr>
              <w:t>icipality</w:t>
            </w:r>
          </w:p>
          <w:p w:rsidR="00726D59" w:rsidRPr="000A3C73" w:rsidRDefault="00726D59" w:rsidP="0089284E">
            <w:pPr>
              <w:widowControl w:val="0"/>
              <w:numPr>
                <w:ilvl w:val="0"/>
                <w:numId w:val="17"/>
              </w:numPr>
              <w:tabs>
                <w:tab w:val="clear" w:pos="720"/>
                <w:tab w:val="num" w:pos="459"/>
              </w:tabs>
              <w:ind w:left="-3526" w:firstLine="3701"/>
              <w:rPr>
                <w:rFonts w:ascii="Calibri" w:hAnsi="Calibri"/>
                <w:sz w:val="20"/>
                <w:szCs w:val="20"/>
              </w:rPr>
            </w:pPr>
            <w:r w:rsidRPr="000A3C73">
              <w:rPr>
                <w:rFonts w:ascii="Calibri" w:hAnsi="Calibri"/>
                <w:sz w:val="20"/>
                <w:szCs w:val="20"/>
              </w:rPr>
              <w:t>UNDP</w:t>
            </w:r>
          </w:p>
        </w:tc>
      </w:tr>
      <w:tr w:rsidR="00726D59" w:rsidRPr="000A3C73" w:rsidTr="008D78D0">
        <w:trPr>
          <w:jc w:val="center"/>
        </w:trPr>
        <w:tc>
          <w:tcPr>
            <w:tcW w:w="1686" w:type="dxa"/>
            <w:vMerge/>
            <w:shd w:val="clear" w:color="auto" w:fill="auto"/>
            <w:vAlign w:val="center"/>
          </w:tcPr>
          <w:p w:rsidR="00726D59" w:rsidRPr="000A3C73" w:rsidRDefault="00726D59" w:rsidP="0089284E">
            <w:pPr>
              <w:rPr>
                <w:rFonts w:ascii="Calibri" w:hAnsi="Calibri"/>
                <w:b/>
                <w:sz w:val="20"/>
                <w:szCs w:val="20"/>
              </w:rPr>
            </w:pPr>
          </w:p>
        </w:tc>
        <w:tc>
          <w:tcPr>
            <w:tcW w:w="5410" w:type="dxa"/>
            <w:shd w:val="clear" w:color="auto" w:fill="auto"/>
            <w:vAlign w:val="center"/>
          </w:tcPr>
          <w:p w:rsidR="00726D59" w:rsidRPr="000A3C73" w:rsidRDefault="00726D59" w:rsidP="0089284E">
            <w:pPr>
              <w:widowControl w:val="0"/>
              <w:numPr>
                <w:ilvl w:val="0"/>
                <w:numId w:val="17"/>
              </w:numPr>
              <w:tabs>
                <w:tab w:val="clear" w:pos="720"/>
                <w:tab w:val="num" w:pos="459"/>
              </w:tabs>
              <w:ind w:left="459" w:hanging="284"/>
              <w:rPr>
                <w:rFonts w:ascii="Calibri" w:hAnsi="Calibri"/>
                <w:sz w:val="20"/>
                <w:szCs w:val="20"/>
              </w:rPr>
            </w:pPr>
            <w:r w:rsidRPr="000A3C73">
              <w:rPr>
                <w:rFonts w:ascii="Calibri" w:hAnsi="Calibri"/>
                <w:sz w:val="20"/>
                <w:szCs w:val="20"/>
              </w:rPr>
              <w:t>Provide continuous performance monitoring and support to the established hazardous packaging waste management system</w:t>
            </w:r>
          </w:p>
        </w:tc>
        <w:tc>
          <w:tcPr>
            <w:tcW w:w="2374" w:type="dxa"/>
            <w:shd w:val="clear" w:color="auto" w:fill="auto"/>
            <w:vAlign w:val="center"/>
          </w:tcPr>
          <w:p w:rsidR="007061BA" w:rsidRPr="000A3C73" w:rsidRDefault="008D78D0" w:rsidP="0089284E">
            <w:pPr>
              <w:widowControl w:val="0"/>
              <w:numPr>
                <w:ilvl w:val="0"/>
                <w:numId w:val="17"/>
              </w:numPr>
              <w:tabs>
                <w:tab w:val="clear" w:pos="720"/>
                <w:tab w:val="num" w:pos="459"/>
              </w:tabs>
              <w:ind w:left="-3526" w:firstLine="3701"/>
              <w:rPr>
                <w:rFonts w:ascii="Calibri" w:hAnsi="Calibri"/>
                <w:sz w:val="20"/>
                <w:szCs w:val="20"/>
              </w:rPr>
            </w:pPr>
            <w:r w:rsidRPr="000A3C73">
              <w:rPr>
                <w:rFonts w:ascii="Calibri" w:hAnsi="Calibri"/>
                <w:sz w:val="20"/>
                <w:szCs w:val="20"/>
              </w:rPr>
              <w:t xml:space="preserve">Resen </w:t>
            </w:r>
            <w:r w:rsidR="00AE70A7" w:rsidRPr="000A3C73">
              <w:rPr>
                <w:rFonts w:ascii="Calibri" w:hAnsi="Calibri"/>
                <w:sz w:val="20"/>
                <w:szCs w:val="20"/>
              </w:rPr>
              <w:t>Mun</w:t>
            </w:r>
            <w:r w:rsidR="00AE70A7">
              <w:rPr>
                <w:rFonts w:ascii="Calibri" w:hAnsi="Calibri"/>
                <w:sz w:val="20"/>
                <w:szCs w:val="20"/>
              </w:rPr>
              <w:t>icipality</w:t>
            </w:r>
          </w:p>
          <w:p w:rsidR="00726D59" w:rsidRPr="000A3C73" w:rsidRDefault="00726D59" w:rsidP="0089284E">
            <w:pPr>
              <w:widowControl w:val="0"/>
              <w:numPr>
                <w:ilvl w:val="0"/>
                <w:numId w:val="17"/>
              </w:numPr>
              <w:tabs>
                <w:tab w:val="clear" w:pos="720"/>
                <w:tab w:val="num" w:pos="459"/>
              </w:tabs>
              <w:ind w:left="-3526" w:firstLine="3701"/>
              <w:rPr>
                <w:rFonts w:ascii="Calibri" w:hAnsi="Calibri"/>
                <w:sz w:val="20"/>
                <w:szCs w:val="20"/>
              </w:rPr>
            </w:pPr>
            <w:r w:rsidRPr="000A3C73">
              <w:rPr>
                <w:rFonts w:ascii="Calibri" w:hAnsi="Calibri"/>
                <w:sz w:val="20"/>
                <w:szCs w:val="20"/>
              </w:rPr>
              <w:t>PE Proleter</w:t>
            </w:r>
          </w:p>
        </w:tc>
      </w:tr>
      <w:tr w:rsidR="00726D59" w:rsidRPr="000A3C73" w:rsidTr="008D78D0">
        <w:trPr>
          <w:jc w:val="center"/>
        </w:trPr>
        <w:tc>
          <w:tcPr>
            <w:tcW w:w="1686" w:type="dxa"/>
            <w:vMerge/>
            <w:shd w:val="clear" w:color="auto" w:fill="auto"/>
            <w:vAlign w:val="center"/>
          </w:tcPr>
          <w:p w:rsidR="00726D59" w:rsidRPr="000A3C73" w:rsidRDefault="00726D59" w:rsidP="0089284E">
            <w:pPr>
              <w:rPr>
                <w:rFonts w:ascii="Calibri" w:hAnsi="Calibri"/>
                <w:b/>
                <w:sz w:val="20"/>
                <w:szCs w:val="20"/>
              </w:rPr>
            </w:pPr>
          </w:p>
        </w:tc>
        <w:tc>
          <w:tcPr>
            <w:tcW w:w="5410" w:type="dxa"/>
            <w:shd w:val="clear" w:color="auto" w:fill="auto"/>
            <w:vAlign w:val="center"/>
          </w:tcPr>
          <w:p w:rsidR="00726D59" w:rsidRPr="000A3C73" w:rsidRDefault="00726D59" w:rsidP="0089284E">
            <w:pPr>
              <w:widowControl w:val="0"/>
              <w:numPr>
                <w:ilvl w:val="0"/>
                <w:numId w:val="17"/>
              </w:numPr>
              <w:tabs>
                <w:tab w:val="clear" w:pos="720"/>
                <w:tab w:val="num" w:pos="459"/>
              </w:tabs>
              <w:ind w:left="459" w:hanging="284"/>
              <w:rPr>
                <w:rFonts w:ascii="Calibri" w:hAnsi="Calibri"/>
                <w:sz w:val="20"/>
                <w:szCs w:val="20"/>
              </w:rPr>
            </w:pPr>
            <w:r w:rsidRPr="000A3C73">
              <w:rPr>
                <w:rFonts w:ascii="Calibri" w:hAnsi="Calibri"/>
                <w:sz w:val="20"/>
                <w:szCs w:val="20"/>
              </w:rPr>
              <w:t xml:space="preserve">Provide continuous performance monitoring, maintenance and improvement of the automatic monitoring system for Golema Reka </w:t>
            </w:r>
          </w:p>
        </w:tc>
        <w:tc>
          <w:tcPr>
            <w:tcW w:w="2374" w:type="dxa"/>
            <w:shd w:val="clear" w:color="auto" w:fill="auto"/>
            <w:vAlign w:val="center"/>
          </w:tcPr>
          <w:p w:rsidR="007061BA" w:rsidRPr="000A3C73" w:rsidRDefault="00AE70A7" w:rsidP="0089284E">
            <w:pPr>
              <w:widowControl w:val="0"/>
              <w:numPr>
                <w:ilvl w:val="0"/>
                <w:numId w:val="17"/>
              </w:numPr>
              <w:tabs>
                <w:tab w:val="clear" w:pos="720"/>
                <w:tab w:val="num" w:pos="459"/>
              </w:tabs>
              <w:ind w:left="-3526" w:firstLine="3701"/>
              <w:rPr>
                <w:rFonts w:ascii="Calibri" w:hAnsi="Calibri"/>
                <w:sz w:val="20"/>
                <w:szCs w:val="20"/>
              </w:rPr>
            </w:pPr>
            <w:r w:rsidRPr="000A3C73">
              <w:rPr>
                <w:rFonts w:ascii="Calibri" w:hAnsi="Calibri"/>
                <w:sz w:val="20"/>
                <w:szCs w:val="20"/>
              </w:rPr>
              <w:t>Resen Mun</w:t>
            </w:r>
            <w:r>
              <w:rPr>
                <w:rFonts w:ascii="Calibri" w:hAnsi="Calibri"/>
                <w:sz w:val="20"/>
                <w:szCs w:val="20"/>
              </w:rPr>
              <w:t>icipality</w:t>
            </w:r>
          </w:p>
          <w:p w:rsidR="00726D59" w:rsidRPr="000A3C73" w:rsidRDefault="00726D59" w:rsidP="0089284E">
            <w:pPr>
              <w:widowControl w:val="0"/>
              <w:numPr>
                <w:ilvl w:val="0"/>
                <w:numId w:val="17"/>
              </w:numPr>
              <w:tabs>
                <w:tab w:val="clear" w:pos="720"/>
                <w:tab w:val="num" w:pos="459"/>
              </w:tabs>
              <w:ind w:left="-3526" w:firstLine="3701"/>
              <w:rPr>
                <w:rFonts w:ascii="Calibri" w:hAnsi="Calibri"/>
                <w:sz w:val="20"/>
                <w:szCs w:val="20"/>
              </w:rPr>
            </w:pPr>
            <w:r w:rsidRPr="000A3C73">
              <w:rPr>
                <w:rFonts w:ascii="Calibri" w:hAnsi="Calibri"/>
                <w:sz w:val="20"/>
                <w:szCs w:val="20"/>
              </w:rPr>
              <w:t>MoEPP</w:t>
            </w:r>
          </w:p>
        </w:tc>
      </w:tr>
      <w:tr w:rsidR="00726D59" w:rsidRPr="000A3C73" w:rsidTr="008D78D0">
        <w:trPr>
          <w:jc w:val="center"/>
        </w:trPr>
        <w:tc>
          <w:tcPr>
            <w:tcW w:w="1686" w:type="dxa"/>
            <w:vMerge/>
            <w:shd w:val="clear" w:color="auto" w:fill="auto"/>
            <w:vAlign w:val="center"/>
          </w:tcPr>
          <w:p w:rsidR="00726D59" w:rsidRPr="000A3C73" w:rsidRDefault="00726D59" w:rsidP="0089284E">
            <w:pPr>
              <w:rPr>
                <w:rFonts w:ascii="Calibri" w:hAnsi="Calibri"/>
                <w:b/>
                <w:sz w:val="20"/>
                <w:szCs w:val="20"/>
              </w:rPr>
            </w:pPr>
          </w:p>
        </w:tc>
        <w:tc>
          <w:tcPr>
            <w:tcW w:w="5410" w:type="dxa"/>
            <w:shd w:val="clear" w:color="auto" w:fill="auto"/>
            <w:vAlign w:val="center"/>
          </w:tcPr>
          <w:p w:rsidR="00726D59" w:rsidRPr="000A3C73" w:rsidRDefault="00726D59" w:rsidP="0089284E">
            <w:pPr>
              <w:widowControl w:val="0"/>
              <w:numPr>
                <w:ilvl w:val="0"/>
                <w:numId w:val="17"/>
              </w:numPr>
              <w:tabs>
                <w:tab w:val="clear" w:pos="720"/>
                <w:tab w:val="num" w:pos="459"/>
              </w:tabs>
              <w:ind w:left="459" w:hanging="284"/>
              <w:rPr>
                <w:rFonts w:ascii="Calibri" w:hAnsi="Calibri"/>
                <w:sz w:val="20"/>
                <w:szCs w:val="20"/>
              </w:rPr>
            </w:pPr>
            <w:r w:rsidRPr="000A3C73">
              <w:rPr>
                <w:rFonts w:ascii="Calibri" w:hAnsi="Calibri"/>
                <w:sz w:val="20"/>
                <w:szCs w:val="20"/>
              </w:rPr>
              <w:t>Initiate imple</w:t>
            </w:r>
            <w:r w:rsidR="00065EFF" w:rsidRPr="000A3C73">
              <w:rPr>
                <w:rFonts w:ascii="Calibri" w:hAnsi="Calibri"/>
                <w:sz w:val="20"/>
                <w:szCs w:val="20"/>
              </w:rPr>
              <w:t xml:space="preserve">mentation of measures from the </w:t>
            </w:r>
            <w:r w:rsidRPr="000A3C73">
              <w:rPr>
                <w:rFonts w:ascii="Calibri" w:hAnsi="Calibri"/>
                <w:sz w:val="20"/>
                <w:szCs w:val="20"/>
              </w:rPr>
              <w:t>Management Plan for the Ezerani protected area</w:t>
            </w:r>
          </w:p>
        </w:tc>
        <w:tc>
          <w:tcPr>
            <w:tcW w:w="2374" w:type="dxa"/>
            <w:shd w:val="clear" w:color="auto" w:fill="auto"/>
            <w:vAlign w:val="center"/>
          </w:tcPr>
          <w:p w:rsidR="007061BA" w:rsidRPr="000A3C73" w:rsidRDefault="007061BA" w:rsidP="0089284E">
            <w:pPr>
              <w:widowControl w:val="0"/>
              <w:numPr>
                <w:ilvl w:val="0"/>
                <w:numId w:val="17"/>
              </w:numPr>
              <w:tabs>
                <w:tab w:val="clear" w:pos="720"/>
                <w:tab w:val="num" w:pos="459"/>
              </w:tabs>
              <w:ind w:left="-3526" w:firstLine="3701"/>
              <w:rPr>
                <w:rFonts w:ascii="Calibri" w:hAnsi="Calibri"/>
                <w:sz w:val="20"/>
                <w:szCs w:val="20"/>
              </w:rPr>
            </w:pPr>
            <w:r w:rsidRPr="000A3C73">
              <w:rPr>
                <w:rFonts w:ascii="Calibri" w:hAnsi="Calibri"/>
                <w:sz w:val="20"/>
                <w:szCs w:val="20"/>
              </w:rPr>
              <w:t>MoEPP</w:t>
            </w:r>
          </w:p>
          <w:p w:rsidR="00726D59" w:rsidRPr="000A3C73" w:rsidRDefault="008D78D0" w:rsidP="0089284E">
            <w:pPr>
              <w:widowControl w:val="0"/>
              <w:numPr>
                <w:ilvl w:val="0"/>
                <w:numId w:val="17"/>
              </w:numPr>
              <w:tabs>
                <w:tab w:val="clear" w:pos="720"/>
                <w:tab w:val="num" w:pos="459"/>
              </w:tabs>
              <w:ind w:left="-3526" w:firstLine="3701"/>
              <w:rPr>
                <w:rFonts w:ascii="Calibri" w:hAnsi="Calibri"/>
                <w:sz w:val="20"/>
                <w:szCs w:val="20"/>
              </w:rPr>
            </w:pPr>
            <w:r w:rsidRPr="000A3C73">
              <w:rPr>
                <w:rFonts w:ascii="Calibri" w:hAnsi="Calibri"/>
                <w:sz w:val="20"/>
                <w:szCs w:val="20"/>
              </w:rPr>
              <w:t>Resen Mun</w:t>
            </w:r>
            <w:r w:rsidR="00AE70A7">
              <w:rPr>
                <w:rFonts w:ascii="Calibri" w:hAnsi="Calibri"/>
                <w:sz w:val="20"/>
                <w:szCs w:val="20"/>
              </w:rPr>
              <w:t>icipality</w:t>
            </w:r>
          </w:p>
        </w:tc>
      </w:tr>
      <w:tr w:rsidR="00726D59" w:rsidRPr="000A3C73" w:rsidTr="008D78D0">
        <w:trPr>
          <w:jc w:val="center"/>
        </w:trPr>
        <w:tc>
          <w:tcPr>
            <w:tcW w:w="1686" w:type="dxa"/>
            <w:vMerge/>
            <w:shd w:val="clear" w:color="auto" w:fill="auto"/>
            <w:vAlign w:val="center"/>
          </w:tcPr>
          <w:p w:rsidR="00726D59" w:rsidRPr="000A3C73" w:rsidRDefault="00726D59" w:rsidP="0089284E">
            <w:pPr>
              <w:rPr>
                <w:rFonts w:ascii="Calibri" w:hAnsi="Calibri"/>
                <w:b/>
                <w:sz w:val="20"/>
                <w:szCs w:val="20"/>
              </w:rPr>
            </w:pPr>
          </w:p>
        </w:tc>
        <w:tc>
          <w:tcPr>
            <w:tcW w:w="5410" w:type="dxa"/>
            <w:shd w:val="clear" w:color="auto" w:fill="auto"/>
            <w:vAlign w:val="center"/>
          </w:tcPr>
          <w:p w:rsidR="00726D59" w:rsidRPr="000A3C73" w:rsidRDefault="00726D59" w:rsidP="0089284E">
            <w:pPr>
              <w:widowControl w:val="0"/>
              <w:numPr>
                <w:ilvl w:val="0"/>
                <w:numId w:val="17"/>
              </w:numPr>
              <w:tabs>
                <w:tab w:val="clear" w:pos="720"/>
                <w:tab w:val="num" w:pos="459"/>
              </w:tabs>
              <w:ind w:left="459" w:hanging="284"/>
              <w:rPr>
                <w:rFonts w:ascii="Calibri" w:hAnsi="Calibri"/>
                <w:sz w:val="20"/>
                <w:szCs w:val="20"/>
              </w:rPr>
            </w:pPr>
            <w:r w:rsidRPr="000A3C73">
              <w:rPr>
                <w:rFonts w:ascii="Calibri" w:hAnsi="Calibri"/>
                <w:sz w:val="20"/>
                <w:szCs w:val="20"/>
              </w:rPr>
              <w:t xml:space="preserve">Further disseminate developed Ecosystem-based River Restoration Manual </w:t>
            </w:r>
          </w:p>
        </w:tc>
        <w:tc>
          <w:tcPr>
            <w:tcW w:w="2374" w:type="dxa"/>
            <w:shd w:val="clear" w:color="auto" w:fill="auto"/>
            <w:vAlign w:val="center"/>
          </w:tcPr>
          <w:p w:rsidR="00726D59" w:rsidRPr="000A3C73" w:rsidRDefault="00726D59" w:rsidP="0089284E">
            <w:pPr>
              <w:widowControl w:val="0"/>
              <w:numPr>
                <w:ilvl w:val="0"/>
                <w:numId w:val="17"/>
              </w:numPr>
              <w:tabs>
                <w:tab w:val="clear" w:pos="720"/>
                <w:tab w:val="num" w:pos="459"/>
              </w:tabs>
              <w:ind w:left="-3526" w:firstLine="3701"/>
              <w:rPr>
                <w:rFonts w:ascii="Calibri" w:hAnsi="Calibri"/>
                <w:sz w:val="20"/>
                <w:szCs w:val="20"/>
              </w:rPr>
            </w:pPr>
            <w:r w:rsidRPr="000A3C73">
              <w:rPr>
                <w:rFonts w:ascii="Calibri" w:hAnsi="Calibri"/>
                <w:sz w:val="20"/>
                <w:szCs w:val="20"/>
              </w:rPr>
              <w:t>MoEPP</w:t>
            </w:r>
          </w:p>
        </w:tc>
      </w:tr>
      <w:tr w:rsidR="00726D59" w:rsidRPr="000A3C73" w:rsidTr="008D78D0">
        <w:trPr>
          <w:jc w:val="center"/>
        </w:trPr>
        <w:tc>
          <w:tcPr>
            <w:tcW w:w="1686" w:type="dxa"/>
            <w:vMerge w:val="restart"/>
            <w:shd w:val="clear" w:color="auto" w:fill="auto"/>
            <w:vAlign w:val="center"/>
          </w:tcPr>
          <w:p w:rsidR="00726D59" w:rsidRPr="000A3C73" w:rsidRDefault="00726D59" w:rsidP="0089284E">
            <w:pPr>
              <w:rPr>
                <w:rFonts w:ascii="Calibri" w:hAnsi="Calibri"/>
                <w:b/>
                <w:sz w:val="20"/>
                <w:szCs w:val="20"/>
              </w:rPr>
            </w:pPr>
            <w:r w:rsidRPr="000A3C73">
              <w:rPr>
                <w:rFonts w:ascii="Calibri" w:hAnsi="Calibri"/>
                <w:b/>
                <w:sz w:val="20"/>
                <w:szCs w:val="20"/>
              </w:rPr>
              <w:t>Outcome 4</w:t>
            </w:r>
          </w:p>
          <w:p w:rsidR="00726D59" w:rsidRPr="000A3C73" w:rsidRDefault="00726D59" w:rsidP="0089284E">
            <w:pPr>
              <w:rPr>
                <w:rFonts w:ascii="Calibri" w:hAnsi="Calibri"/>
                <w:b/>
                <w:sz w:val="20"/>
                <w:szCs w:val="20"/>
              </w:rPr>
            </w:pPr>
            <w:r w:rsidRPr="000A3C73">
              <w:rPr>
                <w:rFonts w:ascii="Calibri" w:hAnsi="Calibri"/>
                <w:i/>
                <w:sz w:val="20"/>
                <w:szCs w:val="20"/>
              </w:rPr>
              <w:t>[Increased trans-boundary cooperation]</w:t>
            </w:r>
          </w:p>
        </w:tc>
        <w:tc>
          <w:tcPr>
            <w:tcW w:w="5410" w:type="dxa"/>
            <w:shd w:val="clear" w:color="auto" w:fill="auto"/>
            <w:vAlign w:val="center"/>
          </w:tcPr>
          <w:p w:rsidR="00726D59" w:rsidRPr="000A3C73" w:rsidRDefault="00726D59" w:rsidP="0089284E">
            <w:pPr>
              <w:widowControl w:val="0"/>
              <w:numPr>
                <w:ilvl w:val="0"/>
                <w:numId w:val="17"/>
              </w:numPr>
              <w:tabs>
                <w:tab w:val="clear" w:pos="720"/>
                <w:tab w:val="num" w:pos="459"/>
              </w:tabs>
              <w:ind w:left="459" w:hanging="284"/>
              <w:rPr>
                <w:rFonts w:ascii="Calibri" w:hAnsi="Calibri"/>
                <w:sz w:val="20"/>
                <w:szCs w:val="20"/>
              </w:rPr>
            </w:pPr>
            <w:r w:rsidRPr="000A3C73">
              <w:rPr>
                <w:rFonts w:ascii="Calibri" w:hAnsi="Calibri"/>
                <w:sz w:val="20"/>
                <w:szCs w:val="20"/>
              </w:rPr>
              <w:t xml:space="preserve">Initiate implementation of planned measures/actions from the Prespa Lakes Basin Strategic Action Programme </w:t>
            </w:r>
          </w:p>
        </w:tc>
        <w:tc>
          <w:tcPr>
            <w:tcW w:w="2374" w:type="dxa"/>
            <w:shd w:val="clear" w:color="auto" w:fill="auto"/>
            <w:vAlign w:val="center"/>
          </w:tcPr>
          <w:p w:rsidR="007061BA" w:rsidRPr="000A3C73" w:rsidRDefault="007061BA" w:rsidP="0089284E">
            <w:pPr>
              <w:widowControl w:val="0"/>
              <w:numPr>
                <w:ilvl w:val="0"/>
                <w:numId w:val="17"/>
              </w:numPr>
              <w:tabs>
                <w:tab w:val="clear" w:pos="720"/>
                <w:tab w:val="num" w:pos="459"/>
              </w:tabs>
              <w:ind w:left="-3526" w:firstLine="3701"/>
              <w:rPr>
                <w:rFonts w:ascii="Calibri" w:hAnsi="Calibri"/>
                <w:sz w:val="20"/>
                <w:szCs w:val="20"/>
              </w:rPr>
            </w:pPr>
            <w:r w:rsidRPr="000A3C73">
              <w:rPr>
                <w:rFonts w:ascii="Calibri" w:hAnsi="Calibri"/>
                <w:sz w:val="20"/>
                <w:szCs w:val="20"/>
              </w:rPr>
              <w:t>UNDP</w:t>
            </w:r>
          </w:p>
          <w:p w:rsidR="00726D59" w:rsidRPr="000A3C73" w:rsidRDefault="00726D59" w:rsidP="0089284E">
            <w:pPr>
              <w:widowControl w:val="0"/>
              <w:numPr>
                <w:ilvl w:val="0"/>
                <w:numId w:val="17"/>
              </w:numPr>
              <w:tabs>
                <w:tab w:val="clear" w:pos="720"/>
                <w:tab w:val="num" w:pos="459"/>
              </w:tabs>
              <w:ind w:left="-3526" w:firstLine="3701"/>
              <w:rPr>
                <w:rFonts w:ascii="Calibri" w:hAnsi="Calibri"/>
                <w:sz w:val="20"/>
                <w:szCs w:val="20"/>
              </w:rPr>
            </w:pPr>
            <w:r w:rsidRPr="000A3C73">
              <w:rPr>
                <w:rFonts w:ascii="Calibri" w:hAnsi="Calibri"/>
                <w:sz w:val="20"/>
                <w:szCs w:val="20"/>
              </w:rPr>
              <w:t>MoEPP</w:t>
            </w:r>
          </w:p>
        </w:tc>
      </w:tr>
      <w:tr w:rsidR="00726D59" w:rsidRPr="000A3C73" w:rsidTr="008D78D0">
        <w:trPr>
          <w:jc w:val="center"/>
        </w:trPr>
        <w:tc>
          <w:tcPr>
            <w:tcW w:w="1686" w:type="dxa"/>
            <w:vMerge/>
            <w:shd w:val="clear" w:color="auto" w:fill="auto"/>
            <w:vAlign w:val="center"/>
          </w:tcPr>
          <w:p w:rsidR="00726D59" w:rsidRPr="000A3C73" w:rsidRDefault="00726D59" w:rsidP="0089284E">
            <w:pPr>
              <w:rPr>
                <w:rFonts w:ascii="Calibri" w:hAnsi="Calibri"/>
                <w:b/>
                <w:sz w:val="20"/>
                <w:szCs w:val="20"/>
              </w:rPr>
            </w:pPr>
          </w:p>
        </w:tc>
        <w:tc>
          <w:tcPr>
            <w:tcW w:w="5410" w:type="dxa"/>
            <w:shd w:val="clear" w:color="auto" w:fill="auto"/>
            <w:vAlign w:val="center"/>
          </w:tcPr>
          <w:p w:rsidR="00726D59" w:rsidRPr="000A3C73" w:rsidRDefault="00726D59" w:rsidP="0089284E">
            <w:pPr>
              <w:widowControl w:val="0"/>
              <w:numPr>
                <w:ilvl w:val="0"/>
                <w:numId w:val="17"/>
              </w:numPr>
              <w:tabs>
                <w:tab w:val="clear" w:pos="720"/>
                <w:tab w:val="num" w:pos="459"/>
              </w:tabs>
              <w:ind w:left="459" w:hanging="284"/>
              <w:rPr>
                <w:rFonts w:ascii="Calibri" w:hAnsi="Calibri"/>
                <w:sz w:val="20"/>
                <w:szCs w:val="20"/>
              </w:rPr>
            </w:pPr>
            <w:r w:rsidRPr="000A3C73">
              <w:rPr>
                <w:rFonts w:ascii="Calibri" w:hAnsi="Calibri"/>
                <w:sz w:val="20"/>
                <w:szCs w:val="20"/>
              </w:rPr>
              <w:t>Secure financing for all activities resulting from signing of the International Prespa Park Agreement</w:t>
            </w:r>
          </w:p>
        </w:tc>
        <w:tc>
          <w:tcPr>
            <w:tcW w:w="2374" w:type="dxa"/>
            <w:shd w:val="clear" w:color="auto" w:fill="auto"/>
            <w:vAlign w:val="center"/>
          </w:tcPr>
          <w:p w:rsidR="00726D59" w:rsidRPr="000A3C73" w:rsidRDefault="00726D59" w:rsidP="0089284E">
            <w:pPr>
              <w:widowControl w:val="0"/>
              <w:numPr>
                <w:ilvl w:val="0"/>
                <w:numId w:val="17"/>
              </w:numPr>
              <w:tabs>
                <w:tab w:val="clear" w:pos="720"/>
                <w:tab w:val="num" w:pos="459"/>
              </w:tabs>
              <w:ind w:left="-3526" w:firstLine="3701"/>
              <w:rPr>
                <w:rFonts w:ascii="Calibri" w:hAnsi="Calibri"/>
                <w:sz w:val="20"/>
                <w:szCs w:val="20"/>
              </w:rPr>
            </w:pPr>
            <w:r w:rsidRPr="000A3C73">
              <w:rPr>
                <w:rFonts w:ascii="Calibri" w:hAnsi="Calibri"/>
                <w:sz w:val="20"/>
                <w:szCs w:val="20"/>
              </w:rPr>
              <w:t>MoEPP</w:t>
            </w:r>
          </w:p>
        </w:tc>
      </w:tr>
      <w:tr w:rsidR="00726D59" w:rsidRPr="000A3C73" w:rsidTr="008D78D0">
        <w:trPr>
          <w:jc w:val="center"/>
        </w:trPr>
        <w:tc>
          <w:tcPr>
            <w:tcW w:w="1686" w:type="dxa"/>
            <w:vMerge/>
            <w:shd w:val="clear" w:color="auto" w:fill="auto"/>
            <w:vAlign w:val="center"/>
          </w:tcPr>
          <w:p w:rsidR="00726D59" w:rsidRPr="000A3C73" w:rsidRDefault="00726D59" w:rsidP="0089284E">
            <w:pPr>
              <w:rPr>
                <w:rFonts w:ascii="Calibri" w:hAnsi="Calibri"/>
                <w:b/>
                <w:sz w:val="20"/>
                <w:szCs w:val="20"/>
              </w:rPr>
            </w:pPr>
          </w:p>
        </w:tc>
        <w:tc>
          <w:tcPr>
            <w:tcW w:w="5410" w:type="dxa"/>
            <w:shd w:val="clear" w:color="auto" w:fill="auto"/>
            <w:vAlign w:val="center"/>
          </w:tcPr>
          <w:p w:rsidR="00726D59" w:rsidRPr="000A3C73" w:rsidRDefault="00726D59" w:rsidP="0089284E">
            <w:pPr>
              <w:widowControl w:val="0"/>
              <w:numPr>
                <w:ilvl w:val="0"/>
                <w:numId w:val="17"/>
              </w:numPr>
              <w:tabs>
                <w:tab w:val="clear" w:pos="720"/>
                <w:tab w:val="num" w:pos="459"/>
              </w:tabs>
              <w:ind w:left="459" w:hanging="284"/>
              <w:rPr>
                <w:rFonts w:ascii="Calibri" w:hAnsi="Calibri"/>
                <w:sz w:val="20"/>
                <w:szCs w:val="20"/>
              </w:rPr>
            </w:pPr>
            <w:r w:rsidRPr="000A3C73">
              <w:rPr>
                <w:rFonts w:ascii="Calibri" w:hAnsi="Calibri"/>
                <w:sz w:val="20"/>
                <w:szCs w:val="20"/>
              </w:rPr>
              <w:t xml:space="preserve">Initiate implementation of planned measures from the trans-boundary Fisheries Management Plan </w:t>
            </w:r>
          </w:p>
        </w:tc>
        <w:tc>
          <w:tcPr>
            <w:tcW w:w="2374" w:type="dxa"/>
            <w:shd w:val="clear" w:color="auto" w:fill="auto"/>
            <w:vAlign w:val="center"/>
          </w:tcPr>
          <w:p w:rsidR="007061BA" w:rsidRPr="000A3C73" w:rsidRDefault="007061BA" w:rsidP="0089284E">
            <w:pPr>
              <w:widowControl w:val="0"/>
              <w:numPr>
                <w:ilvl w:val="0"/>
                <w:numId w:val="17"/>
              </w:numPr>
              <w:tabs>
                <w:tab w:val="clear" w:pos="720"/>
                <w:tab w:val="num" w:pos="459"/>
              </w:tabs>
              <w:ind w:left="-3526" w:firstLine="3701"/>
              <w:rPr>
                <w:rFonts w:ascii="Calibri" w:hAnsi="Calibri"/>
                <w:sz w:val="20"/>
                <w:szCs w:val="20"/>
              </w:rPr>
            </w:pPr>
            <w:r w:rsidRPr="000A3C73">
              <w:rPr>
                <w:rFonts w:ascii="Calibri" w:hAnsi="Calibri"/>
                <w:sz w:val="20"/>
                <w:szCs w:val="20"/>
              </w:rPr>
              <w:t>UNDP</w:t>
            </w:r>
          </w:p>
          <w:p w:rsidR="00726D59" w:rsidRPr="000A3C73" w:rsidRDefault="00726D59" w:rsidP="0089284E">
            <w:pPr>
              <w:widowControl w:val="0"/>
              <w:numPr>
                <w:ilvl w:val="0"/>
                <w:numId w:val="17"/>
              </w:numPr>
              <w:tabs>
                <w:tab w:val="clear" w:pos="720"/>
                <w:tab w:val="num" w:pos="459"/>
              </w:tabs>
              <w:ind w:left="-3526" w:firstLine="3701"/>
              <w:rPr>
                <w:rFonts w:ascii="Calibri" w:hAnsi="Calibri"/>
                <w:sz w:val="20"/>
                <w:szCs w:val="20"/>
              </w:rPr>
            </w:pPr>
            <w:r w:rsidRPr="000A3C73">
              <w:rPr>
                <w:rFonts w:ascii="Calibri" w:hAnsi="Calibri"/>
                <w:sz w:val="20"/>
                <w:szCs w:val="20"/>
              </w:rPr>
              <w:t>MoEPP</w:t>
            </w:r>
          </w:p>
          <w:p w:rsidR="00726D59" w:rsidRPr="000A3C73" w:rsidRDefault="00726D59" w:rsidP="0089284E">
            <w:pPr>
              <w:widowControl w:val="0"/>
              <w:numPr>
                <w:ilvl w:val="0"/>
                <w:numId w:val="17"/>
              </w:numPr>
              <w:tabs>
                <w:tab w:val="clear" w:pos="720"/>
                <w:tab w:val="num" w:pos="459"/>
              </w:tabs>
              <w:ind w:left="-3526" w:firstLine="3701"/>
              <w:rPr>
                <w:rFonts w:ascii="Calibri" w:hAnsi="Calibri"/>
                <w:sz w:val="20"/>
                <w:szCs w:val="20"/>
              </w:rPr>
            </w:pPr>
            <w:r w:rsidRPr="000A3C73">
              <w:rPr>
                <w:rFonts w:ascii="Calibri" w:hAnsi="Calibri"/>
                <w:sz w:val="20"/>
                <w:szCs w:val="20"/>
              </w:rPr>
              <w:t>MoA WFM</w:t>
            </w:r>
          </w:p>
        </w:tc>
      </w:tr>
      <w:tr w:rsidR="00726D59" w:rsidRPr="000A3C73" w:rsidTr="008D78D0">
        <w:trPr>
          <w:jc w:val="center"/>
        </w:trPr>
        <w:tc>
          <w:tcPr>
            <w:tcW w:w="1686" w:type="dxa"/>
            <w:vMerge/>
            <w:shd w:val="clear" w:color="auto" w:fill="auto"/>
            <w:vAlign w:val="center"/>
          </w:tcPr>
          <w:p w:rsidR="00726D59" w:rsidRPr="000A3C73" w:rsidRDefault="00726D59" w:rsidP="0089284E">
            <w:pPr>
              <w:rPr>
                <w:rFonts w:ascii="Calibri" w:hAnsi="Calibri"/>
                <w:b/>
                <w:sz w:val="20"/>
                <w:szCs w:val="20"/>
              </w:rPr>
            </w:pPr>
          </w:p>
        </w:tc>
        <w:tc>
          <w:tcPr>
            <w:tcW w:w="5410" w:type="dxa"/>
            <w:shd w:val="clear" w:color="auto" w:fill="auto"/>
            <w:vAlign w:val="center"/>
          </w:tcPr>
          <w:p w:rsidR="00726D59" w:rsidRPr="000A3C73" w:rsidRDefault="00726D59" w:rsidP="0089284E">
            <w:pPr>
              <w:widowControl w:val="0"/>
              <w:numPr>
                <w:ilvl w:val="0"/>
                <w:numId w:val="17"/>
              </w:numPr>
              <w:tabs>
                <w:tab w:val="clear" w:pos="720"/>
                <w:tab w:val="num" w:pos="459"/>
              </w:tabs>
              <w:ind w:left="459" w:hanging="284"/>
              <w:rPr>
                <w:rFonts w:ascii="Calibri" w:hAnsi="Calibri"/>
                <w:sz w:val="20"/>
                <w:szCs w:val="20"/>
              </w:rPr>
            </w:pPr>
            <w:r w:rsidRPr="000A3C73">
              <w:rPr>
                <w:rFonts w:ascii="Calibri" w:hAnsi="Calibri"/>
                <w:sz w:val="20"/>
                <w:szCs w:val="20"/>
              </w:rPr>
              <w:t xml:space="preserve">Initiate implementation of planned measures/actions from the trans-boundary Ecotourism Strategy and Action Plan </w:t>
            </w:r>
          </w:p>
        </w:tc>
        <w:tc>
          <w:tcPr>
            <w:tcW w:w="2374" w:type="dxa"/>
            <w:shd w:val="clear" w:color="auto" w:fill="auto"/>
            <w:vAlign w:val="center"/>
          </w:tcPr>
          <w:p w:rsidR="007061BA" w:rsidRPr="000A3C73" w:rsidRDefault="007061BA" w:rsidP="0089284E">
            <w:pPr>
              <w:widowControl w:val="0"/>
              <w:numPr>
                <w:ilvl w:val="0"/>
                <w:numId w:val="17"/>
              </w:numPr>
              <w:tabs>
                <w:tab w:val="clear" w:pos="720"/>
                <w:tab w:val="num" w:pos="459"/>
              </w:tabs>
              <w:ind w:left="-3526" w:firstLine="3701"/>
              <w:rPr>
                <w:rFonts w:ascii="Calibri" w:hAnsi="Calibri"/>
                <w:sz w:val="20"/>
                <w:szCs w:val="20"/>
              </w:rPr>
            </w:pPr>
            <w:r w:rsidRPr="000A3C73">
              <w:rPr>
                <w:rFonts w:ascii="Calibri" w:hAnsi="Calibri"/>
                <w:sz w:val="20"/>
                <w:szCs w:val="20"/>
              </w:rPr>
              <w:t>UNDP</w:t>
            </w:r>
          </w:p>
          <w:p w:rsidR="00726D59" w:rsidRPr="000A3C73" w:rsidRDefault="00726D59" w:rsidP="0089284E">
            <w:pPr>
              <w:widowControl w:val="0"/>
              <w:numPr>
                <w:ilvl w:val="0"/>
                <w:numId w:val="17"/>
              </w:numPr>
              <w:tabs>
                <w:tab w:val="clear" w:pos="720"/>
                <w:tab w:val="num" w:pos="459"/>
              </w:tabs>
              <w:ind w:left="-3526" w:firstLine="3701"/>
              <w:rPr>
                <w:rFonts w:ascii="Calibri" w:hAnsi="Calibri"/>
                <w:sz w:val="20"/>
                <w:szCs w:val="20"/>
              </w:rPr>
            </w:pPr>
            <w:r w:rsidRPr="000A3C73">
              <w:rPr>
                <w:rFonts w:ascii="Calibri" w:hAnsi="Calibri"/>
                <w:sz w:val="20"/>
                <w:szCs w:val="20"/>
              </w:rPr>
              <w:t xml:space="preserve">MoE, </w:t>
            </w:r>
          </w:p>
          <w:p w:rsidR="00726D59" w:rsidRPr="000A3C73" w:rsidRDefault="008D78D0" w:rsidP="0089284E">
            <w:pPr>
              <w:widowControl w:val="0"/>
              <w:numPr>
                <w:ilvl w:val="0"/>
                <w:numId w:val="17"/>
              </w:numPr>
              <w:tabs>
                <w:tab w:val="clear" w:pos="720"/>
                <w:tab w:val="num" w:pos="459"/>
              </w:tabs>
              <w:ind w:left="-3526" w:firstLine="3701"/>
              <w:rPr>
                <w:rFonts w:ascii="Calibri" w:hAnsi="Calibri"/>
                <w:sz w:val="20"/>
                <w:szCs w:val="20"/>
              </w:rPr>
            </w:pPr>
            <w:r w:rsidRPr="000A3C73">
              <w:rPr>
                <w:rFonts w:ascii="Calibri" w:hAnsi="Calibri"/>
                <w:sz w:val="20"/>
                <w:szCs w:val="20"/>
              </w:rPr>
              <w:t>Resen Mun</w:t>
            </w:r>
            <w:r w:rsidR="00AE70A7">
              <w:rPr>
                <w:rFonts w:ascii="Calibri" w:hAnsi="Calibri"/>
                <w:sz w:val="20"/>
                <w:szCs w:val="20"/>
              </w:rPr>
              <w:t>icipality</w:t>
            </w:r>
          </w:p>
        </w:tc>
      </w:tr>
      <w:tr w:rsidR="00726D59" w:rsidRPr="000A3C73" w:rsidTr="008D78D0">
        <w:trPr>
          <w:jc w:val="center"/>
        </w:trPr>
        <w:tc>
          <w:tcPr>
            <w:tcW w:w="1686" w:type="dxa"/>
            <w:vMerge/>
            <w:shd w:val="clear" w:color="auto" w:fill="auto"/>
            <w:vAlign w:val="center"/>
          </w:tcPr>
          <w:p w:rsidR="00726D59" w:rsidRPr="000A3C73" w:rsidRDefault="00726D59" w:rsidP="0089284E">
            <w:pPr>
              <w:rPr>
                <w:rFonts w:ascii="Calibri" w:hAnsi="Calibri"/>
                <w:b/>
                <w:sz w:val="20"/>
                <w:szCs w:val="20"/>
              </w:rPr>
            </w:pPr>
          </w:p>
        </w:tc>
        <w:tc>
          <w:tcPr>
            <w:tcW w:w="5410" w:type="dxa"/>
            <w:shd w:val="clear" w:color="auto" w:fill="auto"/>
            <w:vAlign w:val="center"/>
          </w:tcPr>
          <w:p w:rsidR="00726D59" w:rsidRPr="000A3C73" w:rsidRDefault="00726D59" w:rsidP="0089284E">
            <w:pPr>
              <w:widowControl w:val="0"/>
              <w:numPr>
                <w:ilvl w:val="0"/>
                <w:numId w:val="17"/>
              </w:numPr>
              <w:tabs>
                <w:tab w:val="clear" w:pos="720"/>
                <w:tab w:val="num" w:pos="459"/>
              </w:tabs>
              <w:ind w:left="459" w:hanging="284"/>
              <w:rPr>
                <w:rFonts w:ascii="Calibri" w:hAnsi="Calibri"/>
                <w:sz w:val="20"/>
                <w:szCs w:val="20"/>
              </w:rPr>
            </w:pPr>
            <w:r w:rsidRPr="000A3C73">
              <w:rPr>
                <w:rFonts w:ascii="Calibri" w:hAnsi="Calibri"/>
                <w:sz w:val="20"/>
                <w:szCs w:val="20"/>
              </w:rPr>
              <w:t xml:space="preserve">Trans-boundary monitoring system </w:t>
            </w:r>
          </w:p>
        </w:tc>
        <w:tc>
          <w:tcPr>
            <w:tcW w:w="2374" w:type="dxa"/>
            <w:shd w:val="clear" w:color="auto" w:fill="auto"/>
            <w:vAlign w:val="center"/>
          </w:tcPr>
          <w:p w:rsidR="00726D59" w:rsidRPr="000A3C73" w:rsidRDefault="00726D59" w:rsidP="0089284E">
            <w:pPr>
              <w:widowControl w:val="0"/>
              <w:numPr>
                <w:ilvl w:val="0"/>
                <w:numId w:val="17"/>
              </w:numPr>
              <w:tabs>
                <w:tab w:val="clear" w:pos="720"/>
                <w:tab w:val="num" w:pos="459"/>
              </w:tabs>
              <w:ind w:left="-3526" w:firstLine="3701"/>
              <w:rPr>
                <w:rFonts w:ascii="Calibri" w:hAnsi="Calibri"/>
                <w:sz w:val="20"/>
                <w:szCs w:val="20"/>
              </w:rPr>
            </w:pPr>
            <w:r w:rsidRPr="000A3C73">
              <w:rPr>
                <w:rFonts w:ascii="Calibri" w:hAnsi="Calibri"/>
                <w:sz w:val="20"/>
                <w:szCs w:val="20"/>
              </w:rPr>
              <w:t>MoEPP</w:t>
            </w:r>
          </w:p>
        </w:tc>
      </w:tr>
    </w:tbl>
    <w:p w:rsidR="00E523A1" w:rsidRPr="000A3C73" w:rsidRDefault="00E523A1" w:rsidP="00E523A1">
      <w:pPr>
        <w:pStyle w:val="BodyText"/>
        <w:numPr>
          <w:ilvl w:val="0"/>
          <w:numId w:val="0"/>
        </w:numPr>
      </w:pPr>
    </w:p>
    <w:p w:rsidR="005C18F6" w:rsidRPr="000A3C73" w:rsidRDefault="006C758C" w:rsidP="00D45EA2">
      <w:pPr>
        <w:pStyle w:val="Heading2"/>
        <w:ind w:left="1080" w:hanging="360"/>
      </w:pPr>
      <w:bookmarkStart w:id="177" w:name="_Toc238551092"/>
      <w:r w:rsidRPr="000A3C73">
        <w:t>Prespa IEM</w:t>
      </w:r>
      <w:r w:rsidR="00AE70A7">
        <w:t xml:space="preserve"> </w:t>
      </w:r>
      <w:r w:rsidR="00B41E00" w:rsidRPr="000A3C73">
        <w:t xml:space="preserve">Project </w:t>
      </w:r>
      <w:r w:rsidR="000F361F" w:rsidRPr="000A3C73">
        <w:t>Terminal</w:t>
      </w:r>
      <w:r w:rsidR="00E629D9" w:rsidRPr="000A3C73">
        <w:t xml:space="preserve"> Evaluation </w:t>
      </w:r>
      <w:r w:rsidR="00B41E00" w:rsidRPr="000A3C73">
        <w:t>Ratings</w:t>
      </w:r>
      <w:bookmarkEnd w:id="175"/>
      <w:bookmarkEnd w:id="177"/>
    </w:p>
    <w:p w:rsidR="00815426" w:rsidRPr="000A3C73" w:rsidRDefault="00815426" w:rsidP="00815426">
      <w:pPr>
        <w:pStyle w:val="BodyText"/>
      </w:pPr>
      <w:r w:rsidRPr="000A3C73">
        <w:t xml:space="preserve">The challenge for this evaluation in providing ratings on the Prespa IEM project is that there were three distinct components of one overall project. The three components were executed nearly as stand-alone projects – information was shared, but each had their own </w:t>
      </w:r>
      <w:r w:rsidR="00200710" w:rsidRPr="000A3C73">
        <w:t xml:space="preserve">project management unit, budget, </w:t>
      </w:r>
      <w:r w:rsidRPr="000A3C73">
        <w:t>workplan</w:t>
      </w:r>
      <w:r w:rsidR="00200710" w:rsidRPr="000A3C73">
        <w:t>,</w:t>
      </w:r>
      <w:r w:rsidRPr="000A3C73">
        <w:t xml:space="preserve"> and</w:t>
      </w:r>
      <w:r w:rsidR="00200710" w:rsidRPr="000A3C73">
        <w:t xml:space="preserve"> oversight body</w:t>
      </w:r>
      <w:r w:rsidRPr="000A3C73">
        <w:t>. Yet, GEF and UNDP evaluation procedures require one rating – the project was conceived, developed, and approved</w:t>
      </w:r>
      <w:r w:rsidR="0079313C" w:rsidRPr="000A3C73">
        <w:t>, and funded</w:t>
      </w:r>
      <w:r w:rsidRPr="000A3C73">
        <w:t xml:space="preserve"> as one project. </w:t>
      </w:r>
      <w:r w:rsidR="0086275E" w:rsidRPr="000A3C73">
        <w:t xml:space="preserve">While an overall project rating is provided for each of the required elements below, a rating is also given (where relevant) to the three components. This is in the interest of providing transparency for the overall rating, and recognizing the distinctions between the components, as appropriate. </w:t>
      </w:r>
    </w:p>
    <w:p w:rsidR="0086275E" w:rsidRPr="000A3C73" w:rsidRDefault="0086275E" w:rsidP="0086275E">
      <w:pPr>
        <w:pStyle w:val="BodyText"/>
        <w:numPr>
          <w:ilvl w:val="0"/>
          <w:numId w:val="0"/>
        </w:numPr>
        <w:rPr>
          <w:highlight w:val="yellow"/>
        </w:rPr>
      </w:pPr>
    </w:p>
    <w:tbl>
      <w:tblPr>
        <w:tblpPr w:leftFromText="187" w:rightFromText="187" w:vertAnchor="text" w:horzAnchor="margin" w:tblpY="1"/>
        <w:tblOverlap w:val="neve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258"/>
        <w:gridCol w:w="4410"/>
        <w:gridCol w:w="900"/>
        <w:gridCol w:w="540"/>
        <w:gridCol w:w="540"/>
        <w:gridCol w:w="540"/>
      </w:tblGrid>
      <w:tr w:rsidR="00815426" w:rsidRPr="000A3C73" w:rsidTr="00BF7BA0">
        <w:trPr>
          <w:cantSplit/>
          <w:trHeight w:val="74"/>
          <w:tblHeader/>
        </w:trPr>
        <w:tc>
          <w:tcPr>
            <w:tcW w:w="3258" w:type="dxa"/>
            <w:shd w:val="clear" w:color="auto" w:fill="000000" w:themeFill="text1"/>
          </w:tcPr>
          <w:p w:rsidR="00815426" w:rsidRPr="000A3C73" w:rsidRDefault="00815426" w:rsidP="00BF7BA0">
            <w:pPr>
              <w:pStyle w:val="Caption"/>
              <w:jc w:val="right"/>
              <w:rPr>
                <w:sz w:val="20"/>
              </w:rPr>
            </w:pPr>
            <w:r w:rsidRPr="000A3C73">
              <w:rPr>
                <w:sz w:val="20"/>
              </w:rPr>
              <w:t xml:space="preserve">Project Components </w:t>
            </w:r>
          </w:p>
        </w:tc>
        <w:tc>
          <w:tcPr>
            <w:tcW w:w="4410" w:type="dxa"/>
            <w:shd w:val="clear" w:color="auto" w:fill="000000" w:themeFill="text1"/>
          </w:tcPr>
          <w:p w:rsidR="00815426" w:rsidRPr="000A3C73" w:rsidRDefault="00815426" w:rsidP="00BF7BA0">
            <w:pPr>
              <w:pStyle w:val="Caption"/>
              <w:jc w:val="center"/>
              <w:rPr>
                <w:sz w:val="20"/>
              </w:rPr>
            </w:pPr>
            <w:r w:rsidRPr="000A3C73">
              <w:rPr>
                <w:sz w:val="20"/>
              </w:rPr>
              <w:t>Qualitative Summary</w:t>
            </w:r>
          </w:p>
        </w:tc>
        <w:tc>
          <w:tcPr>
            <w:tcW w:w="900" w:type="dxa"/>
            <w:shd w:val="clear" w:color="auto" w:fill="000000" w:themeFill="text1"/>
          </w:tcPr>
          <w:p w:rsidR="00815426" w:rsidRPr="000A3C73" w:rsidRDefault="00815426" w:rsidP="00BF7BA0">
            <w:pPr>
              <w:pStyle w:val="Caption"/>
              <w:jc w:val="center"/>
              <w:rPr>
                <w:sz w:val="20"/>
              </w:rPr>
            </w:pPr>
            <w:r w:rsidRPr="000A3C73">
              <w:rPr>
                <w:sz w:val="20"/>
              </w:rPr>
              <w:t>Overall</w:t>
            </w:r>
          </w:p>
        </w:tc>
        <w:tc>
          <w:tcPr>
            <w:tcW w:w="540" w:type="dxa"/>
            <w:shd w:val="clear" w:color="auto" w:fill="000000" w:themeFill="text1"/>
          </w:tcPr>
          <w:p w:rsidR="00815426" w:rsidRPr="000A3C73" w:rsidRDefault="00815426" w:rsidP="00BF7BA0">
            <w:pPr>
              <w:pStyle w:val="Caption"/>
              <w:jc w:val="center"/>
              <w:rPr>
                <w:sz w:val="20"/>
              </w:rPr>
            </w:pPr>
            <w:r w:rsidRPr="000A3C73">
              <w:rPr>
                <w:sz w:val="20"/>
              </w:rPr>
              <w:t>TB</w:t>
            </w:r>
          </w:p>
        </w:tc>
        <w:tc>
          <w:tcPr>
            <w:tcW w:w="540" w:type="dxa"/>
            <w:shd w:val="clear" w:color="auto" w:fill="000000" w:themeFill="text1"/>
          </w:tcPr>
          <w:p w:rsidR="00815426" w:rsidRPr="000A3C73" w:rsidRDefault="00815426" w:rsidP="00BF7BA0">
            <w:pPr>
              <w:pStyle w:val="Caption"/>
              <w:jc w:val="center"/>
              <w:rPr>
                <w:sz w:val="20"/>
              </w:rPr>
            </w:pPr>
            <w:r w:rsidRPr="000A3C73">
              <w:rPr>
                <w:sz w:val="20"/>
              </w:rPr>
              <w:t>MK</w:t>
            </w:r>
          </w:p>
        </w:tc>
        <w:tc>
          <w:tcPr>
            <w:tcW w:w="540" w:type="dxa"/>
            <w:shd w:val="clear" w:color="auto" w:fill="000000" w:themeFill="text1"/>
          </w:tcPr>
          <w:p w:rsidR="00815426" w:rsidRPr="000A3C73" w:rsidRDefault="00815426" w:rsidP="00BF7BA0">
            <w:pPr>
              <w:pStyle w:val="Caption"/>
              <w:jc w:val="center"/>
              <w:rPr>
                <w:sz w:val="20"/>
              </w:rPr>
            </w:pPr>
            <w:r w:rsidRPr="000A3C73">
              <w:rPr>
                <w:sz w:val="20"/>
              </w:rPr>
              <w:t>AL</w:t>
            </w:r>
          </w:p>
        </w:tc>
      </w:tr>
      <w:tr w:rsidR="00815426" w:rsidRPr="000A3C73" w:rsidTr="00BF7BA0">
        <w:tc>
          <w:tcPr>
            <w:tcW w:w="3258" w:type="dxa"/>
            <w:shd w:val="clear" w:color="auto" w:fill="BFBFBF" w:themeFill="background1" w:themeFillShade="BF"/>
          </w:tcPr>
          <w:p w:rsidR="00815426" w:rsidRPr="000A3C73" w:rsidRDefault="00815426" w:rsidP="00815426">
            <w:pPr>
              <w:contextualSpacing/>
              <w:jc w:val="right"/>
              <w:rPr>
                <w:rFonts w:asciiTheme="majorHAnsi" w:hAnsiTheme="majorHAnsi"/>
                <w:b/>
                <w:sz w:val="20"/>
              </w:rPr>
            </w:pPr>
            <w:r w:rsidRPr="000A3C73">
              <w:rPr>
                <w:rFonts w:asciiTheme="majorHAnsi" w:hAnsiTheme="majorHAnsi"/>
                <w:b/>
                <w:sz w:val="20"/>
              </w:rPr>
              <w:t>Project Formulation</w:t>
            </w:r>
          </w:p>
        </w:tc>
        <w:tc>
          <w:tcPr>
            <w:tcW w:w="4410" w:type="dxa"/>
            <w:shd w:val="clear" w:color="auto" w:fill="BFBFBF" w:themeFill="background1" w:themeFillShade="BF"/>
          </w:tcPr>
          <w:p w:rsidR="00815426" w:rsidRPr="000A3C73" w:rsidRDefault="00815426" w:rsidP="00815426">
            <w:pPr>
              <w:rPr>
                <w:rFonts w:asciiTheme="majorHAnsi" w:hAnsiTheme="majorHAnsi"/>
                <w:b/>
                <w:sz w:val="20"/>
              </w:rPr>
            </w:pPr>
          </w:p>
        </w:tc>
        <w:tc>
          <w:tcPr>
            <w:tcW w:w="900" w:type="dxa"/>
            <w:shd w:val="clear" w:color="auto" w:fill="BFBFBF" w:themeFill="background1" w:themeFillShade="BF"/>
          </w:tcPr>
          <w:p w:rsidR="00815426" w:rsidRPr="000A3C73" w:rsidRDefault="00815426" w:rsidP="00815426">
            <w:pPr>
              <w:rPr>
                <w:rFonts w:asciiTheme="majorHAnsi" w:hAnsiTheme="majorHAnsi"/>
                <w:b/>
                <w:sz w:val="20"/>
              </w:rPr>
            </w:pPr>
          </w:p>
        </w:tc>
        <w:tc>
          <w:tcPr>
            <w:tcW w:w="540" w:type="dxa"/>
            <w:shd w:val="clear" w:color="auto" w:fill="BFBFBF" w:themeFill="background1" w:themeFillShade="BF"/>
          </w:tcPr>
          <w:p w:rsidR="00815426" w:rsidRPr="000A3C73" w:rsidRDefault="00815426" w:rsidP="00815426">
            <w:pPr>
              <w:rPr>
                <w:rFonts w:asciiTheme="majorHAnsi" w:hAnsiTheme="majorHAnsi"/>
                <w:b/>
                <w:sz w:val="20"/>
              </w:rPr>
            </w:pPr>
          </w:p>
        </w:tc>
        <w:tc>
          <w:tcPr>
            <w:tcW w:w="540" w:type="dxa"/>
            <w:shd w:val="clear" w:color="auto" w:fill="BFBFBF" w:themeFill="background1" w:themeFillShade="BF"/>
          </w:tcPr>
          <w:p w:rsidR="00815426" w:rsidRPr="000A3C73" w:rsidRDefault="00815426" w:rsidP="00815426">
            <w:pPr>
              <w:rPr>
                <w:rFonts w:asciiTheme="majorHAnsi" w:hAnsiTheme="majorHAnsi"/>
                <w:b/>
                <w:sz w:val="20"/>
              </w:rPr>
            </w:pPr>
          </w:p>
        </w:tc>
        <w:tc>
          <w:tcPr>
            <w:tcW w:w="540" w:type="dxa"/>
            <w:shd w:val="clear" w:color="auto" w:fill="BFBFBF" w:themeFill="background1" w:themeFillShade="BF"/>
          </w:tcPr>
          <w:p w:rsidR="00815426" w:rsidRPr="000A3C73" w:rsidRDefault="00815426" w:rsidP="00815426">
            <w:pPr>
              <w:rPr>
                <w:rFonts w:asciiTheme="majorHAnsi" w:hAnsiTheme="majorHAnsi"/>
                <w:b/>
                <w:sz w:val="20"/>
              </w:rPr>
            </w:pPr>
          </w:p>
        </w:tc>
      </w:tr>
      <w:tr w:rsidR="00815426" w:rsidRPr="000A3C73" w:rsidTr="00BF7BA0">
        <w:tc>
          <w:tcPr>
            <w:tcW w:w="3258" w:type="dxa"/>
          </w:tcPr>
          <w:p w:rsidR="00815426" w:rsidRPr="000A3C73" w:rsidRDefault="00815426" w:rsidP="00815426">
            <w:pPr>
              <w:contextualSpacing/>
              <w:jc w:val="right"/>
              <w:rPr>
                <w:rFonts w:asciiTheme="majorHAnsi" w:hAnsiTheme="majorHAnsi"/>
                <w:sz w:val="20"/>
              </w:rPr>
            </w:pPr>
            <w:r w:rsidRPr="000A3C73">
              <w:rPr>
                <w:rFonts w:asciiTheme="majorHAnsi" w:hAnsiTheme="majorHAnsi"/>
                <w:sz w:val="20"/>
              </w:rPr>
              <w:t>Relevance</w:t>
            </w:r>
          </w:p>
        </w:tc>
        <w:tc>
          <w:tcPr>
            <w:tcW w:w="4410" w:type="dxa"/>
          </w:tcPr>
          <w:p w:rsidR="00815426" w:rsidRPr="000A3C73" w:rsidRDefault="00815426" w:rsidP="00815426">
            <w:pPr>
              <w:rPr>
                <w:rFonts w:asciiTheme="majorHAnsi" w:hAnsiTheme="majorHAnsi"/>
                <w:sz w:val="20"/>
              </w:rPr>
            </w:pPr>
            <w:r w:rsidRPr="000A3C73">
              <w:rPr>
                <w:rFonts w:asciiTheme="majorHAnsi" w:hAnsiTheme="majorHAnsi"/>
                <w:sz w:val="20"/>
              </w:rPr>
              <w:t>The project was relevant to the environmental strategies and priorities of the Prespa region, the national policies and strategies of the three countries, and to GEF focal area strategies.</w:t>
            </w:r>
          </w:p>
        </w:tc>
        <w:tc>
          <w:tcPr>
            <w:tcW w:w="900" w:type="dxa"/>
          </w:tcPr>
          <w:p w:rsidR="00815426" w:rsidRPr="000A3C73" w:rsidRDefault="00815426" w:rsidP="00815426">
            <w:pPr>
              <w:rPr>
                <w:rFonts w:asciiTheme="majorHAnsi" w:hAnsiTheme="majorHAnsi"/>
                <w:sz w:val="20"/>
              </w:rPr>
            </w:pPr>
            <w:r w:rsidRPr="000A3C73">
              <w:rPr>
                <w:rFonts w:asciiTheme="majorHAnsi" w:hAnsiTheme="majorHAnsi"/>
                <w:sz w:val="20"/>
              </w:rPr>
              <w:t>R</w:t>
            </w:r>
          </w:p>
        </w:tc>
        <w:tc>
          <w:tcPr>
            <w:tcW w:w="540" w:type="dxa"/>
          </w:tcPr>
          <w:p w:rsidR="00815426" w:rsidRPr="000A3C73" w:rsidRDefault="00815426" w:rsidP="00815426">
            <w:pPr>
              <w:rPr>
                <w:rFonts w:asciiTheme="majorHAnsi" w:hAnsiTheme="majorHAnsi"/>
                <w:sz w:val="20"/>
              </w:rPr>
            </w:pPr>
            <w:r w:rsidRPr="000A3C73">
              <w:rPr>
                <w:rFonts w:asciiTheme="majorHAnsi" w:hAnsiTheme="majorHAnsi"/>
                <w:sz w:val="20"/>
              </w:rPr>
              <w:t>R</w:t>
            </w:r>
          </w:p>
        </w:tc>
        <w:tc>
          <w:tcPr>
            <w:tcW w:w="540" w:type="dxa"/>
          </w:tcPr>
          <w:p w:rsidR="00815426" w:rsidRPr="000A3C73" w:rsidRDefault="00815426" w:rsidP="00815426">
            <w:pPr>
              <w:rPr>
                <w:rFonts w:asciiTheme="majorHAnsi" w:hAnsiTheme="majorHAnsi"/>
                <w:sz w:val="20"/>
              </w:rPr>
            </w:pPr>
            <w:r w:rsidRPr="000A3C73">
              <w:rPr>
                <w:rFonts w:asciiTheme="majorHAnsi" w:hAnsiTheme="majorHAnsi"/>
                <w:sz w:val="20"/>
              </w:rPr>
              <w:t>R</w:t>
            </w:r>
          </w:p>
        </w:tc>
        <w:tc>
          <w:tcPr>
            <w:tcW w:w="540" w:type="dxa"/>
          </w:tcPr>
          <w:p w:rsidR="00815426" w:rsidRPr="000A3C73" w:rsidRDefault="00815426" w:rsidP="00815426">
            <w:pPr>
              <w:rPr>
                <w:rFonts w:asciiTheme="majorHAnsi" w:hAnsiTheme="majorHAnsi"/>
                <w:sz w:val="20"/>
              </w:rPr>
            </w:pPr>
            <w:r w:rsidRPr="000A3C73">
              <w:rPr>
                <w:rFonts w:asciiTheme="majorHAnsi" w:hAnsiTheme="majorHAnsi"/>
                <w:sz w:val="20"/>
              </w:rPr>
              <w:t>R</w:t>
            </w:r>
          </w:p>
        </w:tc>
      </w:tr>
      <w:tr w:rsidR="00815426" w:rsidRPr="000A3C73" w:rsidTr="00BF7BA0">
        <w:tc>
          <w:tcPr>
            <w:tcW w:w="3258" w:type="dxa"/>
          </w:tcPr>
          <w:p w:rsidR="00815426" w:rsidRPr="000A3C73" w:rsidRDefault="00815426" w:rsidP="00815426">
            <w:pPr>
              <w:contextualSpacing/>
              <w:jc w:val="right"/>
              <w:rPr>
                <w:rFonts w:asciiTheme="majorHAnsi" w:hAnsiTheme="majorHAnsi"/>
                <w:sz w:val="20"/>
              </w:rPr>
            </w:pPr>
            <w:r w:rsidRPr="000A3C73">
              <w:rPr>
                <w:rFonts w:asciiTheme="majorHAnsi" w:hAnsiTheme="majorHAnsi"/>
                <w:sz w:val="20"/>
              </w:rPr>
              <w:t>Conceptualization / design</w:t>
            </w:r>
          </w:p>
        </w:tc>
        <w:tc>
          <w:tcPr>
            <w:tcW w:w="4410" w:type="dxa"/>
          </w:tcPr>
          <w:p w:rsidR="00815426" w:rsidRPr="000A3C73" w:rsidRDefault="00815426" w:rsidP="00815426">
            <w:pPr>
              <w:rPr>
                <w:rFonts w:asciiTheme="majorHAnsi" w:hAnsiTheme="majorHAnsi"/>
                <w:sz w:val="20"/>
              </w:rPr>
            </w:pPr>
            <w:r w:rsidRPr="000A3C73">
              <w:rPr>
                <w:rFonts w:asciiTheme="majorHAnsi" w:hAnsiTheme="majorHAnsi"/>
                <w:sz w:val="20"/>
              </w:rPr>
              <w:t xml:space="preserve">The project design had multiple significant flaws, particularly with respect to implementation arrangements. From a technical perspective the project design also became too broad relative to the resources available. </w:t>
            </w:r>
          </w:p>
        </w:tc>
        <w:tc>
          <w:tcPr>
            <w:tcW w:w="900" w:type="dxa"/>
          </w:tcPr>
          <w:p w:rsidR="00815426" w:rsidRPr="000A3C73" w:rsidRDefault="00AC3062" w:rsidP="00815426">
            <w:pPr>
              <w:rPr>
                <w:rFonts w:asciiTheme="majorHAnsi" w:hAnsiTheme="majorHAnsi"/>
                <w:sz w:val="20"/>
              </w:rPr>
            </w:pPr>
            <w:r w:rsidRPr="000A3C73">
              <w:rPr>
                <w:rFonts w:asciiTheme="majorHAnsi" w:hAnsiTheme="majorHAnsi"/>
                <w:sz w:val="20"/>
              </w:rPr>
              <w:t>M</w:t>
            </w:r>
            <w:r w:rsidR="00815426" w:rsidRPr="000A3C73">
              <w:rPr>
                <w:rFonts w:asciiTheme="majorHAnsi" w:hAnsiTheme="majorHAnsi"/>
                <w:sz w:val="20"/>
              </w:rPr>
              <w:t>U</w:t>
            </w:r>
          </w:p>
        </w:tc>
        <w:tc>
          <w:tcPr>
            <w:tcW w:w="540" w:type="dxa"/>
          </w:tcPr>
          <w:p w:rsidR="00815426" w:rsidRPr="000A3C73" w:rsidRDefault="00815426" w:rsidP="00815426">
            <w:pPr>
              <w:rPr>
                <w:rFonts w:asciiTheme="majorHAnsi" w:hAnsiTheme="majorHAnsi"/>
                <w:sz w:val="20"/>
              </w:rPr>
            </w:pPr>
            <w:r w:rsidRPr="000A3C73">
              <w:rPr>
                <w:rFonts w:asciiTheme="majorHAnsi" w:hAnsiTheme="majorHAnsi"/>
                <w:sz w:val="20"/>
              </w:rPr>
              <w:t>N/A</w:t>
            </w:r>
          </w:p>
        </w:tc>
        <w:tc>
          <w:tcPr>
            <w:tcW w:w="540" w:type="dxa"/>
          </w:tcPr>
          <w:p w:rsidR="00815426" w:rsidRPr="000A3C73" w:rsidRDefault="00815426" w:rsidP="00815426">
            <w:pPr>
              <w:rPr>
                <w:rFonts w:asciiTheme="majorHAnsi" w:hAnsiTheme="majorHAnsi"/>
                <w:sz w:val="20"/>
              </w:rPr>
            </w:pPr>
            <w:r w:rsidRPr="000A3C73">
              <w:rPr>
                <w:rFonts w:asciiTheme="majorHAnsi" w:hAnsiTheme="majorHAnsi"/>
                <w:sz w:val="20"/>
              </w:rPr>
              <w:t>N/A</w:t>
            </w:r>
          </w:p>
        </w:tc>
        <w:tc>
          <w:tcPr>
            <w:tcW w:w="540" w:type="dxa"/>
          </w:tcPr>
          <w:p w:rsidR="00815426" w:rsidRPr="000A3C73" w:rsidRDefault="00815426" w:rsidP="00815426">
            <w:pPr>
              <w:rPr>
                <w:rFonts w:asciiTheme="majorHAnsi" w:hAnsiTheme="majorHAnsi"/>
                <w:sz w:val="20"/>
              </w:rPr>
            </w:pPr>
            <w:r w:rsidRPr="000A3C73">
              <w:rPr>
                <w:rFonts w:asciiTheme="majorHAnsi" w:hAnsiTheme="majorHAnsi"/>
                <w:sz w:val="20"/>
              </w:rPr>
              <w:t>N/A</w:t>
            </w:r>
          </w:p>
        </w:tc>
      </w:tr>
      <w:tr w:rsidR="00815426" w:rsidRPr="000A3C73" w:rsidTr="00BF7BA0">
        <w:tc>
          <w:tcPr>
            <w:tcW w:w="3258" w:type="dxa"/>
          </w:tcPr>
          <w:p w:rsidR="00815426" w:rsidRPr="000A3C73" w:rsidRDefault="00815426" w:rsidP="00815426">
            <w:pPr>
              <w:contextualSpacing/>
              <w:jc w:val="right"/>
              <w:rPr>
                <w:rFonts w:asciiTheme="majorHAnsi" w:hAnsiTheme="majorHAnsi"/>
                <w:sz w:val="20"/>
              </w:rPr>
            </w:pPr>
            <w:r w:rsidRPr="000A3C73">
              <w:rPr>
                <w:rFonts w:asciiTheme="majorHAnsi" w:hAnsiTheme="majorHAnsi"/>
                <w:sz w:val="20"/>
              </w:rPr>
              <w:t>Country-drivenness</w:t>
            </w:r>
          </w:p>
        </w:tc>
        <w:tc>
          <w:tcPr>
            <w:tcW w:w="441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The project concept originated from the tri-lateral prime ministers’ declaration in 2000 of the “Prespa Park” which led to the establishment of the Prespa Park Coordination Committee. It is not clear that the involved countries were strongly driving the project development process, following the initial concept launch.</w:t>
            </w:r>
          </w:p>
        </w:tc>
        <w:tc>
          <w:tcPr>
            <w:tcW w:w="90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MS</w:t>
            </w:r>
          </w:p>
        </w:tc>
        <w:tc>
          <w:tcPr>
            <w:tcW w:w="54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N/A</w:t>
            </w:r>
          </w:p>
        </w:tc>
        <w:tc>
          <w:tcPr>
            <w:tcW w:w="54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N/A</w:t>
            </w:r>
          </w:p>
        </w:tc>
        <w:tc>
          <w:tcPr>
            <w:tcW w:w="54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N/A</w:t>
            </w:r>
          </w:p>
        </w:tc>
      </w:tr>
      <w:tr w:rsidR="00815426" w:rsidRPr="000A3C73" w:rsidTr="00BF7BA0">
        <w:tc>
          <w:tcPr>
            <w:tcW w:w="3258" w:type="dxa"/>
          </w:tcPr>
          <w:p w:rsidR="00815426" w:rsidRPr="000A3C73" w:rsidRDefault="00815426" w:rsidP="00815426">
            <w:pPr>
              <w:contextualSpacing/>
              <w:jc w:val="right"/>
              <w:rPr>
                <w:rFonts w:asciiTheme="majorHAnsi" w:hAnsiTheme="majorHAnsi"/>
                <w:sz w:val="20"/>
              </w:rPr>
            </w:pPr>
            <w:r w:rsidRPr="000A3C73">
              <w:rPr>
                <w:rFonts w:asciiTheme="majorHAnsi" w:hAnsiTheme="majorHAnsi"/>
                <w:sz w:val="20"/>
              </w:rPr>
              <w:t>Stakeholder involvement in design</w:t>
            </w:r>
          </w:p>
        </w:tc>
        <w:tc>
          <w:tcPr>
            <w:tcW w:w="441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Stakeholders indicated that the project design outlined during the UNDP-GEF project development phase did not fully reflect the three countries’ priorities, and stakeholder expectations were not adequately managed.</w:t>
            </w:r>
          </w:p>
        </w:tc>
        <w:tc>
          <w:tcPr>
            <w:tcW w:w="90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M</w:t>
            </w:r>
            <w:r w:rsidR="00F068CB" w:rsidRPr="000A3C73">
              <w:rPr>
                <w:rFonts w:asciiTheme="majorHAnsi" w:hAnsiTheme="majorHAnsi"/>
                <w:sz w:val="20"/>
              </w:rPr>
              <w:t>S</w:t>
            </w:r>
          </w:p>
        </w:tc>
        <w:tc>
          <w:tcPr>
            <w:tcW w:w="54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N/A</w:t>
            </w:r>
          </w:p>
        </w:tc>
        <w:tc>
          <w:tcPr>
            <w:tcW w:w="54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N/A</w:t>
            </w:r>
          </w:p>
        </w:tc>
        <w:tc>
          <w:tcPr>
            <w:tcW w:w="54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N/A</w:t>
            </w:r>
          </w:p>
        </w:tc>
      </w:tr>
      <w:tr w:rsidR="00815426" w:rsidRPr="000A3C73" w:rsidTr="00BF7BA0">
        <w:tc>
          <w:tcPr>
            <w:tcW w:w="3258" w:type="dxa"/>
            <w:shd w:val="clear" w:color="auto" w:fill="BFBFBF"/>
          </w:tcPr>
          <w:p w:rsidR="00815426" w:rsidRPr="000A3C73" w:rsidRDefault="00815426" w:rsidP="00815426">
            <w:pPr>
              <w:contextualSpacing/>
              <w:rPr>
                <w:rFonts w:asciiTheme="majorHAnsi" w:hAnsiTheme="majorHAnsi"/>
                <w:b/>
                <w:sz w:val="20"/>
              </w:rPr>
            </w:pPr>
            <w:r w:rsidRPr="000A3C73">
              <w:rPr>
                <w:rFonts w:asciiTheme="majorHAnsi" w:hAnsiTheme="majorHAnsi"/>
                <w:b/>
                <w:sz w:val="20"/>
              </w:rPr>
              <w:t>Project Implementation</w:t>
            </w:r>
          </w:p>
        </w:tc>
        <w:tc>
          <w:tcPr>
            <w:tcW w:w="4410" w:type="dxa"/>
            <w:shd w:val="clear" w:color="auto" w:fill="BFBFBF"/>
          </w:tcPr>
          <w:p w:rsidR="00815426" w:rsidRPr="000A3C73" w:rsidRDefault="00815426" w:rsidP="00815426">
            <w:pPr>
              <w:contextualSpacing/>
              <w:rPr>
                <w:rFonts w:asciiTheme="majorHAnsi" w:hAnsiTheme="majorHAnsi"/>
                <w:b/>
                <w:sz w:val="20"/>
              </w:rPr>
            </w:pPr>
          </w:p>
        </w:tc>
        <w:tc>
          <w:tcPr>
            <w:tcW w:w="900" w:type="dxa"/>
            <w:shd w:val="clear" w:color="auto" w:fill="BFBFBF"/>
          </w:tcPr>
          <w:p w:rsidR="00815426" w:rsidRPr="000A3C73" w:rsidRDefault="00815426" w:rsidP="00815426">
            <w:pPr>
              <w:contextualSpacing/>
              <w:rPr>
                <w:rFonts w:asciiTheme="majorHAnsi" w:hAnsiTheme="majorHAnsi"/>
                <w:b/>
                <w:sz w:val="20"/>
              </w:rPr>
            </w:pPr>
          </w:p>
        </w:tc>
        <w:tc>
          <w:tcPr>
            <w:tcW w:w="540" w:type="dxa"/>
            <w:shd w:val="clear" w:color="auto" w:fill="BFBFBF"/>
          </w:tcPr>
          <w:p w:rsidR="00815426" w:rsidRPr="000A3C73" w:rsidRDefault="00815426" w:rsidP="00815426">
            <w:pPr>
              <w:contextualSpacing/>
              <w:rPr>
                <w:rFonts w:asciiTheme="majorHAnsi" w:hAnsiTheme="majorHAnsi"/>
                <w:b/>
                <w:sz w:val="20"/>
              </w:rPr>
            </w:pPr>
          </w:p>
        </w:tc>
        <w:tc>
          <w:tcPr>
            <w:tcW w:w="540" w:type="dxa"/>
            <w:shd w:val="clear" w:color="auto" w:fill="BFBFBF"/>
          </w:tcPr>
          <w:p w:rsidR="00815426" w:rsidRPr="000A3C73" w:rsidRDefault="00815426" w:rsidP="00815426">
            <w:pPr>
              <w:contextualSpacing/>
              <w:rPr>
                <w:rFonts w:asciiTheme="majorHAnsi" w:hAnsiTheme="majorHAnsi"/>
                <w:b/>
                <w:sz w:val="20"/>
              </w:rPr>
            </w:pPr>
          </w:p>
        </w:tc>
        <w:tc>
          <w:tcPr>
            <w:tcW w:w="540" w:type="dxa"/>
            <w:shd w:val="clear" w:color="auto" w:fill="BFBFBF"/>
          </w:tcPr>
          <w:p w:rsidR="00815426" w:rsidRPr="000A3C73" w:rsidRDefault="00815426" w:rsidP="00815426">
            <w:pPr>
              <w:contextualSpacing/>
              <w:rPr>
                <w:rFonts w:asciiTheme="majorHAnsi" w:hAnsiTheme="majorHAnsi"/>
                <w:b/>
                <w:sz w:val="20"/>
              </w:rPr>
            </w:pPr>
          </w:p>
        </w:tc>
      </w:tr>
      <w:tr w:rsidR="00815426" w:rsidRPr="000A3C73" w:rsidTr="00BF7BA0">
        <w:tc>
          <w:tcPr>
            <w:tcW w:w="3258" w:type="dxa"/>
          </w:tcPr>
          <w:p w:rsidR="00815426" w:rsidRPr="000A3C73" w:rsidRDefault="00815426" w:rsidP="00815426">
            <w:pPr>
              <w:contextualSpacing/>
              <w:rPr>
                <w:rFonts w:asciiTheme="majorHAnsi" w:hAnsiTheme="majorHAnsi"/>
                <w:b/>
                <w:sz w:val="20"/>
              </w:rPr>
            </w:pPr>
            <w:r w:rsidRPr="000A3C73">
              <w:rPr>
                <w:rFonts w:asciiTheme="majorHAnsi" w:hAnsiTheme="majorHAnsi"/>
                <w:b/>
                <w:sz w:val="20"/>
              </w:rPr>
              <w:t>Implementation Approach (Efficiency)</w:t>
            </w:r>
          </w:p>
        </w:tc>
        <w:tc>
          <w:tcPr>
            <w:tcW w:w="441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 xml:space="preserve">Initial delays, staff turnover, and various other issues have contributed to decreased efficiency of the transboundary component, which has been balanced somewhat by the national components. The cost-effectiveness of some results is also strongly linked to sustainability, i.e. whether many of the plans and outputs produced will be applied and implemented. </w:t>
            </w:r>
          </w:p>
        </w:tc>
        <w:tc>
          <w:tcPr>
            <w:tcW w:w="90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MS</w:t>
            </w:r>
          </w:p>
        </w:tc>
        <w:tc>
          <w:tcPr>
            <w:tcW w:w="54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MU</w:t>
            </w:r>
          </w:p>
        </w:tc>
        <w:tc>
          <w:tcPr>
            <w:tcW w:w="54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S</w:t>
            </w:r>
          </w:p>
        </w:tc>
        <w:tc>
          <w:tcPr>
            <w:tcW w:w="54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S</w:t>
            </w:r>
          </w:p>
        </w:tc>
      </w:tr>
      <w:tr w:rsidR="00815426" w:rsidRPr="000A3C73" w:rsidTr="00BF7BA0">
        <w:tc>
          <w:tcPr>
            <w:tcW w:w="3258" w:type="dxa"/>
          </w:tcPr>
          <w:p w:rsidR="00815426" w:rsidRPr="000A3C73" w:rsidRDefault="00815426" w:rsidP="00815426">
            <w:pPr>
              <w:contextualSpacing/>
              <w:jc w:val="right"/>
              <w:rPr>
                <w:rFonts w:asciiTheme="majorHAnsi" w:hAnsiTheme="majorHAnsi"/>
                <w:sz w:val="20"/>
              </w:rPr>
            </w:pPr>
            <w:r w:rsidRPr="000A3C73">
              <w:rPr>
                <w:rFonts w:asciiTheme="majorHAnsi" w:hAnsiTheme="majorHAnsi"/>
                <w:sz w:val="20"/>
              </w:rPr>
              <w:t>Management implementation</w:t>
            </w:r>
          </w:p>
        </w:tc>
        <w:tc>
          <w:tcPr>
            <w:tcW w:w="4410" w:type="dxa"/>
          </w:tcPr>
          <w:p w:rsidR="00815426" w:rsidRPr="000A3C73" w:rsidRDefault="00815426" w:rsidP="00815426">
            <w:pPr>
              <w:tabs>
                <w:tab w:val="left" w:pos="693"/>
              </w:tabs>
              <w:contextualSpacing/>
              <w:rPr>
                <w:rFonts w:asciiTheme="majorHAnsi" w:hAnsiTheme="majorHAnsi"/>
                <w:sz w:val="20"/>
              </w:rPr>
            </w:pPr>
            <w:r w:rsidRPr="000A3C73">
              <w:rPr>
                <w:rFonts w:asciiTheme="majorHAnsi" w:hAnsiTheme="majorHAnsi"/>
                <w:sz w:val="20"/>
              </w:rPr>
              <w:t>The inconsistent presence of senior staff for the transboundary component (which was also to drive an integrated overall project) made overall management more challenging than it should have been. The two national components were well-managed, but not adequately linked with the transboundary component from a management perspective.</w:t>
            </w:r>
          </w:p>
        </w:tc>
        <w:tc>
          <w:tcPr>
            <w:tcW w:w="900" w:type="dxa"/>
          </w:tcPr>
          <w:p w:rsidR="00815426" w:rsidRPr="000A3C73" w:rsidRDefault="00815426" w:rsidP="00815426">
            <w:pPr>
              <w:tabs>
                <w:tab w:val="left" w:pos="693"/>
              </w:tabs>
              <w:contextualSpacing/>
              <w:rPr>
                <w:rFonts w:asciiTheme="majorHAnsi" w:hAnsiTheme="majorHAnsi"/>
                <w:sz w:val="20"/>
              </w:rPr>
            </w:pPr>
            <w:r w:rsidRPr="000A3C73">
              <w:rPr>
                <w:rFonts w:asciiTheme="majorHAnsi" w:hAnsiTheme="majorHAnsi"/>
                <w:sz w:val="20"/>
              </w:rPr>
              <w:t>MS</w:t>
            </w:r>
          </w:p>
        </w:tc>
        <w:tc>
          <w:tcPr>
            <w:tcW w:w="540" w:type="dxa"/>
          </w:tcPr>
          <w:p w:rsidR="00815426" w:rsidRPr="000A3C73" w:rsidRDefault="00815426" w:rsidP="00815426">
            <w:pPr>
              <w:tabs>
                <w:tab w:val="left" w:pos="693"/>
              </w:tabs>
              <w:contextualSpacing/>
              <w:rPr>
                <w:rFonts w:asciiTheme="majorHAnsi" w:hAnsiTheme="majorHAnsi"/>
                <w:sz w:val="20"/>
              </w:rPr>
            </w:pPr>
            <w:r w:rsidRPr="000A3C73">
              <w:rPr>
                <w:rFonts w:asciiTheme="majorHAnsi" w:hAnsiTheme="majorHAnsi"/>
                <w:sz w:val="20"/>
              </w:rPr>
              <w:t>U</w:t>
            </w:r>
          </w:p>
        </w:tc>
        <w:tc>
          <w:tcPr>
            <w:tcW w:w="540" w:type="dxa"/>
          </w:tcPr>
          <w:p w:rsidR="00815426" w:rsidRPr="000A3C73" w:rsidRDefault="00815426" w:rsidP="00815426">
            <w:pPr>
              <w:tabs>
                <w:tab w:val="left" w:pos="693"/>
              </w:tabs>
              <w:contextualSpacing/>
              <w:rPr>
                <w:rFonts w:asciiTheme="majorHAnsi" w:hAnsiTheme="majorHAnsi"/>
                <w:sz w:val="20"/>
              </w:rPr>
            </w:pPr>
            <w:r w:rsidRPr="000A3C73">
              <w:rPr>
                <w:rFonts w:asciiTheme="majorHAnsi" w:hAnsiTheme="majorHAnsi"/>
                <w:sz w:val="20"/>
              </w:rPr>
              <w:t>S</w:t>
            </w:r>
          </w:p>
        </w:tc>
        <w:tc>
          <w:tcPr>
            <w:tcW w:w="540" w:type="dxa"/>
          </w:tcPr>
          <w:p w:rsidR="00815426" w:rsidRPr="000A3C73" w:rsidRDefault="00815426" w:rsidP="00815426">
            <w:pPr>
              <w:tabs>
                <w:tab w:val="left" w:pos="693"/>
              </w:tabs>
              <w:contextualSpacing/>
              <w:rPr>
                <w:rFonts w:asciiTheme="majorHAnsi" w:hAnsiTheme="majorHAnsi"/>
                <w:sz w:val="20"/>
              </w:rPr>
            </w:pPr>
            <w:r w:rsidRPr="000A3C73">
              <w:rPr>
                <w:rFonts w:asciiTheme="majorHAnsi" w:hAnsiTheme="majorHAnsi"/>
                <w:sz w:val="20"/>
              </w:rPr>
              <w:t>S</w:t>
            </w:r>
          </w:p>
        </w:tc>
      </w:tr>
      <w:tr w:rsidR="00815426" w:rsidRPr="000A3C73" w:rsidTr="00BF7BA0">
        <w:tc>
          <w:tcPr>
            <w:tcW w:w="3258" w:type="dxa"/>
          </w:tcPr>
          <w:p w:rsidR="00815426" w:rsidRPr="000A3C73" w:rsidRDefault="00815426" w:rsidP="00815426">
            <w:pPr>
              <w:contextualSpacing/>
              <w:jc w:val="right"/>
              <w:rPr>
                <w:rFonts w:asciiTheme="majorHAnsi" w:hAnsiTheme="majorHAnsi"/>
                <w:sz w:val="20"/>
              </w:rPr>
            </w:pPr>
            <w:r w:rsidRPr="000A3C73">
              <w:rPr>
                <w:rFonts w:asciiTheme="majorHAnsi" w:hAnsiTheme="majorHAnsi"/>
                <w:sz w:val="20"/>
              </w:rPr>
              <w:t>Use of the logical framework</w:t>
            </w:r>
          </w:p>
        </w:tc>
        <w:tc>
          <w:tcPr>
            <w:tcW w:w="441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Although the logframe had some shortcomings, the project management teams referenced the logframe and indicators to guide results.</w:t>
            </w:r>
          </w:p>
        </w:tc>
        <w:tc>
          <w:tcPr>
            <w:tcW w:w="90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S</w:t>
            </w:r>
          </w:p>
        </w:tc>
        <w:tc>
          <w:tcPr>
            <w:tcW w:w="54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S</w:t>
            </w:r>
          </w:p>
        </w:tc>
        <w:tc>
          <w:tcPr>
            <w:tcW w:w="54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S</w:t>
            </w:r>
          </w:p>
        </w:tc>
        <w:tc>
          <w:tcPr>
            <w:tcW w:w="54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S</w:t>
            </w:r>
          </w:p>
        </w:tc>
      </w:tr>
      <w:tr w:rsidR="00815426" w:rsidRPr="000A3C73" w:rsidTr="00BF7BA0">
        <w:tc>
          <w:tcPr>
            <w:tcW w:w="3258" w:type="dxa"/>
          </w:tcPr>
          <w:p w:rsidR="00815426" w:rsidRPr="000A3C73" w:rsidRDefault="00815426" w:rsidP="00815426">
            <w:pPr>
              <w:contextualSpacing/>
              <w:jc w:val="right"/>
              <w:rPr>
                <w:rFonts w:asciiTheme="majorHAnsi" w:hAnsiTheme="majorHAnsi"/>
                <w:sz w:val="20"/>
              </w:rPr>
            </w:pPr>
            <w:r w:rsidRPr="000A3C73">
              <w:rPr>
                <w:rFonts w:asciiTheme="majorHAnsi" w:hAnsiTheme="majorHAnsi"/>
                <w:sz w:val="20"/>
              </w:rPr>
              <w:t>Financial planning and management</w:t>
            </w:r>
          </w:p>
        </w:tc>
        <w:tc>
          <w:tcPr>
            <w:tcW w:w="441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 xml:space="preserve">There were no significant financial management issues during implementation. </w:t>
            </w:r>
          </w:p>
        </w:tc>
        <w:tc>
          <w:tcPr>
            <w:tcW w:w="90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S</w:t>
            </w:r>
          </w:p>
        </w:tc>
        <w:tc>
          <w:tcPr>
            <w:tcW w:w="54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S</w:t>
            </w:r>
          </w:p>
        </w:tc>
        <w:tc>
          <w:tcPr>
            <w:tcW w:w="54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S</w:t>
            </w:r>
          </w:p>
        </w:tc>
        <w:tc>
          <w:tcPr>
            <w:tcW w:w="54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S</w:t>
            </w:r>
          </w:p>
        </w:tc>
      </w:tr>
      <w:tr w:rsidR="00815426" w:rsidRPr="000A3C73" w:rsidTr="00BF7BA0">
        <w:tc>
          <w:tcPr>
            <w:tcW w:w="3258" w:type="dxa"/>
          </w:tcPr>
          <w:p w:rsidR="00815426" w:rsidRPr="000A3C73" w:rsidRDefault="00815426" w:rsidP="00815426">
            <w:pPr>
              <w:contextualSpacing/>
              <w:jc w:val="right"/>
              <w:rPr>
                <w:rFonts w:asciiTheme="majorHAnsi" w:hAnsiTheme="majorHAnsi"/>
                <w:sz w:val="20"/>
              </w:rPr>
            </w:pPr>
            <w:r w:rsidRPr="000A3C73">
              <w:rPr>
                <w:rFonts w:asciiTheme="majorHAnsi" w:hAnsiTheme="majorHAnsi"/>
                <w:sz w:val="20"/>
              </w:rPr>
              <w:t>Adaptive management</w:t>
            </w:r>
          </w:p>
        </w:tc>
        <w:tc>
          <w:tcPr>
            <w:tcW w:w="441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 xml:space="preserve">The national components were adaptively managed to respond to changing circumstances, as necessary. The challenges faced in the transboundary component management and implementation were not effectively addressed. </w:t>
            </w:r>
          </w:p>
        </w:tc>
        <w:tc>
          <w:tcPr>
            <w:tcW w:w="90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MS</w:t>
            </w:r>
          </w:p>
        </w:tc>
        <w:tc>
          <w:tcPr>
            <w:tcW w:w="54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MU</w:t>
            </w:r>
          </w:p>
        </w:tc>
        <w:tc>
          <w:tcPr>
            <w:tcW w:w="54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S</w:t>
            </w:r>
          </w:p>
        </w:tc>
        <w:tc>
          <w:tcPr>
            <w:tcW w:w="54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S</w:t>
            </w:r>
          </w:p>
        </w:tc>
      </w:tr>
      <w:tr w:rsidR="00815426" w:rsidRPr="000A3C73" w:rsidTr="00BF7BA0">
        <w:tc>
          <w:tcPr>
            <w:tcW w:w="3258" w:type="dxa"/>
          </w:tcPr>
          <w:p w:rsidR="00815426" w:rsidRPr="000A3C73" w:rsidRDefault="00815426" w:rsidP="00815426">
            <w:pPr>
              <w:contextualSpacing/>
              <w:jc w:val="right"/>
              <w:rPr>
                <w:rFonts w:asciiTheme="majorHAnsi" w:hAnsiTheme="majorHAnsi"/>
                <w:sz w:val="20"/>
              </w:rPr>
            </w:pPr>
            <w:r w:rsidRPr="000A3C73">
              <w:rPr>
                <w:rFonts w:asciiTheme="majorHAnsi" w:hAnsiTheme="majorHAnsi"/>
                <w:sz w:val="20"/>
              </w:rPr>
              <w:t>Use and establishment of information technologies</w:t>
            </w:r>
          </w:p>
        </w:tc>
        <w:tc>
          <w:tcPr>
            <w:tcW w:w="441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The project relied on the IW</w:t>
            </w:r>
            <w:r w:rsidR="00D163CA">
              <w:rPr>
                <w:rFonts w:asciiTheme="majorHAnsi" w:hAnsiTheme="majorHAnsi"/>
                <w:sz w:val="20"/>
              </w:rPr>
              <w:t>:</w:t>
            </w:r>
            <w:r w:rsidRPr="000A3C73">
              <w:rPr>
                <w:rFonts w:asciiTheme="majorHAnsi" w:hAnsiTheme="majorHAnsi"/>
                <w:sz w:val="20"/>
              </w:rPr>
              <w:t xml:space="preserve">Learn platform for an online presence, which appears to have not been adequate for communicating with all relevant stakeholders and establishing a unified trilateral identity. In all technical activities of the project appropriate information technologies were utilized. </w:t>
            </w:r>
          </w:p>
        </w:tc>
        <w:tc>
          <w:tcPr>
            <w:tcW w:w="90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MU</w:t>
            </w:r>
          </w:p>
        </w:tc>
        <w:tc>
          <w:tcPr>
            <w:tcW w:w="54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N/A</w:t>
            </w:r>
          </w:p>
        </w:tc>
        <w:tc>
          <w:tcPr>
            <w:tcW w:w="54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N/A</w:t>
            </w:r>
          </w:p>
        </w:tc>
        <w:tc>
          <w:tcPr>
            <w:tcW w:w="54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N/A</w:t>
            </w:r>
          </w:p>
        </w:tc>
      </w:tr>
      <w:tr w:rsidR="00815426" w:rsidRPr="000A3C73" w:rsidTr="00BF7BA0">
        <w:tc>
          <w:tcPr>
            <w:tcW w:w="3258" w:type="dxa"/>
          </w:tcPr>
          <w:p w:rsidR="00815426" w:rsidRPr="000A3C73" w:rsidRDefault="00815426" w:rsidP="00815426">
            <w:pPr>
              <w:contextualSpacing/>
              <w:jc w:val="right"/>
              <w:rPr>
                <w:rFonts w:asciiTheme="majorHAnsi" w:hAnsiTheme="majorHAnsi"/>
                <w:sz w:val="20"/>
              </w:rPr>
            </w:pPr>
            <w:r w:rsidRPr="000A3C73">
              <w:rPr>
                <w:rFonts w:asciiTheme="majorHAnsi" w:hAnsiTheme="majorHAnsi"/>
                <w:sz w:val="20"/>
              </w:rPr>
              <w:t>UNDP supervision and support</w:t>
            </w:r>
          </w:p>
        </w:tc>
        <w:tc>
          <w:tcPr>
            <w:tcW w:w="441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 xml:space="preserve">With respect to the national components, UNDP provided the necessary support and oversight. The issues encountered in the transboundary component were not adequately addressed, and UNDP must also bear some responsibility for the multiple flaws with the project design. </w:t>
            </w:r>
          </w:p>
        </w:tc>
        <w:tc>
          <w:tcPr>
            <w:tcW w:w="90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MS</w:t>
            </w:r>
          </w:p>
        </w:tc>
        <w:tc>
          <w:tcPr>
            <w:tcW w:w="54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MU</w:t>
            </w:r>
          </w:p>
        </w:tc>
        <w:tc>
          <w:tcPr>
            <w:tcW w:w="54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S</w:t>
            </w:r>
          </w:p>
        </w:tc>
        <w:tc>
          <w:tcPr>
            <w:tcW w:w="54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S</w:t>
            </w:r>
          </w:p>
        </w:tc>
      </w:tr>
      <w:tr w:rsidR="00815426" w:rsidRPr="000A3C73" w:rsidTr="00BF7BA0">
        <w:tc>
          <w:tcPr>
            <w:tcW w:w="3258" w:type="dxa"/>
          </w:tcPr>
          <w:p w:rsidR="00815426" w:rsidRPr="000A3C73" w:rsidRDefault="00815426" w:rsidP="00815426">
            <w:pPr>
              <w:contextualSpacing/>
              <w:jc w:val="right"/>
              <w:rPr>
                <w:rFonts w:asciiTheme="majorHAnsi" w:hAnsiTheme="majorHAnsi"/>
                <w:sz w:val="20"/>
              </w:rPr>
            </w:pPr>
            <w:r w:rsidRPr="000A3C73">
              <w:rPr>
                <w:rFonts w:asciiTheme="majorHAnsi" w:hAnsiTheme="majorHAnsi"/>
                <w:sz w:val="20"/>
              </w:rPr>
              <w:t>Operational relationships between the institutions involved</w:t>
            </w:r>
          </w:p>
        </w:tc>
        <w:tc>
          <w:tcPr>
            <w:tcW w:w="4410" w:type="dxa"/>
          </w:tcPr>
          <w:p w:rsidR="00815426" w:rsidRPr="000A3C73" w:rsidRDefault="00815426" w:rsidP="00AF0F74">
            <w:pPr>
              <w:contextualSpacing/>
              <w:rPr>
                <w:rFonts w:asciiTheme="majorHAnsi" w:hAnsiTheme="majorHAnsi"/>
                <w:sz w:val="20"/>
              </w:rPr>
            </w:pPr>
            <w:r w:rsidRPr="000A3C73">
              <w:rPr>
                <w:rFonts w:asciiTheme="majorHAnsi" w:hAnsiTheme="majorHAnsi"/>
                <w:sz w:val="20"/>
              </w:rPr>
              <w:t xml:space="preserve">There were multiple issues in the transboundary component and with the integration of the project as a whole. Within the national components, there was a good operational relationship with the municipality of Resen and national </w:t>
            </w:r>
            <w:r w:rsidR="00AF0F74" w:rsidRPr="000A3C73">
              <w:rPr>
                <w:rFonts w:asciiTheme="majorHAnsi" w:hAnsiTheme="majorHAnsi"/>
                <w:sz w:val="20"/>
              </w:rPr>
              <w:t>government institutions in MK. In AL, the project has worked well operationally with the main institutional partners</w:t>
            </w:r>
            <w:r w:rsidR="00FD5C90" w:rsidRPr="000A3C73">
              <w:rPr>
                <w:rFonts w:asciiTheme="majorHAnsi" w:hAnsiTheme="majorHAnsi"/>
                <w:sz w:val="20"/>
              </w:rPr>
              <w:t xml:space="preserve"> throughout implementation.</w:t>
            </w:r>
          </w:p>
        </w:tc>
        <w:tc>
          <w:tcPr>
            <w:tcW w:w="90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MU</w:t>
            </w:r>
          </w:p>
        </w:tc>
        <w:tc>
          <w:tcPr>
            <w:tcW w:w="54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U</w:t>
            </w:r>
          </w:p>
        </w:tc>
        <w:tc>
          <w:tcPr>
            <w:tcW w:w="54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S</w:t>
            </w:r>
          </w:p>
        </w:tc>
        <w:tc>
          <w:tcPr>
            <w:tcW w:w="540" w:type="dxa"/>
          </w:tcPr>
          <w:p w:rsidR="00815426" w:rsidRPr="000A3C73" w:rsidRDefault="00835A0C" w:rsidP="00FD5C90">
            <w:pPr>
              <w:contextualSpacing/>
              <w:rPr>
                <w:rFonts w:asciiTheme="majorHAnsi" w:hAnsiTheme="majorHAnsi"/>
                <w:sz w:val="20"/>
              </w:rPr>
            </w:pPr>
            <w:r w:rsidRPr="000A3C73">
              <w:rPr>
                <w:rFonts w:asciiTheme="majorHAnsi" w:hAnsiTheme="majorHAnsi"/>
                <w:sz w:val="20"/>
              </w:rPr>
              <w:t>S</w:t>
            </w:r>
          </w:p>
        </w:tc>
      </w:tr>
      <w:tr w:rsidR="00815426" w:rsidRPr="000A3C73" w:rsidTr="00BF7BA0">
        <w:tc>
          <w:tcPr>
            <w:tcW w:w="3258" w:type="dxa"/>
          </w:tcPr>
          <w:p w:rsidR="00815426" w:rsidRPr="000A3C73" w:rsidRDefault="00815426" w:rsidP="00815426">
            <w:pPr>
              <w:contextualSpacing/>
              <w:jc w:val="right"/>
              <w:rPr>
                <w:rFonts w:asciiTheme="majorHAnsi" w:hAnsiTheme="majorHAnsi"/>
                <w:sz w:val="20"/>
              </w:rPr>
            </w:pPr>
            <w:r w:rsidRPr="000A3C73">
              <w:rPr>
                <w:rFonts w:asciiTheme="majorHAnsi" w:hAnsiTheme="majorHAnsi"/>
                <w:sz w:val="20"/>
              </w:rPr>
              <w:t>Technical capacities</w:t>
            </w:r>
          </w:p>
        </w:tc>
        <w:tc>
          <w:tcPr>
            <w:tcW w:w="4410" w:type="dxa"/>
          </w:tcPr>
          <w:p w:rsidR="00815426" w:rsidRPr="000A3C73" w:rsidRDefault="00815426" w:rsidP="00AC3062">
            <w:pPr>
              <w:contextualSpacing/>
              <w:rPr>
                <w:rFonts w:asciiTheme="majorHAnsi" w:hAnsiTheme="majorHAnsi"/>
                <w:sz w:val="20"/>
              </w:rPr>
            </w:pPr>
            <w:r w:rsidRPr="000A3C73">
              <w:rPr>
                <w:rFonts w:asciiTheme="majorHAnsi" w:hAnsiTheme="majorHAnsi"/>
                <w:sz w:val="20"/>
              </w:rPr>
              <w:t xml:space="preserve">The technical aspects of the project </w:t>
            </w:r>
            <w:r w:rsidR="00AC3062" w:rsidRPr="000A3C73">
              <w:rPr>
                <w:rFonts w:asciiTheme="majorHAnsi" w:hAnsiTheme="majorHAnsi"/>
                <w:sz w:val="20"/>
              </w:rPr>
              <w:t>involved many of the best relevant technical experts in the region with respect to the issues addressed.</w:t>
            </w:r>
          </w:p>
        </w:tc>
        <w:tc>
          <w:tcPr>
            <w:tcW w:w="900" w:type="dxa"/>
          </w:tcPr>
          <w:p w:rsidR="00815426" w:rsidRPr="000A3C73" w:rsidRDefault="00AC3062" w:rsidP="00815426">
            <w:pPr>
              <w:contextualSpacing/>
              <w:rPr>
                <w:rFonts w:asciiTheme="majorHAnsi" w:hAnsiTheme="majorHAnsi"/>
                <w:sz w:val="20"/>
              </w:rPr>
            </w:pPr>
            <w:r w:rsidRPr="000A3C73">
              <w:rPr>
                <w:rFonts w:asciiTheme="majorHAnsi" w:hAnsiTheme="majorHAnsi"/>
                <w:sz w:val="20"/>
              </w:rPr>
              <w:t>H</w:t>
            </w:r>
            <w:r w:rsidR="00815426" w:rsidRPr="000A3C73">
              <w:rPr>
                <w:rFonts w:asciiTheme="majorHAnsi" w:hAnsiTheme="majorHAnsi"/>
                <w:sz w:val="20"/>
              </w:rPr>
              <w:t>S</w:t>
            </w:r>
          </w:p>
        </w:tc>
        <w:tc>
          <w:tcPr>
            <w:tcW w:w="540" w:type="dxa"/>
          </w:tcPr>
          <w:p w:rsidR="00815426" w:rsidRPr="000A3C73" w:rsidRDefault="00AC3062" w:rsidP="00815426">
            <w:pPr>
              <w:contextualSpacing/>
              <w:rPr>
                <w:rFonts w:asciiTheme="majorHAnsi" w:hAnsiTheme="majorHAnsi"/>
                <w:sz w:val="20"/>
              </w:rPr>
            </w:pPr>
            <w:r w:rsidRPr="000A3C73">
              <w:rPr>
                <w:rFonts w:asciiTheme="majorHAnsi" w:hAnsiTheme="majorHAnsi"/>
                <w:sz w:val="20"/>
              </w:rPr>
              <w:t>HS</w:t>
            </w:r>
          </w:p>
        </w:tc>
        <w:tc>
          <w:tcPr>
            <w:tcW w:w="540" w:type="dxa"/>
          </w:tcPr>
          <w:p w:rsidR="00815426" w:rsidRPr="000A3C73" w:rsidRDefault="00AC3062" w:rsidP="00815426">
            <w:pPr>
              <w:contextualSpacing/>
              <w:rPr>
                <w:rFonts w:asciiTheme="majorHAnsi" w:hAnsiTheme="majorHAnsi"/>
                <w:sz w:val="20"/>
              </w:rPr>
            </w:pPr>
            <w:r w:rsidRPr="000A3C73">
              <w:rPr>
                <w:rFonts w:asciiTheme="majorHAnsi" w:hAnsiTheme="majorHAnsi"/>
                <w:sz w:val="20"/>
              </w:rPr>
              <w:t>HS</w:t>
            </w:r>
          </w:p>
        </w:tc>
        <w:tc>
          <w:tcPr>
            <w:tcW w:w="540" w:type="dxa"/>
          </w:tcPr>
          <w:p w:rsidR="00815426" w:rsidRPr="000A3C73" w:rsidRDefault="00AC3062" w:rsidP="00815426">
            <w:pPr>
              <w:contextualSpacing/>
              <w:rPr>
                <w:rFonts w:asciiTheme="majorHAnsi" w:hAnsiTheme="majorHAnsi"/>
                <w:sz w:val="20"/>
              </w:rPr>
            </w:pPr>
            <w:r w:rsidRPr="000A3C73">
              <w:rPr>
                <w:rFonts w:asciiTheme="majorHAnsi" w:hAnsiTheme="majorHAnsi"/>
                <w:sz w:val="20"/>
              </w:rPr>
              <w:t>HS</w:t>
            </w:r>
          </w:p>
        </w:tc>
      </w:tr>
      <w:tr w:rsidR="00815426" w:rsidRPr="000A3C73" w:rsidTr="00BF7BA0">
        <w:tc>
          <w:tcPr>
            <w:tcW w:w="3258" w:type="dxa"/>
          </w:tcPr>
          <w:p w:rsidR="00815426" w:rsidRPr="000A3C73" w:rsidRDefault="00815426" w:rsidP="00815426">
            <w:pPr>
              <w:contextualSpacing/>
              <w:rPr>
                <w:rFonts w:asciiTheme="majorHAnsi" w:hAnsiTheme="majorHAnsi"/>
                <w:b/>
                <w:sz w:val="20"/>
              </w:rPr>
            </w:pPr>
            <w:r w:rsidRPr="000A3C73">
              <w:rPr>
                <w:rFonts w:asciiTheme="majorHAnsi" w:hAnsiTheme="majorHAnsi"/>
                <w:b/>
                <w:sz w:val="20"/>
              </w:rPr>
              <w:t>Monitoring and Evaluation Overall Quality</w:t>
            </w:r>
          </w:p>
        </w:tc>
        <w:tc>
          <w:tcPr>
            <w:tcW w:w="441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 xml:space="preserve">Based on the three below criteria. </w:t>
            </w:r>
          </w:p>
        </w:tc>
        <w:tc>
          <w:tcPr>
            <w:tcW w:w="90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MS</w:t>
            </w:r>
          </w:p>
        </w:tc>
        <w:tc>
          <w:tcPr>
            <w:tcW w:w="54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N/A</w:t>
            </w:r>
          </w:p>
        </w:tc>
        <w:tc>
          <w:tcPr>
            <w:tcW w:w="54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N/A</w:t>
            </w:r>
          </w:p>
        </w:tc>
        <w:tc>
          <w:tcPr>
            <w:tcW w:w="54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N/A</w:t>
            </w:r>
          </w:p>
        </w:tc>
      </w:tr>
      <w:tr w:rsidR="00815426" w:rsidRPr="000A3C73" w:rsidTr="00BF7BA0">
        <w:tc>
          <w:tcPr>
            <w:tcW w:w="3258" w:type="dxa"/>
          </w:tcPr>
          <w:p w:rsidR="00815426" w:rsidRPr="000A3C73" w:rsidRDefault="00815426" w:rsidP="00815426">
            <w:pPr>
              <w:contextualSpacing/>
              <w:jc w:val="right"/>
              <w:rPr>
                <w:rFonts w:asciiTheme="majorHAnsi" w:hAnsiTheme="majorHAnsi"/>
                <w:sz w:val="20"/>
              </w:rPr>
            </w:pPr>
            <w:r w:rsidRPr="000A3C73">
              <w:rPr>
                <w:rFonts w:asciiTheme="majorHAnsi" w:hAnsiTheme="majorHAnsi"/>
                <w:sz w:val="20"/>
              </w:rPr>
              <w:t>M&amp;E design</w:t>
            </w:r>
          </w:p>
        </w:tc>
        <w:tc>
          <w:tcPr>
            <w:tcW w:w="441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 xml:space="preserve">The M&amp;E aspects of the overall project did not adequately support an integrated approach between the three components, and the project logframe was not adequately designed. </w:t>
            </w:r>
          </w:p>
        </w:tc>
        <w:tc>
          <w:tcPr>
            <w:tcW w:w="90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MU</w:t>
            </w:r>
          </w:p>
        </w:tc>
        <w:tc>
          <w:tcPr>
            <w:tcW w:w="54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N/A</w:t>
            </w:r>
          </w:p>
        </w:tc>
        <w:tc>
          <w:tcPr>
            <w:tcW w:w="54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N/A</w:t>
            </w:r>
          </w:p>
        </w:tc>
        <w:tc>
          <w:tcPr>
            <w:tcW w:w="54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N/A</w:t>
            </w:r>
          </w:p>
        </w:tc>
      </w:tr>
      <w:tr w:rsidR="00815426" w:rsidRPr="000A3C73" w:rsidTr="00BF7BA0">
        <w:tc>
          <w:tcPr>
            <w:tcW w:w="3258" w:type="dxa"/>
          </w:tcPr>
          <w:p w:rsidR="00815426" w:rsidRPr="000A3C73" w:rsidRDefault="00815426" w:rsidP="00815426">
            <w:pPr>
              <w:contextualSpacing/>
              <w:jc w:val="right"/>
              <w:rPr>
                <w:rFonts w:asciiTheme="majorHAnsi" w:hAnsiTheme="majorHAnsi"/>
                <w:sz w:val="20"/>
              </w:rPr>
            </w:pPr>
            <w:r w:rsidRPr="000A3C73">
              <w:rPr>
                <w:rFonts w:asciiTheme="majorHAnsi" w:hAnsiTheme="majorHAnsi"/>
                <w:sz w:val="20"/>
              </w:rPr>
              <w:t>M&amp;E plan implementation</w:t>
            </w:r>
          </w:p>
        </w:tc>
        <w:tc>
          <w:tcPr>
            <w:tcW w:w="441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 xml:space="preserve">The elements of the M&amp;E plan were implemented to at least meet UNDP and GEF minimum standards for M&amp;E. </w:t>
            </w:r>
          </w:p>
        </w:tc>
        <w:tc>
          <w:tcPr>
            <w:tcW w:w="90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S</w:t>
            </w:r>
          </w:p>
        </w:tc>
        <w:tc>
          <w:tcPr>
            <w:tcW w:w="54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S</w:t>
            </w:r>
          </w:p>
        </w:tc>
        <w:tc>
          <w:tcPr>
            <w:tcW w:w="54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S</w:t>
            </w:r>
          </w:p>
        </w:tc>
        <w:tc>
          <w:tcPr>
            <w:tcW w:w="54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S</w:t>
            </w:r>
          </w:p>
        </w:tc>
      </w:tr>
      <w:tr w:rsidR="00815426" w:rsidRPr="000A3C73" w:rsidTr="00BF7BA0">
        <w:tc>
          <w:tcPr>
            <w:tcW w:w="3258" w:type="dxa"/>
          </w:tcPr>
          <w:p w:rsidR="00815426" w:rsidRPr="000A3C73" w:rsidRDefault="00815426" w:rsidP="00815426">
            <w:pPr>
              <w:contextualSpacing/>
              <w:jc w:val="right"/>
              <w:rPr>
                <w:rFonts w:asciiTheme="majorHAnsi" w:hAnsiTheme="majorHAnsi"/>
                <w:sz w:val="20"/>
              </w:rPr>
            </w:pPr>
            <w:r w:rsidRPr="000A3C73">
              <w:rPr>
                <w:rFonts w:asciiTheme="majorHAnsi" w:hAnsiTheme="majorHAnsi"/>
                <w:sz w:val="20"/>
              </w:rPr>
              <w:t>M&amp;E budgeting</w:t>
            </w:r>
          </w:p>
        </w:tc>
        <w:tc>
          <w:tcPr>
            <w:tcW w:w="441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 xml:space="preserve">The budget planned for M&amp;E activities was adequate for a project of this size. </w:t>
            </w:r>
          </w:p>
        </w:tc>
        <w:tc>
          <w:tcPr>
            <w:tcW w:w="90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S</w:t>
            </w:r>
          </w:p>
        </w:tc>
        <w:tc>
          <w:tcPr>
            <w:tcW w:w="54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S</w:t>
            </w:r>
          </w:p>
        </w:tc>
        <w:tc>
          <w:tcPr>
            <w:tcW w:w="54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S</w:t>
            </w:r>
          </w:p>
        </w:tc>
        <w:tc>
          <w:tcPr>
            <w:tcW w:w="540" w:type="dxa"/>
          </w:tcPr>
          <w:p w:rsidR="00815426" w:rsidRPr="000A3C73" w:rsidRDefault="00815426" w:rsidP="00815426">
            <w:pPr>
              <w:contextualSpacing/>
              <w:rPr>
                <w:rFonts w:asciiTheme="majorHAnsi" w:hAnsiTheme="majorHAnsi"/>
                <w:sz w:val="20"/>
              </w:rPr>
            </w:pPr>
            <w:r w:rsidRPr="000A3C73">
              <w:rPr>
                <w:rFonts w:asciiTheme="majorHAnsi" w:hAnsiTheme="majorHAnsi"/>
                <w:sz w:val="20"/>
              </w:rPr>
              <w:t>S</w:t>
            </w:r>
          </w:p>
        </w:tc>
      </w:tr>
      <w:tr w:rsidR="005D0418" w:rsidRPr="000A3C73" w:rsidTr="00BF7BA0">
        <w:tc>
          <w:tcPr>
            <w:tcW w:w="3258" w:type="dxa"/>
          </w:tcPr>
          <w:p w:rsidR="005D0418" w:rsidRPr="000A3C73" w:rsidRDefault="005D0418" w:rsidP="005D0418">
            <w:pPr>
              <w:contextualSpacing/>
              <w:rPr>
                <w:rFonts w:asciiTheme="majorHAnsi" w:hAnsiTheme="majorHAnsi"/>
                <w:b/>
                <w:sz w:val="20"/>
              </w:rPr>
            </w:pPr>
            <w:r w:rsidRPr="000A3C73">
              <w:rPr>
                <w:rFonts w:asciiTheme="majorHAnsi" w:hAnsiTheme="majorHAnsi"/>
                <w:b/>
                <w:sz w:val="20"/>
              </w:rPr>
              <w:t>Stakeholder Participation</w:t>
            </w:r>
          </w:p>
        </w:tc>
        <w:tc>
          <w:tcPr>
            <w:tcW w:w="441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 xml:space="preserve">Based on the below criteria. </w:t>
            </w:r>
          </w:p>
        </w:tc>
        <w:tc>
          <w:tcPr>
            <w:tcW w:w="90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MS</w:t>
            </w:r>
          </w:p>
        </w:tc>
        <w:tc>
          <w:tcPr>
            <w:tcW w:w="54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MU</w:t>
            </w:r>
          </w:p>
        </w:tc>
        <w:tc>
          <w:tcPr>
            <w:tcW w:w="54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HS</w:t>
            </w:r>
          </w:p>
        </w:tc>
        <w:tc>
          <w:tcPr>
            <w:tcW w:w="54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S</w:t>
            </w:r>
          </w:p>
        </w:tc>
      </w:tr>
      <w:tr w:rsidR="005D0418" w:rsidRPr="000A3C73" w:rsidTr="00BF7BA0">
        <w:tc>
          <w:tcPr>
            <w:tcW w:w="3258" w:type="dxa"/>
          </w:tcPr>
          <w:p w:rsidR="005D0418" w:rsidRPr="000A3C73" w:rsidRDefault="005D0418" w:rsidP="005D0418">
            <w:pPr>
              <w:contextualSpacing/>
              <w:jc w:val="right"/>
              <w:rPr>
                <w:rFonts w:asciiTheme="majorHAnsi" w:hAnsiTheme="majorHAnsi"/>
                <w:sz w:val="20"/>
              </w:rPr>
            </w:pPr>
            <w:r w:rsidRPr="000A3C73">
              <w:rPr>
                <w:rFonts w:asciiTheme="majorHAnsi" w:hAnsiTheme="majorHAnsi"/>
                <w:sz w:val="20"/>
              </w:rPr>
              <w:t>Production and dissemination of information</w:t>
            </w:r>
          </w:p>
        </w:tc>
        <w:tc>
          <w:tcPr>
            <w:tcW w:w="441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 xml:space="preserve">The communications program and the natural capital resource center are highlights of the project’s work in MK. In AL the project produced relevant and necessary materials to support the project objective. Production and dissemination of information for the transboundary component would have been aided by a strong web presence to support tri-lateral information sharing. </w:t>
            </w:r>
          </w:p>
        </w:tc>
        <w:tc>
          <w:tcPr>
            <w:tcW w:w="90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S</w:t>
            </w:r>
          </w:p>
        </w:tc>
        <w:tc>
          <w:tcPr>
            <w:tcW w:w="54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MS</w:t>
            </w:r>
          </w:p>
        </w:tc>
        <w:tc>
          <w:tcPr>
            <w:tcW w:w="54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HS</w:t>
            </w:r>
          </w:p>
        </w:tc>
        <w:tc>
          <w:tcPr>
            <w:tcW w:w="54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S</w:t>
            </w:r>
          </w:p>
        </w:tc>
      </w:tr>
      <w:tr w:rsidR="005D0418" w:rsidRPr="000A3C73" w:rsidTr="00BF7BA0">
        <w:tc>
          <w:tcPr>
            <w:tcW w:w="3258" w:type="dxa"/>
          </w:tcPr>
          <w:p w:rsidR="005D0418" w:rsidRPr="000A3C73" w:rsidRDefault="005D0418" w:rsidP="005D0418">
            <w:pPr>
              <w:contextualSpacing/>
              <w:jc w:val="right"/>
              <w:rPr>
                <w:rFonts w:asciiTheme="majorHAnsi" w:hAnsiTheme="majorHAnsi"/>
                <w:sz w:val="20"/>
              </w:rPr>
            </w:pPr>
            <w:r w:rsidRPr="000A3C73">
              <w:rPr>
                <w:rFonts w:asciiTheme="majorHAnsi" w:hAnsiTheme="majorHAnsi"/>
                <w:sz w:val="20"/>
              </w:rPr>
              <w:t>Local resource users and civil society participation</w:t>
            </w:r>
          </w:p>
        </w:tc>
        <w:tc>
          <w:tcPr>
            <w:tcW w:w="441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 xml:space="preserve">Engagement of local resource users and participation of community-based civil society organizations were highlights of both the MK and AL components. The transboundary component had some participation of local resource users and civil society (especially in Greece), but this could have been strengthened with a more decentralized, bottom-up approach to development of the SAP. </w:t>
            </w:r>
          </w:p>
        </w:tc>
        <w:tc>
          <w:tcPr>
            <w:tcW w:w="90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S</w:t>
            </w:r>
          </w:p>
        </w:tc>
        <w:tc>
          <w:tcPr>
            <w:tcW w:w="54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MS</w:t>
            </w:r>
          </w:p>
        </w:tc>
        <w:tc>
          <w:tcPr>
            <w:tcW w:w="54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HS</w:t>
            </w:r>
          </w:p>
        </w:tc>
        <w:tc>
          <w:tcPr>
            <w:tcW w:w="54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HS</w:t>
            </w:r>
          </w:p>
        </w:tc>
      </w:tr>
      <w:tr w:rsidR="005D0418" w:rsidRPr="000A3C73" w:rsidTr="00BF7BA0">
        <w:tc>
          <w:tcPr>
            <w:tcW w:w="3258" w:type="dxa"/>
          </w:tcPr>
          <w:p w:rsidR="005D0418" w:rsidRPr="000A3C73" w:rsidRDefault="005D0418" w:rsidP="005D0418">
            <w:pPr>
              <w:contextualSpacing/>
              <w:jc w:val="right"/>
              <w:rPr>
                <w:rFonts w:asciiTheme="majorHAnsi" w:hAnsiTheme="majorHAnsi"/>
                <w:sz w:val="20"/>
              </w:rPr>
            </w:pPr>
            <w:r w:rsidRPr="000A3C73">
              <w:rPr>
                <w:rFonts w:asciiTheme="majorHAnsi" w:hAnsiTheme="majorHAnsi"/>
                <w:sz w:val="20"/>
              </w:rPr>
              <w:t>Establishment of partnerships</w:t>
            </w:r>
          </w:p>
        </w:tc>
        <w:tc>
          <w:tcPr>
            <w:tcW w:w="441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 xml:space="preserve">The transboundary component developed networks among technical professionals, strongly benefited from the partnership with the Tour du Valat biological station, and generated some positive local level tri-lateral initiatives (e.g. tourism strategy) but the fact that the tri-lateral coordination mechanism is not active is an indication that the necessary partnerships for transboundary IEM have not developed. In the MK component, the project’s partnership with the municipality of Resen is a good practice example, and sustainability is enhanced through partnerships with SDC. In the AL component, the envisioned partnership with KfW did not materialize (through no fault of the project implementers), but otherwise appropriate time and energy was invested to develop the local partnerships necessary to achieve the project outcomes. </w:t>
            </w:r>
          </w:p>
        </w:tc>
        <w:tc>
          <w:tcPr>
            <w:tcW w:w="90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MS</w:t>
            </w:r>
          </w:p>
        </w:tc>
        <w:tc>
          <w:tcPr>
            <w:tcW w:w="54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MU</w:t>
            </w:r>
          </w:p>
        </w:tc>
        <w:tc>
          <w:tcPr>
            <w:tcW w:w="54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HS</w:t>
            </w:r>
          </w:p>
        </w:tc>
        <w:tc>
          <w:tcPr>
            <w:tcW w:w="54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S</w:t>
            </w:r>
          </w:p>
        </w:tc>
      </w:tr>
      <w:tr w:rsidR="005D0418" w:rsidRPr="000A3C73" w:rsidTr="00BF7BA0">
        <w:tc>
          <w:tcPr>
            <w:tcW w:w="3258" w:type="dxa"/>
          </w:tcPr>
          <w:p w:rsidR="005D0418" w:rsidRPr="000A3C73" w:rsidRDefault="005D0418" w:rsidP="005D0418">
            <w:pPr>
              <w:contextualSpacing/>
              <w:jc w:val="right"/>
              <w:rPr>
                <w:rFonts w:asciiTheme="majorHAnsi" w:hAnsiTheme="majorHAnsi"/>
                <w:sz w:val="20"/>
              </w:rPr>
            </w:pPr>
            <w:r w:rsidRPr="000A3C73">
              <w:rPr>
                <w:rFonts w:asciiTheme="majorHAnsi" w:hAnsiTheme="majorHAnsi"/>
                <w:sz w:val="20"/>
              </w:rPr>
              <w:t>Involvement and support of governmental institutions</w:t>
            </w:r>
          </w:p>
        </w:tc>
        <w:tc>
          <w:tcPr>
            <w:tcW w:w="441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There is still inadequate political will and ownership to carry the transboundary aspect forward. In the MK component there was good involvement and support from the relevant government institutions at the local and national levels, and including technical bodies. On the AL side there has been good involvement from technical institutions, while political support from government institutions at the local and national level has varied. For the transboundary component support from central government institutions varied between countries and over time</w:t>
            </w:r>
            <w:r w:rsidR="008F4300" w:rsidRPr="000A3C73">
              <w:rPr>
                <w:rFonts w:asciiTheme="majorHAnsi" w:hAnsiTheme="majorHAnsi"/>
                <w:sz w:val="20"/>
              </w:rPr>
              <w:t>, and the failure to so far implement the 2010 agreement is the primary indicator of the current low support.</w:t>
            </w:r>
          </w:p>
        </w:tc>
        <w:tc>
          <w:tcPr>
            <w:tcW w:w="90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MU</w:t>
            </w:r>
          </w:p>
        </w:tc>
        <w:tc>
          <w:tcPr>
            <w:tcW w:w="54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U</w:t>
            </w:r>
          </w:p>
        </w:tc>
        <w:tc>
          <w:tcPr>
            <w:tcW w:w="54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S</w:t>
            </w:r>
          </w:p>
        </w:tc>
        <w:tc>
          <w:tcPr>
            <w:tcW w:w="54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MS</w:t>
            </w:r>
          </w:p>
        </w:tc>
      </w:tr>
      <w:tr w:rsidR="005D0418" w:rsidRPr="000A3C73" w:rsidTr="00BF7BA0">
        <w:tc>
          <w:tcPr>
            <w:tcW w:w="3258" w:type="dxa"/>
            <w:shd w:val="clear" w:color="auto" w:fill="BFBFBF"/>
          </w:tcPr>
          <w:p w:rsidR="005D0418" w:rsidRPr="000A3C73" w:rsidRDefault="005D0418" w:rsidP="005D0418">
            <w:pPr>
              <w:contextualSpacing/>
              <w:rPr>
                <w:rFonts w:asciiTheme="majorHAnsi" w:hAnsiTheme="majorHAnsi"/>
                <w:b/>
                <w:sz w:val="20"/>
              </w:rPr>
            </w:pPr>
            <w:r w:rsidRPr="000A3C73">
              <w:rPr>
                <w:rFonts w:asciiTheme="majorHAnsi" w:hAnsiTheme="majorHAnsi"/>
                <w:b/>
                <w:sz w:val="20"/>
              </w:rPr>
              <w:t>Project Results</w:t>
            </w:r>
          </w:p>
        </w:tc>
        <w:tc>
          <w:tcPr>
            <w:tcW w:w="4410" w:type="dxa"/>
            <w:shd w:val="clear" w:color="auto" w:fill="BFBFBF"/>
          </w:tcPr>
          <w:p w:rsidR="005D0418" w:rsidRPr="000A3C73" w:rsidRDefault="005D0418" w:rsidP="005D0418">
            <w:pPr>
              <w:contextualSpacing/>
              <w:rPr>
                <w:rFonts w:asciiTheme="majorHAnsi" w:hAnsiTheme="majorHAnsi"/>
                <w:b/>
                <w:sz w:val="20"/>
              </w:rPr>
            </w:pPr>
          </w:p>
        </w:tc>
        <w:tc>
          <w:tcPr>
            <w:tcW w:w="900" w:type="dxa"/>
            <w:shd w:val="clear" w:color="auto" w:fill="BFBFBF"/>
          </w:tcPr>
          <w:p w:rsidR="005D0418" w:rsidRPr="000A3C73" w:rsidRDefault="005D0418" w:rsidP="005D0418">
            <w:pPr>
              <w:contextualSpacing/>
              <w:rPr>
                <w:rFonts w:asciiTheme="majorHAnsi" w:hAnsiTheme="majorHAnsi"/>
                <w:b/>
                <w:sz w:val="20"/>
              </w:rPr>
            </w:pPr>
          </w:p>
        </w:tc>
        <w:tc>
          <w:tcPr>
            <w:tcW w:w="540" w:type="dxa"/>
            <w:shd w:val="clear" w:color="auto" w:fill="BFBFBF"/>
          </w:tcPr>
          <w:p w:rsidR="005D0418" w:rsidRPr="000A3C73" w:rsidRDefault="005D0418" w:rsidP="005D0418">
            <w:pPr>
              <w:contextualSpacing/>
              <w:rPr>
                <w:rFonts w:asciiTheme="majorHAnsi" w:hAnsiTheme="majorHAnsi"/>
                <w:b/>
                <w:sz w:val="20"/>
              </w:rPr>
            </w:pPr>
          </w:p>
        </w:tc>
        <w:tc>
          <w:tcPr>
            <w:tcW w:w="540" w:type="dxa"/>
            <w:shd w:val="clear" w:color="auto" w:fill="BFBFBF"/>
          </w:tcPr>
          <w:p w:rsidR="005D0418" w:rsidRPr="000A3C73" w:rsidRDefault="005D0418" w:rsidP="005D0418">
            <w:pPr>
              <w:contextualSpacing/>
              <w:rPr>
                <w:rFonts w:asciiTheme="majorHAnsi" w:hAnsiTheme="majorHAnsi"/>
                <w:b/>
                <w:sz w:val="20"/>
              </w:rPr>
            </w:pPr>
          </w:p>
        </w:tc>
        <w:tc>
          <w:tcPr>
            <w:tcW w:w="540" w:type="dxa"/>
            <w:shd w:val="clear" w:color="auto" w:fill="BFBFBF"/>
          </w:tcPr>
          <w:p w:rsidR="005D0418" w:rsidRPr="000A3C73" w:rsidRDefault="005D0418" w:rsidP="005D0418">
            <w:pPr>
              <w:contextualSpacing/>
              <w:rPr>
                <w:rFonts w:asciiTheme="majorHAnsi" w:hAnsiTheme="majorHAnsi"/>
                <w:b/>
                <w:sz w:val="20"/>
              </w:rPr>
            </w:pPr>
          </w:p>
        </w:tc>
      </w:tr>
      <w:tr w:rsidR="005D0418" w:rsidRPr="000A3C73" w:rsidTr="00BF7BA0">
        <w:tc>
          <w:tcPr>
            <w:tcW w:w="3258" w:type="dxa"/>
          </w:tcPr>
          <w:p w:rsidR="005D0418" w:rsidRPr="000A3C73" w:rsidRDefault="005D0418" w:rsidP="005D0418">
            <w:pPr>
              <w:contextualSpacing/>
              <w:rPr>
                <w:rFonts w:asciiTheme="majorHAnsi" w:hAnsiTheme="majorHAnsi"/>
                <w:b/>
                <w:sz w:val="20"/>
              </w:rPr>
            </w:pPr>
            <w:r w:rsidRPr="000A3C73">
              <w:rPr>
                <w:rFonts w:asciiTheme="majorHAnsi" w:hAnsiTheme="majorHAnsi"/>
                <w:b/>
                <w:sz w:val="20"/>
              </w:rPr>
              <w:t>Overall Achievement of Objective and Outcomes (Effectiveness)</w:t>
            </w:r>
          </w:p>
        </w:tc>
        <w:tc>
          <w:tcPr>
            <w:tcW w:w="441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 xml:space="preserve">Although the overall objective is not yet achieved (which is highly dependent on the transboundary aspect), under each of the project components broad and significant results were produced to support the achievement of the expected outcomes. </w:t>
            </w:r>
          </w:p>
        </w:tc>
        <w:tc>
          <w:tcPr>
            <w:tcW w:w="90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MS</w:t>
            </w:r>
          </w:p>
        </w:tc>
        <w:tc>
          <w:tcPr>
            <w:tcW w:w="54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MU</w:t>
            </w:r>
          </w:p>
        </w:tc>
        <w:tc>
          <w:tcPr>
            <w:tcW w:w="54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S</w:t>
            </w:r>
          </w:p>
        </w:tc>
        <w:tc>
          <w:tcPr>
            <w:tcW w:w="54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S</w:t>
            </w:r>
          </w:p>
        </w:tc>
      </w:tr>
      <w:tr w:rsidR="005D0418" w:rsidRPr="000A3C73" w:rsidTr="00BF7BA0">
        <w:tc>
          <w:tcPr>
            <w:tcW w:w="3258" w:type="dxa"/>
          </w:tcPr>
          <w:p w:rsidR="005D0418" w:rsidRPr="000A3C73" w:rsidRDefault="005D0418" w:rsidP="005D0418">
            <w:pPr>
              <w:pStyle w:val="BodyText"/>
              <w:numPr>
                <w:ilvl w:val="0"/>
                <w:numId w:val="0"/>
              </w:numPr>
              <w:spacing w:after="0"/>
              <w:contextualSpacing/>
              <w:jc w:val="right"/>
              <w:rPr>
                <w:rFonts w:asciiTheme="majorHAnsi" w:hAnsiTheme="majorHAnsi"/>
                <w:sz w:val="20"/>
              </w:rPr>
            </w:pPr>
            <w:r w:rsidRPr="000A3C73">
              <w:rPr>
                <w:rFonts w:asciiTheme="majorHAnsi" w:hAnsiTheme="majorHAnsi"/>
                <w:b/>
                <w:sz w:val="20"/>
              </w:rPr>
              <w:t>Objective</w:t>
            </w:r>
            <w:r w:rsidRPr="000A3C73">
              <w:rPr>
                <w:rFonts w:asciiTheme="majorHAnsi" w:hAnsiTheme="majorHAnsi"/>
                <w:sz w:val="20"/>
              </w:rPr>
              <w:t xml:space="preserve">: To catalyse the adoption of integrated ecosystem management (IEM) in the trans-boundary Prespa Lakes Basin of FYR-Macedonia, Albania, and Greece to conserve globally significant biodiversity, mitigate pollution of the trans-boundary lakes, and provide a sustainable basis for the Basin’s further social and economic development.   </w:t>
            </w:r>
          </w:p>
        </w:tc>
        <w:tc>
          <w:tcPr>
            <w:tcW w:w="441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 xml:space="preserve">The overall project objective is strongly tied to the transboundary component, which speaks to the primary justification of the project as a regional, tri-lateral project rather than separate national activities. Significant and notable foundational work has been carried out by the project to support transboundary integrated ecosystem management, with the 2010 agreement standing as a critical achievement. In addition, within the national Prespa boundaries of AL and MK the project has been successful in initiating the adoption of IEM approaches. However, the current lack of functioning of a transboundary coordination mechanism (there is less transboundary activity at present than there was at the beginning of the project) and unclear sustainability of multiple elements of the transboundary work (i.e. species conservation plans, monitoring system, water management) makes achievement of the objective uncertain. This burden is borne more by the three governments than by “the project”, and until there is again strong national political will to implement transboundary IEM in the Prespa region, the path forward is ambiguous. There is strong interest for coordination among local level stakeholders, which may be the primary hope for the future, but there is not yet effective transboundary IEM at this level either. </w:t>
            </w:r>
          </w:p>
        </w:tc>
        <w:tc>
          <w:tcPr>
            <w:tcW w:w="90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MU</w:t>
            </w:r>
          </w:p>
        </w:tc>
        <w:tc>
          <w:tcPr>
            <w:tcW w:w="54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MU</w:t>
            </w:r>
          </w:p>
        </w:tc>
        <w:tc>
          <w:tcPr>
            <w:tcW w:w="54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S</w:t>
            </w:r>
          </w:p>
        </w:tc>
        <w:tc>
          <w:tcPr>
            <w:tcW w:w="54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S</w:t>
            </w:r>
          </w:p>
        </w:tc>
      </w:tr>
      <w:tr w:rsidR="005D0418" w:rsidRPr="000A3C73" w:rsidTr="00BF7BA0">
        <w:tc>
          <w:tcPr>
            <w:tcW w:w="3258" w:type="dxa"/>
          </w:tcPr>
          <w:p w:rsidR="005D0418" w:rsidRPr="00FC657B" w:rsidRDefault="005D0418" w:rsidP="005D0418">
            <w:pPr>
              <w:pStyle w:val="BodyText"/>
              <w:numPr>
                <w:ilvl w:val="0"/>
                <w:numId w:val="0"/>
              </w:numPr>
              <w:spacing w:after="0"/>
              <w:contextualSpacing/>
              <w:jc w:val="right"/>
              <w:rPr>
                <w:rFonts w:asciiTheme="majorHAnsi" w:hAnsiTheme="majorHAnsi"/>
                <w:sz w:val="20"/>
              </w:rPr>
            </w:pPr>
            <w:r w:rsidRPr="000A3C73">
              <w:rPr>
                <w:rFonts w:asciiTheme="majorHAnsi" w:hAnsiTheme="majorHAnsi"/>
                <w:b/>
                <w:sz w:val="20"/>
              </w:rPr>
              <w:t>Outcome 1:</w:t>
            </w:r>
            <w:r w:rsidRPr="0089284E">
              <w:rPr>
                <w:rFonts w:asciiTheme="majorHAnsi" w:hAnsiTheme="majorHAnsi"/>
                <w:bCs/>
                <w:sz w:val="20"/>
              </w:rPr>
              <w:t>Stakeholders strengthen legal and regulatory enabling environment and establish land and water use management basis for maintaining and restoring ecosystem health in the Prespa Lakes Basin</w:t>
            </w:r>
          </w:p>
        </w:tc>
        <w:tc>
          <w:tcPr>
            <w:tcW w:w="4410" w:type="dxa"/>
          </w:tcPr>
          <w:p w:rsidR="005D0418" w:rsidRPr="00AA7D1F" w:rsidRDefault="005D0418" w:rsidP="005D0418">
            <w:pPr>
              <w:contextualSpacing/>
              <w:rPr>
                <w:rFonts w:asciiTheme="majorHAnsi" w:hAnsiTheme="majorHAnsi"/>
                <w:sz w:val="20"/>
              </w:rPr>
            </w:pPr>
            <w:r w:rsidRPr="00FC657B">
              <w:rPr>
                <w:rFonts w:asciiTheme="majorHAnsi" w:hAnsiTheme="majorHAnsi"/>
                <w:sz w:val="20"/>
              </w:rPr>
              <w:t>The development o</w:t>
            </w:r>
            <w:r w:rsidRPr="00D77DF1">
              <w:rPr>
                <w:rFonts w:asciiTheme="majorHAnsi" w:hAnsiTheme="majorHAnsi"/>
                <w:sz w:val="20"/>
              </w:rPr>
              <w:t>f the Watershed Management Plan</w:t>
            </w:r>
            <w:r w:rsidRPr="00CD42DE">
              <w:rPr>
                <w:rFonts w:asciiTheme="majorHAnsi" w:hAnsiTheme="majorHAnsi"/>
                <w:sz w:val="20"/>
              </w:rPr>
              <w:t>, the introduction of IPPC, the initiation of legislative and policy changes in the f</w:t>
            </w:r>
            <w:r w:rsidRPr="00AA7D1F">
              <w:rPr>
                <w:rFonts w:asciiTheme="majorHAnsi" w:hAnsiTheme="majorHAnsi"/>
                <w:sz w:val="20"/>
              </w:rPr>
              <w:t xml:space="preserve">ishery and agriculture sectors, and the cooperation with local/national stakeholders were highlights in Macedonia. In Albania, the Local Environmental Action Plans, and a range of capacity development activities produced excellent results. </w:t>
            </w:r>
          </w:p>
        </w:tc>
        <w:tc>
          <w:tcPr>
            <w:tcW w:w="900" w:type="dxa"/>
          </w:tcPr>
          <w:p w:rsidR="005D0418" w:rsidRPr="005E69C8" w:rsidRDefault="005D0418" w:rsidP="005D0418">
            <w:pPr>
              <w:contextualSpacing/>
              <w:rPr>
                <w:rFonts w:asciiTheme="majorHAnsi" w:hAnsiTheme="majorHAnsi"/>
                <w:sz w:val="20"/>
              </w:rPr>
            </w:pPr>
            <w:r w:rsidRPr="005E69C8">
              <w:rPr>
                <w:rFonts w:asciiTheme="majorHAnsi" w:hAnsiTheme="majorHAnsi"/>
                <w:sz w:val="20"/>
              </w:rPr>
              <w:t>HS</w:t>
            </w:r>
          </w:p>
        </w:tc>
        <w:tc>
          <w:tcPr>
            <w:tcW w:w="540" w:type="dxa"/>
          </w:tcPr>
          <w:p w:rsidR="005D0418" w:rsidRPr="008B7E9A" w:rsidRDefault="005D0418" w:rsidP="005D0418">
            <w:pPr>
              <w:contextualSpacing/>
              <w:rPr>
                <w:rFonts w:asciiTheme="majorHAnsi" w:hAnsiTheme="majorHAnsi"/>
                <w:sz w:val="20"/>
              </w:rPr>
            </w:pPr>
            <w:r w:rsidRPr="008B7E9A">
              <w:rPr>
                <w:rFonts w:asciiTheme="majorHAnsi" w:hAnsiTheme="majorHAnsi"/>
                <w:sz w:val="20"/>
              </w:rPr>
              <w:t>N/A</w:t>
            </w:r>
          </w:p>
        </w:tc>
        <w:tc>
          <w:tcPr>
            <w:tcW w:w="540" w:type="dxa"/>
          </w:tcPr>
          <w:p w:rsidR="005D0418" w:rsidRPr="000126EE" w:rsidRDefault="005D0418" w:rsidP="005D0418">
            <w:pPr>
              <w:contextualSpacing/>
              <w:rPr>
                <w:rFonts w:asciiTheme="majorHAnsi" w:hAnsiTheme="majorHAnsi"/>
                <w:sz w:val="20"/>
              </w:rPr>
            </w:pPr>
            <w:r w:rsidRPr="000126EE">
              <w:rPr>
                <w:rFonts w:asciiTheme="majorHAnsi" w:hAnsiTheme="majorHAnsi"/>
                <w:sz w:val="20"/>
              </w:rPr>
              <w:t>HS</w:t>
            </w:r>
          </w:p>
        </w:tc>
        <w:tc>
          <w:tcPr>
            <w:tcW w:w="540" w:type="dxa"/>
          </w:tcPr>
          <w:p w:rsidR="005D0418" w:rsidRPr="00B71D27" w:rsidRDefault="005D0418" w:rsidP="005D0418">
            <w:pPr>
              <w:contextualSpacing/>
              <w:rPr>
                <w:rFonts w:asciiTheme="majorHAnsi" w:hAnsiTheme="majorHAnsi"/>
                <w:sz w:val="20"/>
              </w:rPr>
            </w:pPr>
            <w:r w:rsidRPr="00B71D27">
              <w:rPr>
                <w:rFonts w:asciiTheme="majorHAnsi" w:hAnsiTheme="majorHAnsi"/>
                <w:sz w:val="20"/>
              </w:rPr>
              <w:t>HS</w:t>
            </w:r>
          </w:p>
        </w:tc>
      </w:tr>
      <w:tr w:rsidR="005D0418" w:rsidRPr="000A3C73" w:rsidTr="00BF7BA0">
        <w:tc>
          <w:tcPr>
            <w:tcW w:w="3258" w:type="dxa"/>
          </w:tcPr>
          <w:p w:rsidR="005D0418" w:rsidRPr="00FC657B" w:rsidRDefault="005D0418" w:rsidP="005D0418">
            <w:pPr>
              <w:pStyle w:val="BodyText"/>
              <w:numPr>
                <w:ilvl w:val="0"/>
                <w:numId w:val="0"/>
              </w:numPr>
              <w:spacing w:after="0"/>
              <w:contextualSpacing/>
              <w:jc w:val="right"/>
              <w:rPr>
                <w:rFonts w:asciiTheme="majorHAnsi" w:hAnsiTheme="majorHAnsi"/>
                <w:sz w:val="20"/>
              </w:rPr>
            </w:pPr>
            <w:r w:rsidRPr="000A3C73">
              <w:rPr>
                <w:rFonts w:asciiTheme="majorHAnsi" w:hAnsiTheme="majorHAnsi"/>
                <w:b/>
                <w:sz w:val="20"/>
              </w:rPr>
              <w:t>Outcome 2:</w:t>
            </w:r>
            <w:r w:rsidRPr="0089284E">
              <w:rPr>
                <w:rFonts w:asciiTheme="majorHAnsi" w:hAnsiTheme="majorHAnsi"/>
                <w:sz w:val="20"/>
              </w:rPr>
              <w:t>Stakeholders modify productive sector resource management practices to reduce pesticide inputs, increase habitat heterogeneity, and improve the status of target species and communities within the national sectors of the Prespa Basin</w:t>
            </w:r>
          </w:p>
        </w:tc>
        <w:tc>
          <w:tcPr>
            <w:tcW w:w="4410" w:type="dxa"/>
          </w:tcPr>
          <w:p w:rsidR="005D0418" w:rsidRPr="00AA7D1F" w:rsidRDefault="005D0418" w:rsidP="005D0418">
            <w:pPr>
              <w:contextualSpacing/>
              <w:rPr>
                <w:rFonts w:asciiTheme="majorHAnsi" w:hAnsiTheme="majorHAnsi"/>
                <w:sz w:val="20"/>
              </w:rPr>
            </w:pPr>
            <w:r w:rsidRPr="00FC657B">
              <w:rPr>
                <w:rFonts w:asciiTheme="majorHAnsi" w:hAnsiTheme="majorHAnsi"/>
                <w:sz w:val="20"/>
              </w:rPr>
              <w:t>The project re</w:t>
            </w:r>
            <w:r w:rsidRPr="00D77DF1">
              <w:rPr>
                <w:rFonts w:asciiTheme="majorHAnsi" w:hAnsiTheme="majorHAnsi"/>
                <w:sz w:val="20"/>
              </w:rPr>
              <w:t>sults in both Macedonia and Albania to reduce agricultural inputs through the provision of hydromet stations were positive, and were complemented in Macedonia by additional activities for waste collection and reduction. In Albania the forestry activities p</w:t>
            </w:r>
            <w:r w:rsidRPr="00CD42DE">
              <w:rPr>
                <w:rFonts w:asciiTheme="majorHAnsi" w:hAnsiTheme="majorHAnsi"/>
                <w:sz w:val="20"/>
              </w:rPr>
              <w:t>lanned under this output were to be supported by KfW and thus were not yet completed. Local resource user associations were established in both Albania and Macedonia for farmers and fishers. The small-scale wastewater treatment activities in Macedonia prog</w:t>
            </w:r>
            <w:r w:rsidRPr="00AA7D1F">
              <w:rPr>
                <w:rFonts w:asciiTheme="majorHAnsi" w:hAnsiTheme="majorHAnsi"/>
                <w:sz w:val="20"/>
              </w:rPr>
              <w:t>ressed, but did not reach construction. The wastewater and agricultural input activities were also found to have lower relevance in Albania. The overall rating is based on the level of achievement toward logframe indicators and targets.</w:t>
            </w:r>
          </w:p>
        </w:tc>
        <w:tc>
          <w:tcPr>
            <w:tcW w:w="900" w:type="dxa"/>
          </w:tcPr>
          <w:p w:rsidR="005D0418" w:rsidRPr="005E69C8" w:rsidRDefault="005D0418" w:rsidP="005D0418">
            <w:pPr>
              <w:contextualSpacing/>
              <w:rPr>
                <w:rFonts w:asciiTheme="majorHAnsi" w:hAnsiTheme="majorHAnsi"/>
                <w:sz w:val="20"/>
              </w:rPr>
            </w:pPr>
            <w:r w:rsidRPr="005E69C8">
              <w:rPr>
                <w:rFonts w:asciiTheme="majorHAnsi" w:hAnsiTheme="majorHAnsi"/>
                <w:sz w:val="20"/>
              </w:rPr>
              <w:t>MS</w:t>
            </w:r>
          </w:p>
        </w:tc>
        <w:tc>
          <w:tcPr>
            <w:tcW w:w="540" w:type="dxa"/>
          </w:tcPr>
          <w:p w:rsidR="005D0418" w:rsidRPr="008B7E9A" w:rsidRDefault="005D0418" w:rsidP="005D0418">
            <w:pPr>
              <w:contextualSpacing/>
              <w:rPr>
                <w:rFonts w:asciiTheme="majorHAnsi" w:hAnsiTheme="majorHAnsi"/>
                <w:sz w:val="20"/>
              </w:rPr>
            </w:pPr>
            <w:r w:rsidRPr="008B7E9A">
              <w:rPr>
                <w:rFonts w:asciiTheme="majorHAnsi" w:hAnsiTheme="majorHAnsi"/>
                <w:sz w:val="20"/>
              </w:rPr>
              <w:t>N/A</w:t>
            </w:r>
          </w:p>
        </w:tc>
        <w:tc>
          <w:tcPr>
            <w:tcW w:w="540" w:type="dxa"/>
          </w:tcPr>
          <w:p w:rsidR="005D0418" w:rsidRPr="000126EE" w:rsidRDefault="005D0418" w:rsidP="005D0418">
            <w:pPr>
              <w:contextualSpacing/>
              <w:rPr>
                <w:rFonts w:asciiTheme="majorHAnsi" w:hAnsiTheme="majorHAnsi"/>
                <w:sz w:val="20"/>
              </w:rPr>
            </w:pPr>
            <w:r w:rsidRPr="000126EE">
              <w:rPr>
                <w:rFonts w:asciiTheme="majorHAnsi" w:hAnsiTheme="majorHAnsi"/>
                <w:sz w:val="20"/>
              </w:rPr>
              <w:t>S</w:t>
            </w:r>
          </w:p>
        </w:tc>
        <w:tc>
          <w:tcPr>
            <w:tcW w:w="540" w:type="dxa"/>
          </w:tcPr>
          <w:p w:rsidR="005D0418" w:rsidRPr="00B71D27" w:rsidRDefault="005D0418" w:rsidP="005D0418">
            <w:pPr>
              <w:contextualSpacing/>
              <w:rPr>
                <w:rFonts w:asciiTheme="majorHAnsi" w:hAnsiTheme="majorHAnsi"/>
                <w:sz w:val="20"/>
              </w:rPr>
            </w:pPr>
            <w:r w:rsidRPr="00B71D27">
              <w:rPr>
                <w:rFonts w:asciiTheme="majorHAnsi" w:hAnsiTheme="majorHAnsi"/>
                <w:sz w:val="20"/>
              </w:rPr>
              <w:t>MS</w:t>
            </w:r>
          </w:p>
        </w:tc>
      </w:tr>
      <w:tr w:rsidR="005D0418" w:rsidRPr="000A3C73" w:rsidTr="00BF7BA0">
        <w:tc>
          <w:tcPr>
            <w:tcW w:w="3258" w:type="dxa"/>
          </w:tcPr>
          <w:p w:rsidR="005D0418" w:rsidRPr="00FC657B" w:rsidRDefault="005D0418" w:rsidP="005D0418">
            <w:pPr>
              <w:pStyle w:val="BodyText"/>
              <w:numPr>
                <w:ilvl w:val="0"/>
                <w:numId w:val="0"/>
              </w:numPr>
              <w:spacing w:after="0"/>
              <w:contextualSpacing/>
              <w:jc w:val="right"/>
              <w:rPr>
                <w:rFonts w:asciiTheme="majorHAnsi" w:hAnsiTheme="majorHAnsi"/>
                <w:b/>
                <w:sz w:val="20"/>
              </w:rPr>
            </w:pPr>
            <w:r w:rsidRPr="000A3C73">
              <w:rPr>
                <w:rFonts w:asciiTheme="majorHAnsi" w:hAnsiTheme="majorHAnsi"/>
                <w:b/>
                <w:sz w:val="20"/>
              </w:rPr>
              <w:t xml:space="preserve">Outcome 3: </w:t>
            </w:r>
            <w:r w:rsidRPr="0089284E">
              <w:rPr>
                <w:rFonts w:asciiTheme="majorHAnsi" w:hAnsiTheme="majorHAnsi"/>
                <w:sz w:val="20"/>
              </w:rPr>
              <w:t>Stakeholders conserve priority biological diversity across the Prespa Basin and make key protected areas in Prespa Basin (PNP, GNP, ENR, and PPA-GR) fully operational</w:t>
            </w:r>
          </w:p>
        </w:tc>
        <w:tc>
          <w:tcPr>
            <w:tcW w:w="4410" w:type="dxa"/>
          </w:tcPr>
          <w:p w:rsidR="005D0418" w:rsidRPr="00AA7D1F" w:rsidRDefault="005D0418" w:rsidP="005D0418">
            <w:pPr>
              <w:contextualSpacing/>
              <w:rPr>
                <w:rFonts w:asciiTheme="majorHAnsi" w:hAnsiTheme="majorHAnsi"/>
                <w:sz w:val="20"/>
              </w:rPr>
            </w:pPr>
            <w:r w:rsidRPr="00FC657B">
              <w:rPr>
                <w:rFonts w:asciiTheme="majorHAnsi" w:hAnsiTheme="majorHAnsi"/>
                <w:sz w:val="20"/>
              </w:rPr>
              <w:t>The work done in Macedonia to re-establish the Ezerani protected area, and the resto</w:t>
            </w:r>
            <w:r w:rsidRPr="00D77DF1">
              <w:rPr>
                <w:rFonts w:asciiTheme="majorHAnsi" w:hAnsiTheme="majorHAnsi"/>
                <w:sz w:val="20"/>
              </w:rPr>
              <w:t>ration of the Golema Reka, are considered highlights. The delay of the KfW activities in Albanian Prespa meant that progress here was still limited at the end of the GEF-funded Prespa IEM project (the METT score has increased ~20% instead of the targeted 4</w:t>
            </w:r>
            <w:r w:rsidRPr="00CD42DE">
              <w:rPr>
                <w:rFonts w:asciiTheme="majorHAnsi" w:hAnsiTheme="majorHAnsi"/>
                <w:sz w:val="20"/>
              </w:rPr>
              <w:t>0%), though the establishment and operation of the Prespa National Park Management Committee is significant. The development of the monitoring system under the transboundary component was critical (though practical transboundary implementation will be a ch</w:t>
            </w:r>
            <w:r w:rsidRPr="00AA7D1F">
              <w:rPr>
                <w:rFonts w:asciiTheme="majorHAnsi" w:hAnsiTheme="majorHAnsi"/>
                <w:sz w:val="20"/>
              </w:rPr>
              <w:t xml:space="preserve">allenge). </w:t>
            </w:r>
          </w:p>
        </w:tc>
        <w:tc>
          <w:tcPr>
            <w:tcW w:w="900" w:type="dxa"/>
          </w:tcPr>
          <w:p w:rsidR="005D0418" w:rsidRPr="005E69C8" w:rsidRDefault="005D0418" w:rsidP="005D0418">
            <w:pPr>
              <w:contextualSpacing/>
              <w:rPr>
                <w:rFonts w:asciiTheme="majorHAnsi" w:hAnsiTheme="majorHAnsi"/>
                <w:sz w:val="20"/>
              </w:rPr>
            </w:pPr>
            <w:r w:rsidRPr="005E69C8">
              <w:rPr>
                <w:rFonts w:asciiTheme="majorHAnsi" w:hAnsiTheme="majorHAnsi"/>
                <w:sz w:val="20"/>
              </w:rPr>
              <w:t>MS</w:t>
            </w:r>
          </w:p>
        </w:tc>
        <w:tc>
          <w:tcPr>
            <w:tcW w:w="540" w:type="dxa"/>
          </w:tcPr>
          <w:p w:rsidR="005D0418" w:rsidRPr="008B7E9A" w:rsidRDefault="005D0418" w:rsidP="005D0418">
            <w:pPr>
              <w:contextualSpacing/>
              <w:rPr>
                <w:rFonts w:asciiTheme="majorHAnsi" w:hAnsiTheme="majorHAnsi"/>
                <w:sz w:val="20"/>
              </w:rPr>
            </w:pPr>
            <w:r w:rsidRPr="008B7E9A">
              <w:rPr>
                <w:rFonts w:asciiTheme="majorHAnsi" w:hAnsiTheme="majorHAnsi"/>
                <w:sz w:val="20"/>
              </w:rPr>
              <w:t>MS</w:t>
            </w:r>
          </w:p>
        </w:tc>
        <w:tc>
          <w:tcPr>
            <w:tcW w:w="540" w:type="dxa"/>
          </w:tcPr>
          <w:p w:rsidR="005D0418" w:rsidRPr="000126EE" w:rsidRDefault="005D0418" w:rsidP="005D0418">
            <w:pPr>
              <w:contextualSpacing/>
              <w:rPr>
                <w:rFonts w:asciiTheme="majorHAnsi" w:hAnsiTheme="majorHAnsi"/>
                <w:sz w:val="20"/>
              </w:rPr>
            </w:pPr>
            <w:r w:rsidRPr="000126EE">
              <w:rPr>
                <w:rFonts w:asciiTheme="majorHAnsi" w:hAnsiTheme="majorHAnsi"/>
                <w:sz w:val="20"/>
              </w:rPr>
              <w:t>HS</w:t>
            </w:r>
          </w:p>
        </w:tc>
        <w:tc>
          <w:tcPr>
            <w:tcW w:w="540" w:type="dxa"/>
          </w:tcPr>
          <w:p w:rsidR="005D0418" w:rsidRPr="00B71D27" w:rsidRDefault="005D0418" w:rsidP="005D0418">
            <w:pPr>
              <w:contextualSpacing/>
              <w:rPr>
                <w:rFonts w:asciiTheme="majorHAnsi" w:hAnsiTheme="majorHAnsi"/>
                <w:sz w:val="20"/>
              </w:rPr>
            </w:pPr>
            <w:r w:rsidRPr="00B71D27">
              <w:rPr>
                <w:rFonts w:asciiTheme="majorHAnsi" w:hAnsiTheme="majorHAnsi"/>
                <w:sz w:val="20"/>
              </w:rPr>
              <w:t>MS</w:t>
            </w:r>
          </w:p>
        </w:tc>
      </w:tr>
      <w:tr w:rsidR="005D0418" w:rsidRPr="000A3C73" w:rsidTr="00BF7BA0">
        <w:tc>
          <w:tcPr>
            <w:tcW w:w="3258" w:type="dxa"/>
          </w:tcPr>
          <w:p w:rsidR="005D0418" w:rsidRPr="00FC657B" w:rsidRDefault="005D0418" w:rsidP="005D0418">
            <w:pPr>
              <w:pStyle w:val="BodyText"/>
              <w:numPr>
                <w:ilvl w:val="0"/>
                <w:numId w:val="0"/>
              </w:numPr>
              <w:spacing w:after="0"/>
              <w:contextualSpacing/>
              <w:jc w:val="right"/>
              <w:rPr>
                <w:rFonts w:asciiTheme="majorHAnsi" w:hAnsiTheme="majorHAnsi"/>
                <w:b/>
                <w:sz w:val="20"/>
              </w:rPr>
            </w:pPr>
            <w:r w:rsidRPr="000A3C73">
              <w:rPr>
                <w:rFonts w:asciiTheme="majorHAnsi" w:hAnsiTheme="majorHAnsi"/>
                <w:b/>
                <w:sz w:val="20"/>
              </w:rPr>
              <w:t xml:space="preserve">Outcome 4: </w:t>
            </w:r>
            <w:r w:rsidRPr="0089284E">
              <w:rPr>
                <w:rFonts w:asciiTheme="majorHAnsi" w:hAnsiTheme="majorHAnsi"/>
                <w:sz w:val="20"/>
              </w:rPr>
              <w:t>Stakeholders build upon on-going trans-boundary cooperation in the Prespa Basin by strengthening the trans-boundary coordination mechanism and piloting trans-boundary conservation and water management</w:t>
            </w:r>
          </w:p>
        </w:tc>
        <w:tc>
          <w:tcPr>
            <w:tcW w:w="4410" w:type="dxa"/>
          </w:tcPr>
          <w:p w:rsidR="005D0418" w:rsidRPr="005E69C8" w:rsidRDefault="005D0418" w:rsidP="005D0418">
            <w:pPr>
              <w:contextualSpacing/>
              <w:rPr>
                <w:rFonts w:asciiTheme="majorHAnsi" w:hAnsiTheme="majorHAnsi"/>
                <w:sz w:val="20"/>
                <w:highlight w:val="yellow"/>
              </w:rPr>
            </w:pPr>
            <w:r w:rsidRPr="00FC657B">
              <w:rPr>
                <w:rFonts w:asciiTheme="majorHAnsi" w:hAnsiTheme="majorHAnsi"/>
                <w:sz w:val="20"/>
              </w:rPr>
              <w:t>The 2010 agreement i</w:t>
            </w:r>
            <w:r w:rsidRPr="00D77DF1">
              <w:rPr>
                <w:rFonts w:asciiTheme="majorHAnsi" w:hAnsiTheme="majorHAnsi"/>
                <w:sz w:val="20"/>
              </w:rPr>
              <w:t>s a significant achievement, but the PPMC (former PPCC) has had little activity since then. The Prespa Working Group on Water Management was not operationalized. The trilateral communications efforts to catalyze effective transboundary management have been</w:t>
            </w:r>
            <w:r w:rsidRPr="00CD42DE">
              <w:rPr>
                <w:rFonts w:asciiTheme="majorHAnsi" w:hAnsiTheme="majorHAnsi"/>
                <w:sz w:val="20"/>
              </w:rPr>
              <w:t xml:space="preserve"> limited. Species and habitat conservation plans were produced but are not detailed and have limited implementation thus far. The tri-lateral tourism strategy was a positive result that has garnered local level stakeholder support. The revised TDA/SAP appe</w:t>
            </w:r>
            <w:r w:rsidRPr="00AA7D1F">
              <w:rPr>
                <w:rFonts w:asciiTheme="majorHAnsi" w:hAnsiTheme="majorHAnsi"/>
                <w:sz w:val="20"/>
              </w:rPr>
              <w:t xml:space="preserve">ars to have uneven and limited stakeholder ownership and buy-in. </w:t>
            </w:r>
          </w:p>
        </w:tc>
        <w:tc>
          <w:tcPr>
            <w:tcW w:w="900" w:type="dxa"/>
          </w:tcPr>
          <w:p w:rsidR="005D0418" w:rsidRPr="008B7E9A" w:rsidRDefault="005D0418" w:rsidP="005D0418">
            <w:pPr>
              <w:contextualSpacing/>
              <w:rPr>
                <w:rFonts w:asciiTheme="majorHAnsi" w:hAnsiTheme="majorHAnsi"/>
                <w:sz w:val="20"/>
              </w:rPr>
            </w:pPr>
            <w:r w:rsidRPr="008B7E9A">
              <w:rPr>
                <w:rFonts w:asciiTheme="majorHAnsi" w:hAnsiTheme="majorHAnsi"/>
                <w:sz w:val="20"/>
              </w:rPr>
              <w:t>MS</w:t>
            </w:r>
          </w:p>
        </w:tc>
        <w:tc>
          <w:tcPr>
            <w:tcW w:w="540" w:type="dxa"/>
          </w:tcPr>
          <w:p w:rsidR="005D0418" w:rsidRPr="000126EE" w:rsidRDefault="005D0418" w:rsidP="005D0418">
            <w:pPr>
              <w:contextualSpacing/>
              <w:rPr>
                <w:rFonts w:asciiTheme="majorHAnsi" w:hAnsiTheme="majorHAnsi"/>
                <w:sz w:val="20"/>
              </w:rPr>
            </w:pPr>
            <w:r w:rsidRPr="000126EE">
              <w:rPr>
                <w:rFonts w:asciiTheme="majorHAnsi" w:hAnsiTheme="majorHAnsi"/>
                <w:sz w:val="20"/>
              </w:rPr>
              <w:t>MU</w:t>
            </w:r>
          </w:p>
        </w:tc>
        <w:tc>
          <w:tcPr>
            <w:tcW w:w="540" w:type="dxa"/>
          </w:tcPr>
          <w:p w:rsidR="005D0418" w:rsidRPr="00B71D27" w:rsidRDefault="005D0418" w:rsidP="005D0418">
            <w:pPr>
              <w:contextualSpacing/>
              <w:rPr>
                <w:rFonts w:asciiTheme="majorHAnsi" w:hAnsiTheme="majorHAnsi"/>
                <w:sz w:val="20"/>
              </w:rPr>
            </w:pPr>
            <w:r w:rsidRPr="00B71D27">
              <w:rPr>
                <w:rFonts w:asciiTheme="majorHAnsi" w:hAnsiTheme="majorHAnsi"/>
                <w:sz w:val="20"/>
              </w:rPr>
              <w:t>S</w:t>
            </w:r>
          </w:p>
        </w:tc>
        <w:tc>
          <w:tcPr>
            <w:tcW w:w="540" w:type="dxa"/>
          </w:tcPr>
          <w:p w:rsidR="005D0418" w:rsidRPr="00595792" w:rsidRDefault="005D0418" w:rsidP="005D0418">
            <w:pPr>
              <w:contextualSpacing/>
              <w:rPr>
                <w:rFonts w:asciiTheme="majorHAnsi" w:hAnsiTheme="majorHAnsi"/>
                <w:sz w:val="20"/>
              </w:rPr>
            </w:pPr>
            <w:r w:rsidRPr="00595792">
              <w:rPr>
                <w:rFonts w:asciiTheme="majorHAnsi" w:hAnsiTheme="majorHAnsi"/>
                <w:sz w:val="20"/>
              </w:rPr>
              <w:t>S</w:t>
            </w:r>
          </w:p>
        </w:tc>
      </w:tr>
      <w:tr w:rsidR="005D0418" w:rsidRPr="000A3C73" w:rsidTr="00BF7BA0">
        <w:tc>
          <w:tcPr>
            <w:tcW w:w="3258" w:type="dxa"/>
          </w:tcPr>
          <w:p w:rsidR="005D0418" w:rsidRPr="000A3C73" w:rsidRDefault="005D0418" w:rsidP="005D0418">
            <w:pPr>
              <w:pStyle w:val="BodyText"/>
              <w:numPr>
                <w:ilvl w:val="0"/>
                <w:numId w:val="0"/>
              </w:numPr>
              <w:spacing w:after="0"/>
              <w:contextualSpacing/>
              <w:jc w:val="right"/>
              <w:rPr>
                <w:rFonts w:asciiTheme="majorHAnsi" w:hAnsiTheme="majorHAnsi"/>
                <w:b/>
                <w:sz w:val="20"/>
              </w:rPr>
            </w:pPr>
            <w:r w:rsidRPr="000A3C73">
              <w:rPr>
                <w:rFonts w:asciiTheme="majorHAnsi" w:hAnsiTheme="majorHAnsi"/>
                <w:b/>
                <w:sz w:val="20"/>
              </w:rPr>
              <w:t xml:space="preserve">Outcome 5: </w:t>
            </w:r>
            <w:r w:rsidRPr="000A3C73">
              <w:rPr>
                <w:rFonts w:asciiTheme="majorHAnsi" w:hAnsiTheme="majorHAnsi"/>
                <w:sz w:val="20"/>
              </w:rPr>
              <w:t>Lessons learned and adaptive management of project</w:t>
            </w:r>
          </w:p>
        </w:tc>
        <w:tc>
          <w:tcPr>
            <w:tcW w:w="4410" w:type="dxa"/>
          </w:tcPr>
          <w:p w:rsidR="005D0418" w:rsidRPr="000A3C73" w:rsidRDefault="005D0418" w:rsidP="005D0418">
            <w:pPr>
              <w:tabs>
                <w:tab w:val="center" w:pos="2097"/>
              </w:tabs>
              <w:contextualSpacing/>
              <w:rPr>
                <w:rFonts w:asciiTheme="majorHAnsi" w:hAnsiTheme="majorHAnsi"/>
                <w:sz w:val="20"/>
              </w:rPr>
            </w:pPr>
            <w:r w:rsidRPr="000A3C73">
              <w:rPr>
                <w:rFonts w:asciiTheme="majorHAnsi" w:hAnsiTheme="majorHAnsi"/>
                <w:sz w:val="20"/>
              </w:rPr>
              <w:t>This outcome covered project management, including adaptive management, as well as knowledge management, and monitoring and evaluation. Both national components are considered satisfactory for this outcome, while the transboundary component would have benefited from improved adaptive management.</w:t>
            </w:r>
          </w:p>
        </w:tc>
        <w:tc>
          <w:tcPr>
            <w:tcW w:w="90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S</w:t>
            </w:r>
          </w:p>
        </w:tc>
        <w:tc>
          <w:tcPr>
            <w:tcW w:w="54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MS</w:t>
            </w:r>
          </w:p>
        </w:tc>
        <w:tc>
          <w:tcPr>
            <w:tcW w:w="54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S</w:t>
            </w:r>
          </w:p>
        </w:tc>
        <w:tc>
          <w:tcPr>
            <w:tcW w:w="54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S</w:t>
            </w:r>
          </w:p>
        </w:tc>
      </w:tr>
      <w:tr w:rsidR="005D0418" w:rsidRPr="000A3C73" w:rsidTr="00BF7BA0">
        <w:tc>
          <w:tcPr>
            <w:tcW w:w="3258" w:type="dxa"/>
          </w:tcPr>
          <w:p w:rsidR="005D0418" w:rsidRPr="000A3C73" w:rsidRDefault="005D0418" w:rsidP="005D0418">
            <w:pPr>
              <w:pStyle w:val="BodyText"/>
              <w:numPr>
                <w:ilvl w:val="0"/>
                <w:numId w:val="0"/>
              </w:numPr>
              <w:spacing w:after="0"/>
              <w:contextualSpacing/>
              <w:jc w:val="right"/>
              <w:rPr>
                <w:rFonts w:asciiTheme="majorHAnsi" w:hAnsiTheme="majorHAnsi"/>
                <w:b/>
                <w:sz w:val="20"/>
              </w:rPr>
            </w:pPr>
            <w:r w:rsidRPr="000A3C73">
              <w:rPr>
                <w:rFonts w:asciiTheme="majorHAnsi" w:hAnsiTheme="majorHAnsi"/>
                <w:b/>
                <w:sz w:val="20"/>
              </w:rPr>
              <w:t>Overall Outcomes</w:t>
            </w:r>
          </w:p>
        </w:tc>
        <w:tc>
          <w:tcPr>
            <w:tcW w:w="441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TBD</w:t>
            </w:r>
          </w:p>
        </w:tc>
        <w:tc>
          <w:tcPr>
            <w:tcW w:w="90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MS</w:t>
            </w:r>
          </w:p>
        </w:tc>
        <w:tc>
          <w:tcPr>
            <w:tcW w:w="54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MU</w:t>
            </w:r>
          </w:p>
        </w:tc>
        <w:tc>
          <w:tcPr>
            <w:tcW w:w="54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S</w:t>
            </w:r>
          </w:p>
        </w:tc>
        <w:tc>
          <w:tcPr>
            <w:tcW w:w="54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S</w:t>
            </w:r>
          </w:p>
        </w:tc>
      </w:tr>
      <w:tr w:rsidR="005D0418" w:rsidRPr="000A3C73" w:rsidTr="00BF7BA0">
        <w:tc>
          <w:tcPr>
            <w:tcW w:w="3258" w:type="dxa"/>
          </w:tcPr>
          <w:p w:rsidR="005D0418" w:rsidRPr="000A3C73" w:rsidRDefault="005D0418" w:rsidP="005D0418">
            <w:pPr>
              <w:pStyle w:val="BodyText"/>
              <w:numPr>
                <w:ilvl w:val="0"/>
                <w:numId w:val="0"/>
              </w:numPr>
              <w:spacing w:after="0"/>
              <w:contextualSpacing/>
              <w:jc w:val="right"/>
              <w:rPr>
                <w:rFonts w:asciiTheme="majorHAnsi" w:hAnsiTheme="majorHAnsi"/>
                <w:b/>
                <w:sz w:val="20"/>
              </w:rPr>
            </w:pPr>
            <w:r w:rsidRPr="000A3C73">
              <w:rPr>
                <w:rFonts w:asciiTheme="majorHAnsi" w:hAnsiTheme="majorHAnsi"/>
                <w:b/>
                <w:sz w:val="20"/>
              </w:rPr>
              <w:t xml:space="preserve">Impact </w:t>
            </w:r>
          </w:p>
        </w:tc>
        <w:tc>
          <w:tcPr>
            <w:tcW w:w="441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 xml:space="preserve">Some small-scale impact level results could be assumed from the activities in the national components, particularly related to the increased efficiency of application of agricultural inputs. </w:t>
            </w:r>
          </w:p>
        </w:tc>
        <w:tc>
          <w:tcPr>
            <w:tcW w:w="90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N</w:t>
            </w:r>
          </w:p>
        </w:tc>
        <w:tc>
          <w:tcPr>
            <w:tcW w:w="54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N</w:t>
            </w:r>
          </w:p>
        </w:tc>
        <w:tc>
          <w:tcPr>
            <w:tcW w:w="54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M</w:t>
            </w:r>
          </w:p>
        </w:tc>
        <w:tc>
          <w:tcPr>
            <w:tcW w:w="54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N</w:t>
            </w:r>
          </w:p>
        </w:tc>
      </w:tr>
      <w:tr w:rsidR="005D0418" w:rsidRPr="000A3C73" w:rsidTr="00BF7BA0">
        <w:tc>
          <w:tcPr>
            <w:tcW w:w="3258" w:type="dxa"/>
            <w:shd w:val="clear" w:color="auto" w:fill="BFBFBF"/>
          </w:tcPr>
          <w:p w:rsidR="005D0418" w:rsidRPr="000A3C73" w:rsidRDefault="005D0418" w:rsidP="005D0418">
            <w:pPr>
              <w:contextualSpacing/>
              <w:jc w:val="right"/>
              <w:rPr>
                <w:rFonts w:asciiTheme="majorHAnsi" w:hAnsiTheme="majorHAnsi"/>
                <w:sz w:val="20"/>
              </w:rPr>
            </w:pPr>
            <w:r w:rsidRPr="000A3C73">
              <w:rPr>
                <w:rFonts w:asciiTheme="majorHAnsi" w:hAnsiTheme="majorHAnsi"/>
                <w:b/>
                <w:sz w:val="20"/>
              </w:rPr>
              <w:t>Sustainability</w:t>
            </w:r>
          </w:p>
        </w:tc>
        <w:tc>
          <w:tcPr>
            <w:tcW w:w="4410" w:type="dxa"/>
            <w:shd w:val="clear" w:color="auto" w:fill="BFBFBF"/>
          </w:tcPr>
          <w:p w:rsidR="005D0418" w:rsidRPr="000A3C73" w:rsidRDefault="005D0418" w:rsidP="005D0418">
            <w:pPr>
              <w:contextualSpacing/>
              <w:rPr>
                <w:rFonts w:asciiTheme="majorHAnsi" w:hAnsiTheme="majorHAnsi"/>
                <w:sz w:val="20"/>
              </w:rPr>
            </w:pPr>
          </w:p>
        </w:tc>
        <w:tc>
          <w:tcPr>
            <w:tcW w:w="900" w:type="dxa"/>
            <w:shd w:val="clear" w:color="auto" w:fill="BFBFBF"/>
          </w:tcPr>
          <w:p w:rsidR="005D0418" w:rsidRPr="000A3C73" w:rsidRDefault="005D0418" w:rsidP="005D0418">
            <w:pPr>
              <w:contextualSpacing/>
              <w:rPr>
                <w:rFonts w:asciiTheme="majorHAnsi" w:hAnsiTheme="majorHAnsi"/>
                <w:sz w:val="20"/>
              </w:rPr>
            </w:pPr>
          </w:p>
        </w:tc>
        <w:tc>
          <w:tcPr>
            <w:tcW w:w="540" w:type="dxa"/>
            <w:shd w:val="clear" w:color="auto" w:fill="BFBFBF"/>
          </w:tcPr>
          <w:p w:rsidR="005D0418" w:rsidRPr="000A3C73" w:rsidRDefault="005D0418" w:rsidP="005D0418">
            <w:pPr>
              <w:contextualSpacing/>
              <w:rPr>
                <w:rFonts w:asciiTheme="majorHAnsi" w:hAnsiTheme="majorHAnsi"/>
                <w:sz w:val="20"/>
              </w:rPr>
            </w:pPr>
          </w:p>
        </w:tc>
        <w:tc>
          <w:tcPr>
            <w:tcW w:w="540" w:type="dxa"/>
            <w:shd w:val="clear" w:color="auto" w:fill="BFBFBF"/>
          </w:tcPr>
          <w:p w:rsidR="005D0418" w:rsidRPr="000A3C73" w:rsidRDefault="005D0418" w:rsidP="005D0418">
            <w:pPr>
              <w:contextualSpacing/>
              <w:rPr>
                <w:rFonts w:asciiTheme="majorHAnsi" w:hAnsiTheme="majorHAnsi"/>
                <w:sz w:val="20"/>
              </w:rPr>
            </w:pPr>
          </w:p>
        </w:tc>
        <w:tc>
          <w:tcPr>
            <w:tcW w:w="540" w:type="dxa"/>
            <w:shd w:val="clear" w:color="auto" w:fill="BFBFBF"/>
          </w:tcPr>
          <w:p w:rsidR="005D0418" w:rsidRPr="000A3C73" w:rsidRDefault="005D0418" w:rsidP="005D0418">
            <w:pPr>
              <w:contextualSpacing/>
              <w:rPr>
                <w:rFonts w:asciiTheme="majorHAnsi" w:hAnsiTheme="majorHAnsi"/>
                <w:sz w:val="20"/>
              </w:rPr>
            </w:pPr>
          </w:p>
        </w:tc>
      </w:tr>
      <w:tr w:rsidR="005D0418" w:rsidRPr="000A3C73" w:rsidTr="00BF7BA0">
        <w:tc>
          <w:tcPr>
            <w:tcW w:w="3258" w:type="dxa"/>
          </w:tcPr>
          <w:p w:rsidR="005D0418" w:rsidRPr="000A3C73" w:rsidRDefault="005D0418" w:rsidP="005D0418">
            <w:pPr>
              <w:contextualSpacing/>
              <w:rPr>
                <w:rFonts w:asciiTheme="majorHAnsi" w:hAnsiTheme="majorHAnsi"/>
                <w:b/>
                <w:sz w:val="20"/>
              </w:rPr>
            </w:pPr>
            <w:r w:rsidRPr="000A3C73">
              <w:rPr>
                <w:rFonts w:asciiTheme="majorHAnsi" w:hAnsiTheme="majorHAnsi"/>
                <w:b/>
                <w:sz w:val="20"/>
              </w:rPr>
              <w:t>Overall Sustainability</w:t>
            </w:r>
          </w:p>
        </w:tc>
        <w:tc>
          <w:tcPr>
            <w:tcW w:w="441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Given that the national components make-up around 2/3rds of the project investment, the fact that sustainability for the results from these activities is considered moderately likely justifies an overall moderately likely rating.</w:t>
            </w:r>
          </w:p>
        </w:tc>
        <w:tc>
          <w:tcPr>
            <w:tcW w:w="90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ML</w:t>
            </w:r>
          </w:p>
        </w:tc>
        <w:tc>
          <w:tcPr>
            <w:tcW w:w="54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U</w:t>
            </w:r>
          </w:p>
        </w:tc>
        <w:tc>
          <w:tcPr>
            <w:tcW w:w="54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ML</w:t>
            </w:r>
          </w:p>
        </w:tc>
        <w:tc>
          <w:tcPr>
            <w:tcW w:w="54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ML</w:t>
            </w:r>
          </w:p>
        </w:tc>
      </w:tr>
      <w:tr w:rsidR="005D0418" w:rsidRPr="000A3C73" w:rsidTr="00BF7BA0">
        <w:tc>
          <w:tcPr>
            <w:tcW w:w="3258" w:type="dxa"/>
          </w:tcPr>
          <w:p w:rsidR="005D0418" w:rsidRPr="000A3C73" w:rsidRDefault="005D0418" w:rsidP="005D0418">
            <w:pPr>
              <w:contextualSpacing/>
              <w:jc w:val="right"/>
              <w:rPr>
                <w:rFonts w:asciiTheme="majorHAnsi" w:hAnsiTheme="majorHAnsi"/>
                <w:b/>
                <w:sz w:val="20"/>
              </w:rPr>
            </w:pPr>
            <w:r w:rsidRPr="000A3C73">
              <w:rPr>
                <w:rFonts w:asciiTheme="majorHAnsi" w:hAnsiTheme="majorHAnsi"/>
                <w:sz w:val="20"/>
              </w:rPr>
              <w:t xml:space="preserve">Financial </w:t>
            </w:r>
          </w:p>
        </w:tc>
        <w:tc>
          <w:tcPr>
            <w:tcW w:w="441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 xml:space="preserve">There is no currently foreseen prospect for financial sustainability of the transboundary coordination mechanism. In both the MK and AL components there are specific bi-lateral donor funded follow-up initiatives to carry the project’s work forward. </w:t>
            </w:r>
          </w:p>
        </w:tc>
        <w:tc>
          <w:tcPr>
            <w:tcW w:w="90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N/A</w:t>
            </w:r>
          </w:p>
        </w:tc>
        <w:tc>
          <w:tcPr>
            <w:tcW w:w="54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U</w:t>
            </w:r>
          </w:p>
        </w:tc>
        <w:tc>
          <w:tcPr>
            <w:tcW w:w="54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L</w:t>
            </w:r>
          </w:p>
        </w:tc>
        <w:tc>
          <w:tcPr>
            <w:tcW w:w="54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L</w:t>
            </w:r>
          </w:p>
        </w:tc>
      </w:tr>
      <w:tr w:rsidR="005D0418" w:rsidRPr="000A3C73" w:rsidTr="00BF7BA0">
        <w:tc>
          <w:tcPr>
            <w:tcW w:w="3258" w:type="dxa"/>
          </w:tcPr>
          <w:p w:rsidR="005D0418" w:rsidRPr="000A3C73" w:rsidRDefault="005D0418" w:rsidP="005D0418">
            <w:pPr>
              <w:contextualSpacing/>
              <w:jc w:val="right"/>
              <w:rPr>
                <w:rFonts w:asciiTheme="majorHAnsi" w:hAnsiTheme="majorHAnsi"/>
                <w:sz w:val="20"/>
              </w:rPr>
            </w:pPr>
            <w:r w:rsidRPr="000A3C73">
              <w:rPr>
                <w:rFonts w:asciiTheme="majorHAnsi" w:hAnsiTheme="majorHAnsi"/>
                <w:sz w:val="20"/>
              </w:rPr>
              <w:t xml:space="preserve">Socio-political </w:t>
            </w:r>
          </w:p>
        </w:tc>
        <w:tc>
          <w:tcPr>
            <w:tcW w:w="441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Transboundary IEM in the Prespa region requires significant additional political will from national governments. Within the MK and AL national components there is good stakeholder ownership and support, particularly at the local level, and at the national level in MK.</w:t>
            </w:r>
          </w:p>
        </w:tc>
        <w:tc>
          <w:tcPr>
            <w:tcW w:w="90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N/A</w:t>
            </w:r>
          </w:p>
        </w:tc>
        <w:tc>
          <w:tcPr>
            <w:tcW w:w="54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U</w:t>
            </w:r>
          </w:p>
        </w:tc>
        <w:tc>
          <w:tcPr>
            <w:tcW w:w="54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L</w:t>
            </w:r>
          </w:p>
        </w:tc>
        <w:tc>
          <w:tcPr>
            <w:tcW w:w="54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L</w:t>
            </w:r>
          </w:p>
        </w:tc>
      </w:tr>
      <w:tr w:rsidR="005D0418" w:rsidRPr="000A3C73" w:rsidTr="00BF7BA0">
        <w:tc>
          <w:tcPr>
            <w:tcW w:w="3258" w:type="dxa"/>
          </w:tcPr>
          <w:p w:rsidR="005D0418" w:rsidRPr="000A3C73" w:rsidRDefault="005D0418" w:rsidP="005D0418">
            <w:pPr>
              <w:contextualSpacing/>
              <w:jc w:val="right"/>
              <w:rPr>
                <w:rFonts w:asciiTheme="majorHAnsi" w:hAnsiTheme="majorHAnsi"/>
                <w:sz w:val="20"/>
              </w:rPr>
            </w:pPr>
            <w:r w:rsidRPr="000A3C73">
              <w:rPr>
                <w:rFonts w:asciiTheme="majorHAnsi" w:hAnsiTheme="majorHAnsi"/>
                <w:sz w:val="20"/>
              </w:rPr>
              <w:t xml:space="preserve">Institutional framework and governance </w:t>
            </w:r>
          </w:p>
        </w:tc>
        <w:tc>
          <w:tcPr>
            <w:tcW w:w="441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There has been one initial informal meeting of the new transboundary coordination mechanism, the Prespa Park Management Committee (June 2012), but it is not formally functional, and the 2010 agreement is pending ratification in Greece. In MK, the municipality of Resen has clearly accepted responsibility for managing the resources in the Prespa region. In AL, the Prespa National Park Management Committee has been established in an advisory capacity to support a participatory approach in Albanian Prespa, while the national park administration is the official management authority.</w:t>
            </w:r>
            <w:r w:rsidR="00074643">
              <w:rPr>
                <w:rFonts w:asciiTheme="majorHAnsi" w:hAnsiTheme="majorHAnsi"/>
                <w:sz w:val="20"/>
              </w:rPr>
              <w:t xml:space="preserve"> </w:t>
            </w:r>
            <w:r w:rsidRPr="000A3C73">
              <w:rPr>
                <w:rFonts w:asciiTheme="majorHAnsi" w:hAnsiTheme="majorHAnsi"/>
                <w:sz w:val="20"/>
              </w:rPr>
              <w:t xml:space="preserve">The PNP-AL is still lacking independent legal status as a PA within the ministry, an issue that if resolved would strengthen the institutional framework aspect of sustainability. </w:t>
            </w:r>
          </w:p>
        </w:tc>
        <w:tc>
          <w:tcPr>
            <w:tcW w:w="90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N/A</w:t>
            </w:r>
          </w:p>
        </w:tc>
        <w:tc>
          <w:tcPr>
            <w:tcW w:w="54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MU</w:t>
            </w:r>
          </w:p>
        </w:tc>
        <w:tc>
          <w:tcPr>
            <w:tcW w:w="54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L</w:t>
            </w:r>
          </w:p>
        </w:tc>
        <w:tc>
          <w:tcPr>
            <w:tcW w:w="54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ML</w:t>
            </w:r>
          </w:p>
        </w:tc>
      </w:tr>
      <w:tr w:rsidR="005D0418" w:rsidRPr="000A3C73" w:rsidTr="00BF7BA0">
        <w:tc>
          <w:tcPr>
            <w:tcW w:w="3258" w:type="dxa"/>
          </w:tcPr>
          <w:p w:rsidR="005D0418" w:rsidRPr="000A3C73" w:rsidRDefault="005D0418" w:rsidP="005D0418">
            <w:pPr>
              <w:contextualSpacing/>
              <w:jc w:val="right"/>
              <w:rPr>
                <w:rFonts w:asciiTheme="majorHAnsi" w:hAnsiTheme="majorHAnsi"/>
                <w:sz w:val="20"/>
              </w:rPr>
            </w:pPr>
            <w:r w:rsidRPr="000A3C73">
              <w:rPr>
                <w:rFonts w:asciiTheme="majorHAnsi" w:hAnsiTheme="majorHAnsi"/>
                <w:sz w:val="20"/>
              </w:rPr>
              <w:t>Environmental</w:t>
            </w:r>
          </w:p>
        </w:tc>
        <w:tc>
          <w:tcPr>
            <w:tcW w:w="441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 xml:space="preserve">Many of the environmental threats the project was established to address are still in existence, though some progress in threat reduction is being made. There are no significant or new environmental threats that specifically threaten the sustainability of the project results. </w:t>
            </w:r>
          </w:p>
        </w:tc>
        <w:tc>
          <w:tcPr>
            <w:tcW w:w="90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N/A</w:t>
            </w:r>
          </w:p>
        </w:tc>
        <w:tc>
          <w:tcPr>
            <w:tcW w:w="54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N/A</w:t>
            </w:r>
          </w:p>
        </w:tc>
        <w:tc>
          <w:tcPr>
            <w:tcW w:w="54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ML</w:t>
            </w:r>
          </w:p>
        </w:tc>
        <w:tc>
          <w:tcPr>
            <w:tcW w:w="540" w:type="dxa"/>
          </w:tcPr>
          <w:p w:rsidR="005D0418" w:rsidRPr="000A3C73" w:rsidRDefault="005D0418" w:rsidP="005D0418">
            <w:pPr>
              <w:contextualSpacing/>
              <w:rPr>
                <w:rFonts w:asciiTheme="majorHAnsi" w:hAnsiTheme="majorHAnsi"/>
                <w:sz w:val="20"/>
              </w:rPr>
            </w:pPr>
            <w:r w:rsidRPr="000A3C73">
              <w:rPr>
                <w:rFonts w:asciiTheme="majorHAnsi" w:hAnsiTheme="majorHAnsi"/>
                <w:sz w:val="20"/>
              </w:rPr>
              <w:t>ML</w:t>
            </w:r>
          </w:p>
        </w:tc>
      </w:tr>
      <w:tr w:rsidR="005D0418" w:rsidRPr="000A3C73" w:rsidTr="00BF7BA0">
        <w:tc>
          <w:tcPr>
            <w:tcW w:w="3258" w:type="dxa"/>
            <w:shd w:val="clear" w:color="auto" w:fill="BFBFBF"/>
          </w:tcPr>
          <w:p w:rsidR="005D0418" w:rsidRPr="000A3C73" w:rsidRDefault="005D0418" w:rsidP="005D0418">
            <w:pPr>
              <w:contextualSpacing/>
              <w:jc w:val="right"/>
              <w:rPr>
                <w:rFonts w:asciiTheme="majorHAnsi" w:hAnsiTheme="majorHAnsi"/>
                <w:sz w:val="20"/>
              </w:rPr>
            </w:pPr>
            <w:r w:rsidRPr="000A3C73">
              <w:rPr>
                <w:rFonts w:asciiTheme="majorHAnsi" w:hAnsiTheme="majorHAnsi"/>
                <w:b/>
                <w:sz w:val="20"/>
              </w:rPr>
              <w:t>Overall Achievement and Impact</w:t>
            </w:r>
          </w:p>
        </w:tc>
        <w:tc>
          <w:tcPr>
            <w:tcW w:w="4410" w:type="dxa"/>
            <w:shd w:val="clear" w:color="auto" w:fill="BFBFBF"/>
          </w:tcPr>
          <w:p w:rsidR="005D0418" w:rsidRPr="000A3C73" w:rsidRDefault="005D0418" w:rsidP="005D0418">
            <w:pPr>
              <w:contextualSpacing/>
              <w:rPr>
                <w:rFonts w:asciiTheme="majorHAnsi" w:hAnsiTheme="majorHAnsi"/>
                <w:sz w:val="20"/>
              </w:rPr>
            </w:pPr>
            <w:r w:rsidRPr="000A3C73">
              <w:rPr>
                <w:rFonts w:asciiTheme="majorHAnsi" w:hAnsiTheme="majorHAnsi"/>
                <w:sz w:val="20"/>
              </w:rPr>
              <w:t xml:space="preserve">A number of important results have been achieved in the AL and MK national components, and positive work was produced under the transboundary component, but overall the present situation with respect to a transboundary IEM approach is uncertain. This relates primarily to the current level of political will and ability of the three involved countries to actively drive forward transboundary integrated ecosystem management of the Prespa Basin. </w:t>
            </w:r>
          </w:p>
        </w:tc>
        <w:tc>
          <w:tcPr>
            <w:tcW w:w="900" w:type="dxa"/>
            <w:shd w:val="clear" w:color="auto" w:fill="BFBFBF"/>
          </w:tcPr>
          <w:p w:rsidR="005D0418" w:rsidRPr="000A3C73" w:rsidRDefault="005D0418" w:rsidP="005D0418">
            <w:pPr>
              <w:contextualSpacing/>
              <w:rPr>
                <w:rFonts w:asciiTheme="majorHAnsi" w:hAnsiTheme="majorHAnsi"/>
                <w:sz w:val="20"/>
              </w:rPr>
            </w:pPr>
            <w:r w:rsidRPr="000A3C73">
              <w:rPr>
                <w:rFonts w:asciiTheme="majorHAnsi" w:hAnsiTheme="majorHAnsi"/>
                <w:sz w:val="20"/>
              </w:rPr>
              <w:t>MS</w:t>
            </w:r>
          </w:p>
        </w:tc>
        <w:tc>
          <w:tcPr>
            <w:tcW w:w="540" w:type="dxa"/>
            <w:shd w:val="clear" w:color="auto" w:fill="BFBFBF"/>
          </w:tcPr>
          <w:p w:rsidR="005D0418" w:rsidRPr="000A3C73" w:rsidRDefault="005D0418" w:rsidP="005D0418">
            <w:pPr>
              <w:contextualSpacing/>
              <w:rPr>
                <w:rFonts w:asciiTheme="majorHAnsi" w:hAnsiTheme="majorHAnsi"/>
                <w:sz w:val="20"/>
              </w:rPr>
            </w:pPr>
            <w:r w:rsidRPr="000A3C73">
              <w:rPr>
                <w:rFonts w:asciiTheme="majorHAnsi" w:hAnsiTheme="majorHAnsi"/>
                <w:sz w:val="20"/>
              </w:rPr>
              <w:t>MU</w:t>
            </w:r>
          </w:p>
        </w:tc>
        <w:tc>
          <w:tcPr>
            <w:tcW w:w="540" w:type="dxa"/>
            <w:shd w:val="clear" w:color="auto" w:fill="BFBFBF"/>
          </w:tcPr>
          <w:p w:rsidR="005D0418" w:rsidRPr="000A3C73" w:rsidRDefault="005D0418" w:rsidP="005D0418">
            <w:pPr>
              <w:contextualSpacing/>
              <w:rPr>
                <w:rFonts w:asciiTheme="majorHAnsi" w:hAnsiTheme="majorHAnsi"/>
                <w:sz w:val="20"/>
              </w:rPr>
            </w:pPr>
            <w:r w:rsidRPr="000A3C73">
              <w:rPr>
                <w:rFonts w:asciiTheme="majorHAnsi" w:hAnsiTheme="majorHAnsi"/>
                <w:sz w:val="20"/>
              </w:rPr>
              <w:t>S</w:t>
            </w:r>
          </w:p>
        </w:tc>
        <w:tc>
          <w:tcPr>
            <w:tcW w:w="540" w:type="dxa"/>
            <w:shd w:val="clear" w:color="auto" w:fill="BFBFBF"/>
          </w:tcPr>
          <w:p w:rsidR="005D0418" w:rsidRPr="000A3C73" w:rsidRDefault="005D0418" w:rsidP="005D0418">
            <w:pPr>
              <w:contextualSpacing/>
              <w:rPr>
                <w:rFonts w:asciiTheme="majorHAnsi" w:hAnsiTheme="majorHAnsi"/>
                <w:sz w:val="20"/>
              </w:rPr>
            </w:pPr>
            <w:r w:rsidRPr="000A3C73">
              <w:rPr>
                <w:rFonts w:asciiTheme="majorHAnsi" w:hAnsiTheme="majorHAnsi"/>
                <w:sz w:val="20"/>
              </w:rPr>
              <w:t>S</w:t>
            </w:r>
          </w:p>
        </w:tc>
      </w:tr>
    </w:tbl>
    <w:p w:rsidR="00137454" w:rsidRPr="000A3C73" w:rsidRDefault="00137454" w:rsidP="00137454">
      <w:pPr>
        <w:pStyle w:val="BodyText"/>
        <w:numPr>
          <w:ilvl w:val="0"/>
          <w:numId w:val="0"/>
        </w:numPr>
      </w:pPr>
    </w:p>
    <w:p w:rsidR="00137454" w:rsidRPr="000A3C73" w:rsidRDefault="00137454" w:rsidP="00137454">
      <w:pPr>
        <w:pStyle w:val="BodyText"/>
        <w:numPr>
          <w:ilvl w:val="0"/>
          <w:numId w:val="0"/>
        </w:numPr>
      </w:pPr>
    </w:p>
    <w:p w:rsidR="00144091" w:rsidRPr="000A3C73" w:rsidRDefault="00144091" w:rsidP="00B41E00">
      <w:pPr>
        <w:pStyle w:val="Heading1"/>
        <w:ind w:left="360" w:hanging="360"/>
        <w:sectPr w:rsidR="00144091" w:rsidRPr="000A3C73">
          <w:pgSz w:w="12240" w:h="15840"/>
          <w:pgMar w:top="1440" w:right="1440" w:bottom="1440" w:left="1440" w:header="720" w:footer="720" w:gutter="0"/>
          <w:cols w:space="720"/>
        </w:sectPr>
      </w:pPr>
    </w:p>
    <w:p w:rsidR="00FF608B" w:rsidRPr="000A3C73" w:rsidRDefault="00B41E00" w:rsidP="00B41E00">
      <w:pPr>
        <w:pStyle w:val="Heading1"/>
        <w:ind w:left="360" w:hanging="360"/>
      </w:pPr>
      <w:bookmarkStart w:id="178" w:name="_Toc152154303"/>
      <w:bookmarkStart w:id="179" w:name="_Toc238551093"/>
      <w:r w:rsidRPr="000A3C73">
        <w:t>Annexes</w:t>
      </w:r>
      <w:bookmarkEnd w:id="178"/>
      <w:bookmarkEnd w:id="179"/>
    </w:p>
    <w:p w:rsidR="0012337C" w:rsidRPr="000A3C73" w:rsidRDefault="0012337C" w:rsidP="002C0C44">
      <w:pPr>
        <w:pStyle w:val="BodyText"/>
        <w:numPr>
          <w:ilvl w:val="0"/>
          <w:numId w:val="0"/>
        </w:numPr>
      </w:pPr>
      <w:r w:rsidRPr="000A3C73">
        <w:t>Annex 1</w:t>
      </w:r>
      <w:r w:rsidR="00144091" w:rsidRPr="000A3C73">
        <w:t>: Eval</w:t>
      </w:r>
      <w:r w:rsidR="00E564A3" w:rsidRPr="000A3C73">
        <w:t>uation Terms of Reference</w:t>
      </w:r>
    </w:p>
    <w:p w:rsidR="0012337C" w:rsidRPr="000A3C73" w:rsidRDefault="0012337C" w:rsidP="002C0C44">
      <w:pPr>
        <w:pStyle w:val="BodyText"/>
        <w:numPr>
          <w:ilvl w:val="0"/>
          <w:numId w:val="0"/>
        </w:numPr>
      </w:pPr>
      <w:r w:rsidRPr="000A3C73">
        <w:t>Annex 2</w:t>
      </w:r>
      <w:r w:rsidR="00144091" w:rsidRPr="000A3C73">
        <w:t>: GEF Operational Principles</w:t>
      </w:r>
    </w:p>
    <w:p w:rsidR="00144091" w:rsidRPr="000A3C73" w:rsidRDefault="0012337C" w:rsidP="002C0C44">
      <w:pPr>
        <w:pStyle w:val="BodyText"/>
        <w:numPr>
          <w:ilvl w:val="0"/>
          <w:numId w:val="0"/>
        </w:numPr>
      </w:pPr>
      <w:r w:rsidRPr="000A3C73">
        <w:t>Annex 3</w:t>
      </w:r>
      <w:r w:rsidR="00144091" w:rsidRPr="000A3C73">
        <w:t xml:space="preserve">: </w:t>
      </w:r>
      <w:r w:rsidR="00074643" w:rsidRPr="00074643">
        <w:t>Status of Objective and Outcome Indicators Target Delivery</w:t>
      </w:r>
    </w:p>
    <w:p w:rsidR="00E45113" w:rsidRPr="000A3C73" w:rsidRDefault="00EE00FF" w:rsidP="002C0C44">
      <w:pPr>
        <w:pStyle w:val="BodyText"/>
        <w:numPr>
          <w:ilvl w:val="0"/>
          <w:numId w:val="0"/>
        </w:numPr>
      </w:pPr>
      <w:r w:rsidRPr="000A3C73">
        <w:t>Annex 4</w:t>
      </w:r>
      <w:r w:rsidR="00E45113" w:rsidRPr="000A3C73">
        <w:t xml:space="preserve">: </w:t>
      </w:r>
      <w:r w:rsidR="00F901DA">
        <w:t>Follow-up to Mid-term Evaluation Recommendations</w:t>
      </w:r>
    </w:p>
    <w:p w:rsidR="00144091" w:rsidRPr="000A3C73" w:rsidRDefault="00EE00FF" w:rsidP="002C0C44">
      <w:pPr>
        <w:pStyle w:val="BodyText"/>
        <w:numPr>
          <w:ilvl w:val="0"/>
          <w:numId w:val="0"/>
        </w:numPr>
      </w:pPr>
      <w:r w:rsidRPr="000A3C73">
        <w:t xml:space="preserve">Annex </w:t>
      </w:r>
      <w:r w:rsidR="00F901DA">
        <w:t>5</w:t>
      </w:r>
      <w:r w:rsidR="00144091" w:rsidRPr="000A3C73">
        <w:t>: List of Persons Interviewed</w:t>
      </w:r>
    </w:p>
    <w:p w:rsidR="00276CC7" w:rsidRPr="000A3C73" w:rsidRDefault="00EE00FF" w:rsidP="002C0C44">
      <w:pPr>
        <w:pStyle w:val="BodyText"/>
        <w:numPr>
          <w:ilvl w:val="0"/>
          <w:numId w:val="0"/>
        </w:numPr>
      </w:pPr>
      <w:r w:rsidRPr="000A3C73">
        <w:t xml:space="preserve">Annex </w:t>
      </w:r>
      <w:r w:rsidR="00F901DA">
        <w:t>6</w:t>
      </w:r>
      <w:r w:rsidR="00144091" w:rsidRPr="000A3C73">
        <w:t>: Field Visit Schedule</w:t>
      </w:r>
    </w:p>
    <w:p w:rsidR="00FF608B" w:rsidRPr="000A3C73" w:rsidRDefault="00FF608B" w:rsidP="00FF608B">
      <w:pPr>
        <w:pStyle w:val="BodyText"/>
        <w:numPr>
          <w:ilvl w:val="0"/>
          <w:numId w:val="0"/>
        </w:numPr>
      </w:pPr>
    </w:p>
    <w:p w:rsidR="00AE25B3" w:rsidRPr="000A3C73" w:rsidRDefault="00FF608B" w:rsidP="006E436A">
      <w:pPr>
        <w:pStyle w:val="BodyText"/>
        <w:numPr>
          <w:ilvl w:val="0"/>
          <w:numId w:val="0"/>
        </w:numPr>
        <w:rPr>
          <w:b/>
        </w:rPr>
      </w:pPr>
      <w:r w:rsidRPr="000A3C73">
        <w:br w:type="page"/>
      </w:r>
      <w:r w:rsidRPr="000A3C73">
        <w:rPr>
          <w:b/>
        </w:rPr>
        <w:t>Annex 1</w:t>
      </w:r>
      <w:r w:rsidR="00E05B76" w:rsidRPr="000A3C73">
        <w:rPr>
          <w:b/>
        </w:rPr>
        <w:t xml:space="preserve">: </w:t>
      </w:r>
      <w:r w:rsidR="002F6AD6" w:rsidRPr="000A3C73">
        <w:rPr>
          <w:b/>
        </w:rPr>
        <w:t>Terminal</w:t>
      </w:r>
      <w:r w:rsidR="00F64A30" w:rsidRPr="000A3C73">
        <w:rPr>
          <w:b/>
        </w:rPr>
        <w:t xml:space="preserve"> Evaluation </w:t>
      </w:r>
      <w:r w:rsidR="00144091" w:rsidRPr="000A3C73">
        <w:rPr>
          <w:b/>
        </w:rPr>
        <w:t>T</w:t>
      </w:r>
      <w:r w:rsidR="00F64A30" w:rsidRPr="000A3C73">
        <w:rPr>
          <w:b/>
        </w:rPr>
        <w:t>erms of Reference</w:t>
      </w:r>
    </w:p>
    <w:p w:rsidR="00AE25B3" w:rsidRPr="000A3C73" w:rsidRDefault="00AE25B3" w:rsidP="00FF608B">
      <w:pPr>
        <w:pStyle w:val="BodyText"/>
        <w:numPr>
          <w:ilvl w:val="0"/>
          <w:numId w:val="0"/>
        </w:numPr>
      </w:pPr>
    </w:p>
    <w:p w:rsidR="00FF608B" w:rsidRPr="000A3C73" w:rsidRDefault="00AE25B3" w:rsidP="00FF608B">
      <w:pPr>
        <w:pStyle w:val="BodyText"/>
        <w:numPr>
          <w:ilvl w:val="0"/>
          <w:numId w:val="0"/>
        </w:numPr>
        <w:rPr>
          <w:i/>
        </w:rPr>
      </w:pPr>
      <w:r w:rsidRPr="000A3C73">
        <w:rPr>
          <w:i/>
        </w:rPr>
        <w:t xml:space="preserve">Note: For space considerations the annexes of the TORs have not been included.  </w:t>
      </w:r>
    </w:p>
    <w:p w:rsidR="00AE25B3" w:rsidRPr="000A3C73" w:rsidRDefault="00AE25B3" w:rsidP="003C59C6">
      <w:pPr>
        <w:pStyle w:val="BodyText"/>
        <w:numPr>
          <w:ilvl w:val="0"/>
          <w:numId w:val="0"/>
        </w:numPr>
        <w:pBdr>
          <w:bottom w:val="single" w:sz="4" w:space="1" w:color="auto"/>
        </w:pBdr>
      </w:pPr>
    </w:p>
    <w:p w:rsidR="009927E2" w:rsidRPr="000A3C73" w:rsidRDefault="009927E2" w:rsidP="0013240E">
      <w:pPr>
        <w:jc w:val="both"/>
        <w:rPr>
          <w:rFonts w:asciiTheme="majorHAnsi" w:hAnsiTheme="majorHAnsi"/>
        </w:rPr>
      </w:pPr>
    </w:p>
    <w:p w:rsidR="009927E2" w:rsidRPr="000A3C73" w:rsidRDefault="000A0F25" w:rsidP="009927E2">
      <w:pPr>
        <w:jc w:val="center"/>
        <w:rPr>
          <w:rFonts w:asciiTheme="majorHAnsi" w:hAnsiTheme="majorHAnsi"/>
        </w:rPr>
      </w:pPr>
      <w:r w:rsidRPr="000A3C73">
        <w:rPr>
          <w:rFonts w:asciiTheme="majorHAnsi" w:hAnsiTheme="majorHAnsi"/>
          <w:b/>
        </w:rPr>
        <w:t xml:space="preserve">Terminal Evaluation </w:t>
      </w:r>
      <w:r w:rsidR="009927E2" w:rsidRPr="000A3C73">
        <w:rPr>
          <w:rFonts w:asciiTheme="majorHAnsi" w:hAnsiTheme="majorHAnsi"/>
          <w:b/>
        </w:rPr>
        <w:t>Terms of Reference</w:t>
      </w:r>
    </w:p>
    <w:p w:rsidR="00F71452" w:rsidRPr="000A3C73" w:rsidRDefault="00F71452" w:rsidP="0039128E">
      <w:pPr>
        <w:jc w:val="both"/>
        <w:rPr>
          <w:rFonts w:asciiTheme="majorHAnsi" w:hAnsiTheme="majorHAnsi"/>
          <w:snapToGrid w:val="0"/>
          <w:color w:val="000000"/>
        </w:rPr>
      </w:pPr>
    </w:p>
    <w:tbl>
      <w:tblPr>
        <w:tblW w:w="5000" w:type="pct"/>
        <w:tblLayout w:type="fixed"/>
        <w:tblLook w:val="00A0"/>
      </w:tblPr>
      <w:tblGrid>
        <w:gridCol w:w="4294"/>
        <w:gridCol w:w="5282"/>
      </w:tblGrid>
      <w:tr w:rsidR="000A0F25" w:rsidRPr="000A3C73" w:rsidTr="005A7184">
        <w:trPr>
          <w:trHeight w:val="271"/>
        </w:trPr>
        <w:tc>
          <w:tcPr>
            <w:tcW w:w="2242" w:type="pct"/>
            <w:noWrap/>
          </w:tcPr>
          <w:p w:rsidR="000A0F25" w:rsidRPr="000A3C73" w:rsidRDefault="000A0F25" w:rsidP="005A7184">
            <w:pPr>
              <w:jc w:val="both"/>
              <w:rPr>
                <w:rFonts w:ascii="Calibri" w:hAnsi="Calibri" w:cs="Arial"/>
                <w:b/>
                <w:bCs/>
                <w:szCs w:val="22"/>
              </w:rPr>
            </w:pPr>
            <w:r w:rsidRPr="000A3C73">
              <w:rPr>
                <w:rFonts w:ascii="Calibri" w:hAnsi="Calibri" w:cs="Arial"/>
                <w:b/>
                <w:bCs/>
                <w:szCs w:val="22"/>
              </w:rPr>
              <w:t>Project</w:t>
            </w:r>
          </w:p>
        </w:tc>
        <w:tc>
          <w:tcPr>
            <w:tcW w:w="2758" w:type="pct"/>
            <w:noWrap/>
          </w:tcPr>
          <w:p w:rsidR="000A0F25" w:rsidRPr="000A3C73" w:rsidRDefault="000A0F25" w:rsidP="005A7184">
            <w:pPr>
              <w:jc w:val="both"/>
              <w:rPr>
                <w:rFonts w:ascii="Calibri" w:hAnsi="Calibri" w:cs="Arial"/>
                <w:szCs w:val="22"/>
              </w:rPr>
            </w:pPr>
            <w:r w:rsidRPr="000A3C73">
              <w:rPr>
                <w:rFonts w:ascii="Calibri" w:hAnsi="Calibri" w:cs="Arial"/>
                <w:bCs/>
                <w:szCs w:val="22"/>
              </w:rPr>
              <w:t>PIMS 1996 – Integrated Ecosystem Management in the Prespa Lakes Basin of Albania, FYR Macedonia and Greece</w:t>
            </w:r>
          </w:p>
        </w:tc>
      </w:tr>
      <w:tr w:rsidR="000A0F25" w:rsidRPr="000A3C73" w:rsidTr="005A7184">
        <w:trPr>
          <w:trHeight w:val="275"/>
        </w:trPr>
        <w:tc>
          <w:tcPr>
            <w:tcW w:w="2242" w:type="pct"/>
            <w:noWrap/>
          </w:tcPr>
          <w:p w:rsidR="000A0F25" w:rsidRPr="000A3C73" w:rsidRDefault="000A0F25" w:rsidP="005A7184">
            <w:pPr>
              <w:jc w:val="both"/>
              <w:rPr>
                <w:rFonts w:ascii="Calibri" w:hAnsi="Calibri" w:cs="Arial"/>
                <w:b/>
                <w:bCs/>
                <w:szCs w:val="22"/>
              </w:rPr>
            </w:pPr>
            <w:r w:rsidRPr="000A3C73">
              <w:rPr>
                <w:rFonts w:ascii="Calibri" w:hAnsi="Calibri" w:cs="Arial"/>
                <w:b/>
                <w:bCs/>
                <w:szCs w:val="22"/>
              </w:rPr>
              <w:t>Duty Station</w:t>
            </w:r>
          </w:p>
        </w:tc>
        <w:tc>
          <w:tcPr>
            <w:tcW w:w="2758" w:type="pct"/>
            <w:noWrap/>
          </w:tcPr>
          <w:p w:rsidR="000A0F25" w:rsidRPr="000A3C73" w:rsidRDefault="000A0F25" w:rsidP="005A7184">
            <w:pPr>
              <w:jc w:val="both"/>
              <w:rPr>
                <w:rFonts w:ascii="Calibri" w:hAnsi="Calibri" w:cs="Arial"/>
                <w:szCs w:val="22"/>
              </w:rPr>
            </w:pPr>
            <w:r w:rsidRPr="000A3C73">
              <w:rPr>
                <w:rFonts w:ascii="Calibri" w:hAnsi="Calibri" w:cs="Arial"/>
                <w:szCs w:val="22"/>
              </w:rPr>
              <w:t>Home-based + one mission in the Prespa</w:t>
            </w:r>
            <w:bookmarkStart w:id="180" w:name="_GoBack"/>
            <w:bookmarkEnd w:id="180"/>
            <w:r w:rsidRPr="000A3C73">
              <w:rPr>
                <w:rFonts w:ascii="Calibri" w:hAnsi="Calibri" w:cs="Arial"/>
                <w:szCs w:val="22"/>
              </w:rPr>
              <w:t xml:space="preserve"> region </w:t>
            </w:r>
          </w:p>
        </w:tc>
      </w:tr>
      <w:tr w:rsidR="000A0F25" w:rsidRPr="000A3C73" w:rsidTr="005A7184">
        <w:trPr>
          <w:trHeight w:val="281"/>
        </w:trPr>
        <w:tc>
          <w:tcPr>
            <w:tcW w:w="2242" w:type="pct"/>
            <w:noWrap/>
          </w:tcPr>
          <w:p w:rsidR="000A0F25" w:rsidRPr="000A3C73" w:rsidRDefault="000A0F25" w:rsidP="005A7184">
            <w:pPr>
              <w:jc w:val="both"/>
              <w:rPr>
                <w:rFonts w:ascii="Calibri" w:hAnsi="Calibri" w:cs="Arial"/>
                <w:b/>
                <w:bCs/>
                <w:szCs w:val="22"/>
              </w:rPr>
            </w:pPr>
            <w:r w:rsidRPr="000A3C73">
              <w:rPr>
                <w:rFonts w:ascii="Calibri" w:hAnsi="Calibri" w:cs="Arial"/>
                <w:b/>
                <w:bCs/>
                <w:szCs w:val="22"/>
              </w:rPr>
              <w:t>Expected Duration of Assignment</w:t>
            </w:r>
          </w:p>
        </w:tc>
        <w:tc>
          <w:tcPr>
            <w:tcW w:w="2758" w:type="pct"/>
            <w:noWrap/>
          </w:tcPr>
          <w:p w:rsidR="000A0F25" w:rsidRPr="000A3C73" w:rsidRDefault="000A0F25" w:rsidP="005A7184">
            <w:pPr>
              <w:jc w:val="both"/>
              <w:rPr>
                <w:rFonts w:ascii="Calibri" w:hAnsi="Calibri" w:cs="Arial"/>
                <w:szCs w:val="22"/>
              </w:rPr>
            </w:pPr>
            <w:r w:rsidRPr="000A3C73">
              <w:rPr>
                <w:rFonts w:ascii="Calibri" w:hAnsi="Calibri" w:cs="Arial"/>
                <w:szCs w:val="22"/>
              </w:rPr>
              <w:t>Approximately 25 days</w:t>
            </w:r>
          </w:p>
        </w:tc>
      </w:tr>
      <w:tr w:rsidR="000A0F25" w:rsidRPr="000A3C73" w:rsidTr="005A7184">
        <w:trPr>
          <w:trHeight w:val="270"/>
        </w:trPr>
        <w:tc>
          <w:tcPr>
            <w:tcW w:w="2242" w:type="pct"/>
            <w:noWrap/>
          </w:tcPr>
          <w:p w:rsidR="000A0F25" w:rsidRPr="000A3C73" w:rsidRDefault="000A0F25" w:rsidP="005A7184">
            <w:pPr>
              <w:jc w:val="both"/>
              <w:rPr>
                <w:rFonts w:ascii="Calibri" w:hAnsi="Calibri" w:cs="Arial"/>
                <w:b/>
                <w:bCs/>
                <w:szCs w:val="22"/>
              </w:rPr>
            </w:pPr>
            <w:r w:rsidRPr="000A3C73">
              <w:rPr>
                <w:rFonts w:ascii="Calibri" w:hAnsi="Calibri" w:cs="Arial"/>
                <w:b/>
                <w:bCs/>
                <w:szCs w:val="22"/>
              </w:rPr>
              <w:t>Starting date</w:t>
            </w:r>
          </w:p>
        </w:tc>
        <w:tc>
          <w:tcPr>
            <w:tcW w:w="2758" w:type="pct"/>
            <w:noWrap/>
          </w:tcPr>
          <w:p w:rsidR="000A0F25" w:rsidRPr="000A3C73" w:rsidRDefault="000A0F25" w:rsidP="005A7184">
            <w:pPr>
              <w:jc w:val="both"/>
              <w:rPr>
                <w:rFonts w:ascii="Calibri" w:hAnsi="Calibri" w:cs="Arial"/>
                <w:szCs w:val="22"/>
              </w:rPr>
            </w:pPr>
            <w:r w:rsidRPr="000A3C73">
              <w:rPr>
                <w:rFonts w:ascii="Calibri" w:hAnsi="Calibri" w:cs="Arial"/>
                <w:szCs w:val="22"/>
              </w:rPr>
              <w:t>May 2011</w:t>
            </w:r>
          </w:p>
        </w:tc>
      </w:tr>
      <w:tr w:rsidR="000A0F25" w:rsidRPr="000A3C73" w:rsidTr="005A7184">
        <w:trPr>
          <w:trHeight w:val="137"/>
        </w:trPr>
        <w:tc>
          <w:tcPr>
            <w:tcW w:w="2242" w:type="pct"/>
            <w:noWrap/>
          </w:tcPr>
          <w:p w:rsidR="000A0F25" w:rsidRPr="000A3C73" w:rsidRDefault="000A0F25" w:rsidP="005A7184">
            <w:pPr>
              <w:jc w:val="both"/>
              <w:rPr>
                <w:rFonts w:ascii="Calibri" w:hAnsi="Calibri" w:cs="Arial"/>
                <w:b/>
                <w:bCs/>
                <w:szCs w:val="22"/>
              </w:rPr>
            </w:pPr>
            <w:r w:rsidRPr="000A3C73">
              <w:rPr>
                <w:rFonts w:ascii="Calibri" w:hAnsi="Calibri" w:cs="Arial"/>
                <w:b/>
                <w:bCs/>
                <w:szCs w:val="22"/>
              </w:rPr>
              <w:t>Expected End of the Assignment</w:t>
            </w:r>
          </w:p>
        </w:tc>
        <w:tc>
          <w:tcPr>
            <w:tcW w:w="2758" w:type="pct"/>
            <w:noWrap/>
          </w:tcPr>
          <w:p w:rsidR="000A0F25" w:rsidRPr="000A3C73" w:rsidRDefault="000A0F25" w:rsidP="005A7184">
            <w:pPr>
              <w:jc w:val="both"/>
              <w:rPr>
                <w:rFonts w:ascii="Calibri" w:hAnsi="Calibri" w:cs="Arial"/>
                <w:szCs w:val="22"/>
              </w:rPr>
            </w:pPr>
            <w:r w:rsidRPr="000A3C73">
              <w:rPr>
                <w:rFonts w:ascii="Calibri" w:hAnsi="Calibri" w:cs="Arial"/>
                <w:bCs/>
                <w:szCs w:val="22"/>
              </w:rPr>
              <w:t>June 2011</w:t>
            </w:r>
          </w:p>
        </w:tc>
      </w:tr>
    </w:tbl>
    <w:p w:rsidR="000A0F25" w:rsidRPr="000A3C73" w:rsidRDefault="000A0F25" w:rsidP="000A0F25">
      <w:pPr>
        <w:rPr>
          <w:rFonts w:asciiTheme="majorHAnsi" w:hAnsiTheme="majorHAnsi"/>
          <w:szCs w:val="22"/>
        </w:rPr>
      </w:pPr>
      <w:bookmarkStart w:id="181" w:name="_Toc230753967"/>
    </w:p>
    <w:p w:rsidR="000A0F25" w:rsidRPr="000A3C73" w:rsidRDefault="000A0F25" w:rsidP="000A0F25">
      <w:pPr>
        <w:rPr>
          <w:rStyle w:val="Strong"/>
          <w:rFonts w:asciiTheme="majorHAnsi" w:hAnsiTheme="majorHAnsi"/>
        </w:rPr>
      </w:pPr>
      <w:r w:rsidRPr="000A3C73">
        <w:rPr>
          <w:rStyle w:val="Strong"/>
          <w:rFonts w:asciiTheme="majorHAnsi" w:hAnsiTheme="majorHAnsi"/>
        </w:rPr>
        <w:t xml:space="preserve">Background </w:t>
      </w:r>
      <w:bookmarkEnd w:id="181"/>
    </w:p>
    <w:p w:rsidR="000A0F25" w:rsidRPr="000A3C73" w:rsidRDefault="000A0F25" w:rsidP="000A0F25">
      <w:pPr>
        <w:jc w:val="both"/>
        <w:rPr>
          <w:rFonts w:ascii="Calibri" w:hAnsi="Calibri"/>
          <w:szCs w:val="22"/>
        </w:rPr>
      </w:pPr>
      <w:r w:rsidRPr="000A3C73">
        <w:rPr>
          <w:rFonts w:ascii="Calibri" w:hAnsi="Calibri"/>
          <w:szCs w:val="22"/>
        </w:rPr>
        <w:t>The Prespa Lakes Watershed is shared among the three neighboring countries Albania, FYR Macedonia and Greece. It is considered to be an ecosystem of global significance and has been identified as one of Europe’s major trans-boundary “ecological bricks”. The entire Prespa region hosts unique habitats that are important from both a European and global conservation perspective. The health of the trans-boundary ecosystem can only be maintained in the long run through trans-boundary consensus and effective trans-boundary action. At the same time, effective trans-boundary action is only as good as the ability of each littoral country to effect change within their respective national sectors of the Prespa Lakes basin: to change how protected areas, land, forests, water, fisheries, waste, and small scale wastewater treatment are managed.</w:t>
      </w:r>
    </w:p>
    <w:p w:rsidR="000A0F25" w:rsidRPr="000A3C73" w:rsidRDefault="000A0F25" w:rsidP="000A0F25">
      <w:pPr>
        <w:jc w:val="both"/>
        <w:rPr>
          <w:rFonts w:ascii="Calibri" w:hAnsi="Calibri"/>
          <w:szCs w:val="22"/>
        </w:rPr>
      </w:pPr>
    </w:p>
    <w:p w:rsidR="000A0F25" w:rsidRPr="000A3C73" w:rsidRDefault="000A0F25" w:rsidP="000A0F25">
      <w:pPr>
        <w:overflowPunct w:val="0"/>
        <w:autoSpaceDE w:val="0"/>
        <w:autoSpaceDN w:val="0"/>
        <w:adjustRightInd w:val="0"/>
        <w:jc w:val="both"/>
        <w:textAlignment w:val="baseline"/>
        <w:rPr>
          <w:rFonts w:ascii="Calibri" w:hAnsi="Calibri"/>
          <w:szCs w:val="22"/>
        </w:rPr>
      </w:pPr>
      <w:r w:rsidRPr="000A3C73">
        <w:rPr>
          <w:rFonts w:ascii="Calibri" w:hAnsi="Calibri"/>
          <w:szCs w:val="22"/>
        </w:rPr>
        <w:t>For a long period, resource management practices, from water and land-use planning to agriculture, forestry and fisheries were failing to maintain and restore ecosystem health of the trans-boundary Lakes Prespa Basin.  Productive sectors din not incorporate ecosystem health objectives into their daily management practices; protected areas were not able to serve as the refuges of ecosystem health that they should be. Knowledge, experiential, and incentive barriers hampered people’s ability to know of, understand, and adopt new practices. Up to date information on key species and habitats did not exist and modest monitoring of key ecosystem health parameters was</w:t>
      </w:r>
      <w:r w:rsidR="008A60B6" w:rsidRPr="000A3C73">
        <w:rPr>
          <w:rFonts w:ascii="Calibri" w:hAnsi="Calibri"/>
          <w:szCs w:val="22"/>
        </w:rPr>
        <w:t xml:space="preserve"> not done. </w:t>
      </w:r>
      <w:r w:rsidRPr="000A3C73">
        <w:rPr>
          <w:rFonts w:ascii="Calibri" w:hAnsi="Calibri"/>
          <w:szCs w:val="22"/>
        </w:rPr>
        <w:t xml:space="preserve">As a result, key habitats have being lost or degraded, globally significant species were threatened, and stakeholders were ill-prepared to manage a dynamic, ever-changing aquatic ecosystem like the Prespa lakes. </w:t>
      </w:r>
    </w:p>
    <w:p w:rsidR="000A0F25" w:rsidRPr="000A3C73" w:rsidRDefault="000A0F25" w:rsidP="000A0F25">
      <w:pPr>
        <w:overflowPunct w:val="0"/>
        <w:autoSpaceDE w:val="0"/>
        <w:autoSpaceDN w:val="0"/>
        <w:adjustRightInd w:val="0"/>
        <w:jc w:val="both"/>
        <w:textAlignment w:val="baseline"/>
        <w:rPr>
          <w:rFonts w:ascii="Calibri" w:hAnsi="Calibri"/>
          <w:szCs w:val="22"/>
        </w:rPr>
      </w:pPr>
    </w:p>
    <w:p w:rsidR="000A0F25" w:rsidRPr="000A3C73" w:rsidRDefault="000A0F25" w:rsidP="000A0F25">
      <w:pPr>
        <w:overflowPunct w:val="0"/>
        <w:autoSpaceDE w:val="0"/>
        <w:autoSpaceDN w:val="0"/>
        <w:adjustRightInd w:val="0"/>
        <w:jc w:val="both"/>
        <w:textAlignment w:val="baseline"/>
        <w:rPr>
          <w:rFonts w:ascii="Calibri" w:hAnsi="Calibri"/>
          <w:szCs w:val="22"/>
        </w:rPr>
      </w:pPr>
      <w:r w:rsidRPr="000A3C73">
        <w:rPr>
          <w:rFonts w:ascii="Calibri" w:hAnsi="Calibri"/>
          <w:szCs w:val="22"/>
        </w:rPr>
        <w:t xml:space="preserve">Therefore, the full sized GEF project was designed to catalyze the adoption of ecosystem management practices by stakeholders in the Prespa Basin by mainstreaming ecosystem conservation objectives and considerations into relevant productive sector practices and demonstrating proof of concept by piloting new approaches to mitigate productive sector impacts on the Prespa ecosystem. The project also aimed to strengthen the conservation of significant biological diversity and water quality through improved monitoring, targeted research and enabling protected areas to serve as effective refuges for ecosystem health within the Prespa landscape.   </w:t>
      </w:r>
    </w:p>
    <w:p w:rsidR="000A0F25" w:rsidRPr="000A3C73" w:rsidRDefault="000A0F25" w:rsidP="000A0F25">
      <w:pPr>
        <w:overflowPunct w:val="0"/>
        <w:autoSpaceDE w:val="0"/>
        <w:autoSpaceDN w:val="0"/>
        <w:adjustRightInd w:val="0"/>
        <w:jc w:val="both"/>
        <w:textAlignment w:val="baseline"/>
        <w:rPr>
          <w:rFonts w:ascii="Calibri" w:hAnsi="Calibri"/>
          <w:szCs w:val="22"/>
        </w:rPr>
      </w:pPr>
    </w:p>
    <w:p w:rsidR="000A0F25" w:rsidRPr="000A3C73" w:rsidRDefault="000A0F25" w:rsidP="000A0F25">
      <w:pPr>
        <w:jc w:val="both"/>
        <w:rPr>
          <w:rFonts w:ascii="Calibri" w:hAnsi="Calibri" w:cs="Arial"/>
        </w:rPr>
      </w:pPr>
      <w:r w:rsidRPr="000A3C73">
        <w:rPr>
          <w:rFonts w:ascii="Calibri" w:hAnsi="Calibri" w:cs="Arial"/>
        </w:rPr>
        <w:t xml:space="preserve">In that line, the project sought to deliver the following outcomes: </w:t>
      </w:r>
    </w:p>
    <w:p w:rsidR="000A0F25" w:rsidRPr="000A3C73" w:rsidRDefault="000A0F25" w:rsidP="005D3E98">
      <w:pPr>
        <w:numPr>
          <w:ilvl w:val="0"/>
          <w:numId w:val="28"/>
        </w:numPr>
        <w:jc w:val="both"/>
        <w:rPr>
          <w:rFonts w:ascii="Calibri" w:hAnsi="Calibri"/>
        </w:rPr>
      </w:pPr>
      <w:r w:rsidRPr="000A3C73">
        <w:rPr>
          <w:rFonts w:ascii="Calibri" w:hAnsi="Calibri"/>
        </w:rPr>
        <w:t xml:space="preserve">Outcome 1: Stakeholders establish land and water use management basis for maintaining and restoring ecosystem health in the Prespa Lakes Basin; </w:t>
      </w:r>
    </w:p>
    <w:p w:rsidR="000A0F25" w:rsidRPr="000A3C73" w:rsidRDefault="000A0F25" w:rsidP="009E20FE">
      <w:pPr>
        <w:numPr>
          <w:ilvl w:val="0"/>
          <w:numId w:val="28"/>
        </w:numPr>
        <w:jc w:val="both"/>
        <w:rPr>
          <w:rFonts w:ascii="Calibri" w:hAnsi="Calibri"/>
        </w:rPr>
      </w:pPr>
      <w:r w:rsidRPr="000A3C73">
        <w:rPr>
          <w:rFonts w:ascii="Calibri" w:hAnsi="Calibri"/>
        </w:rPr>
        <w:t xml:space="preserve">Outcome 2: Stakeholders modify productive sector resource management practice to reduce pesticide inputs, increase habitat heterogeneity, and improve the status of target species and communities within the Prespa Basin; </w:t>
      </w:r>
    </w:p>
    <w:p w:rsidR="000A0F25" w:rsidRPr="000A3C73" w:rsidRDefault="000A0F25" w:rsidP="009E20FE">
      <w:pPr>
        <w:numPr>
          <w:ilvl w:val="0"/>
          <w:numId w:val="28"/>
        </w:numPr>
        <w:jc w:val="both"/>
        <w:rPr>
          <w:rFonts w:ascii="Calibri" w:hAnsi="Calibri"/>
        </w:rPr>
      </w:pPr>
      <w:r w:rsidRPr="000A3C73">
        <w:rPr>
          <w:rFonts w:ascii="Calibri" w:hAnsi="Calibri"/>
        </w:rPr>
        <w:t xml:space="preserve">Outcome 3: Stakeholders conserve priority biological diversity across the Prespa Basin and make key protected areas in Prespa Basin (PNP, GNP, and EWR) fully operational; </w:t>
      </w:r>
    </w:p>
    <w:p w:rsidR="000A0F25" w:rsidRPr="000A3C73" w:rsidRDefault="000A0F25" w:rsidP="009E20FE">
      <w:pPr>
        <w:numPr>
          <w:ilvl w:val="0"/>
          <w:numId w:val="28"/>
        </w:numPr>
        <w:jc w:val="both"/>
        <w:rPr>
          <w:rFonts w:ascii="Calibri" w:hAnsi="Calibri"/>
        </w:rPr>
      </w:pPr>
      <w:r w:rsidRPr="000A3C73">
        <w:rPr>
          <w:rFonts w:ascii="Calibri" w:hAnsi="Calibri"/>
        </w:rPr>
        <w:t xml:space="preserve">Outcome 4: Stakeholders build upon ongoing transboundary cooperation in the Prespa Basin by strengthening the transboundary coordination mechanism and piloting transboundary conservation and water management; </w:t>
      </w:r>
    </w:p>
    <w:p w:rsidR="000A0F25" w:rsidRPr="000A3C73" w:rsidRDefault="000A0F25" w:rsidP="009E20FE">
      <w:pPr>
        <w:numPr>
          <w:ilvl w:val="0"/>
          <w:numId w:val="28"/>
        </w:numPr>
        <w:jc w:val="both"/>
        <w:rPr>
          <w:rFonts w:ascii="Calibri" w:hAnsi="Calibri"/>
        </w:rPr>
      </w:pPr>
      <w:r w:rsidRPr="000A3C73">
        <w:rPr>
          <w:rFonts w:ascii="Calibri" w:hAnsi="Calibri"/>
        </w:rPr>
        <w:t>Outcome 5: Lessons learnt and adaptive management of project</w:t>
      </w:r>
    </w:p>
    <w:p w:rsidR="000A0F25" w:rsidRPr="000A3C73" w:rsidRDefault="000A0F25" w:rsidP="005D3E98">
      <w:pPr>
        <w:overflowPunct w:val="0"/>
        <w:autoSpaceDE w:val="0"/>
        <w:autoSpaceDN w:val="0"/>
        <w:adjustRightInd w:val="0"/>
        <w:jc w:val="both"/>
        <w:textAlignment w:val="baseline"/>
        <w:rPr>
          <w:rFonts w:ascii="Calibri" w:hAnsi="Calibri"/>
        </w:rPr>
      </w:pPr>
    </w:p>
    <w:p w:rsidR="000A0F25" w:rsidRPr="000A3C73" w:rsidRDefault="000A0F25" w:rsidP="000A0F25">
      <w:pPr>
        <w:overflowPunct w:val="0"/>
        <w:autoSpaceDE w:val="0"/>
        <w:autoSpaceDN w:val="0"/>
        <w:adjustRightInd w:val="0"/>
        <w:jc w:val="both"/>
        <w:textAlignment w:val="baseline"/>
        <w:rPr>
          <w:rFonts w:ascii="Calibri" w:hAnsi="Calibri"/>
          <w:szCs w:val="22"/>
        </w:rPr>
      </w:pPr>
      <w:r w:rsidRPr="000A3C73">
        <w:rPr>
          <w:rFonts w:ascii="Calibri" w:hAnsi="Calibri"/>
          <w:szCs w:val="22"/>
        </w:rPr>
        <w:t xml:space="preserve">The project is implemented under Multiple Execution (MEX) modality, and two national components which are implemented under NEX (NIM) modality (national execution) are entered as separate projects and linked with the trans-boundary component which is implemented under the DEX (DIM) modality (direct execution) in parent – child relations (DEX component = parent).  </w:t>
      </w:r>
    </w:p>
    <w:p w:rsidR="000A0F25" w:rsidRPr="000A3C73" w:rsidRDefault="000A0F25" w:rsidP="000A0F25">
      <w:pPr>
        <w:jc w:val="both"/>
        <w:rPr>
          <w:rFonts w:ascii="Calibri" w:hAnsi="Calibri"/>
          <w:szCs w:val="22"/>
        </w:rPr>
      </w:pPr>
    </w:p>
    <w:p w:rsidR="000A0F25" w:rsidRPr="000A3C73" w:rsidRDefault="000A0F25" w:rsidP="000A0F25">
      <w:pPr>
        <w:jc w:val="both"/>
        <w:rPr>
          <w:rFonts w:ascii="Calibri" w:hAnsi="Calibri"/>
          <w:szCs w:val="22"/>
        </w:rPr>
      </w:pPr>
      <w:r w:rsidRPr="000A3C73">
        <w:rPr>
          <w:rFonts w:ascii="Calibri" w:hAnsi="Calibri"/>
          <w:szCs w:val="22"/>
        </w:rPr>
        <w:t>The Ministry of Environm</w:t>
      </w:r>
      <w:r w:rsidR="00D7722F" w:rsidRPr="000A3C73">
        <w:rPr>
          <w:rFonts w:ascii="Calibri" w:hAnsi="Calibri"/>
          <w:szCs w:val="22"/>
        </w:rPr>
        <w:t>ent Forest and Water Management</w:t>
      </w:r>
      <w:r w:rsidRPr="000A3C73">
        <w:rPr>
          <w:rFonts w:ascii="Calibri" w:hAnsi="Calibri"/>
          <w:szCs w:val="22"/>
        </w:rPr>
        <w:t xml:space="preserve">–Albania and the Ministry of Environment and Physical Planning–Macedonia serve as the Designated Institutions (DI) responsible for coordinating project implementation of the national components of the project. The Project Management Unit for the Macedonian NEX component is based in the city of Resen, within the Prespa Lake Watershed, and is staffed with a Project Manager, Project Specialist and a Project Assistant, with one additional Project Specialist based in Skopje, the capital of the country. The Project Management Unit for the Albanian is based in Tirana and is staffed with a Project Manager, a Project Specialist and a Project Assistant. In addition, there is a Local Project Coordinator based in Korcha near to the Prespa Watershed. In GR-Prespa, there is no PMU </w:t>
      </w:r>
      <w:r w:rsidRPr="000A3C73">
        <w:rPr>
          <w:rFonts w:ascii="Calibri" w:hAnsi="Calibri"/>
          <w:i/>
          <w:szCs w:val="22"/>
        </w:rPr>
        <w:t>per se</w:t>
      </w:r>
      <w:r w:rsidRPr="000A3C73">
        <w:rPr>
          <w:rFonts w:ascii="Calibri" w:hAnsi="Calibri"/>
          <w:szCs w:val="22"/>
        </w:rPr>
        <w:t xml:space="preserve">, but the Ministry of Environment -GR has designated the Management Body for the Prespa Protected Area to serve as the project enabling committee to coordinate project-related activities in Greek Prespa. The trans-boundary Unit is staffed by one Part-time International Trans-boundary Advisor and a Project Assistant and is based in Resen. </w:t>
      </w:r>
    </w:p>
    <w:p w:rsidR="000A0F25" w:rsidRPr="000A3C73" w:rsidRDefault="000A0F25" w:rsidP="000A0F25">
      <w:pPr>
        <w:jc w:val="both"/>
        <w:rPr>
          <w:rFonts w:ascii="Calibri" w:hAnsi="Calibri"/>
          <w:szCs w:val="22"/>
        </w:rPr>
      </w:pPr>
    </w:p>
    <w:p w:rsidR="000A0F25" w:rsidRPr="000A3C73" w:rsidRDefault="000A0F25" w:rsidP="000A0F25">
      <w:pPr>
        <w:jc w:val="both"/>
        <w:rPr>
          <w:rFonts w:asciiTheme="majorHAnsi" w:hAnsiTheme="majorHAnsi"/>
        </w:rPr>
      </w:pPr>
      <w:r w:rsidRPr="000A3C73">
        <w:rPr>
          <w:rFonts w:ascii="Calibri" w:hAnsi="Calibri"/>
          <w:szCs w:val="22"/>
        </w:rPr>
        <w:t xml:space="preserve">The Project Oversight Committee (Project Board) was represented by the Prespa Park Coordination Committee, an interim trilateral body established by the Governments of the </w:t>
      </w:r>
      <w:r w:rsidRPr="000A3C73">
        <w:rPr>
          <w:rFonts w:asciiTheme="majorHAnsi" w:hAnsiTheme="majorHAnsi"/>
        </w:rPr>
        <w:t xml:space="preserve">three </w:t>
      </w:r>
      <w:r w:rsidRPr="000A3C73">
        <w:rPr>
          <w:rFonts w:asciiTheme="majorHAnsi" w:hAnsiTheme="majorHAnsi"/>
          <w:lang w:eastAsia="es-ES"/>
        </w:rPr>
        <w:t>littoral states. The Project Boards comprise of UNDP, local governments and the Ministries of Environment in the relevant country.</w:t>
      </w:r>
    </w:p>
    <w:p w:rsidR="00D7722F" w:rsidRPr="000A3C73" w:rsidRDefault="00D7722F" w:rsidP="000A0F25">
      <w:pPr>
        <w:jc w:val="both"/>
        <w:rPr>
          <w:rFonts w:asciiTheme="majorHAnsi" w:hAnsiTheme="majorHAnsi"/>
        </w:rPr>
      </w:pPr>
    </w:p>
    <w:p w:rsidR="000A0F25" w:rsidRPr="000A3C73" w:rsidRDefault="000A0F25" w:rsidP="000A0F25">
      <w:pPr>
        <w:jc w:val="both"/>
        <w:rPr>
          <w:rFonts w:asciiTheme="majorHAnsi" w:hAnsiTheme="majorHAnsi"/>
        </w:rPr>
      </w:pPr>
      <w:r w:rsidRPr="000A3C73">
        <w:rPr>
          <w:rFonts w:asciiTheme="majorHAnsi" w:hAnsiTheme="majorHAnsi"/>
        </w:rPr>
        <w:t xml:space="preserve">The project has been implemented since April 2006 and is expected to be completed in March 2012. The total GEF contribution amounts to $ 4,300,000.  </w:t>
      </w:r>
    </w:p>
    <w:p w:rsidR="000A0F25" w:rsidRPr="000A3C73" w:rsidRDefault="000A0F25" w:rsidP="000A0F25">
      <w:pPr>
        <w:jc w:val="both"/>
        <w:rPr>
          <w:rFonts w:asciiTheme="majorHAnsi" w:hAnsiTheme="majorHAnsi"/>
          <w:color w:val="FF0000"/>
        </w:rPr>
      </w:pPr>
    </w:p>
    <w:p w:rsidR="000A0F25" w:rsidRPr="0089284E" w:rsidRDefault="000A0F25" w:rsidP="000A0F25">
      <w:pPr>
        <w:pStyle w:val="NoSpacing"/>
        <w:jc w:val="both"/>
        <w:rPr>
          <w:rFonts w:asciiTheme="majorHAnsi" w:hAnsiTheme="majorHAnsi" w:cs="Arial"/>
          <w:sz w:val="24"/>
          <w:szCs w:val="24"/>
          <w:lang w:val="en-US"/>
        </w:rPr>
      </w:pPr>
      <w:r w:rsidRPr="0089284E">
        <w:rPr>
          <w:rFonts w:asciiTheme="majorHAnsi" w:hAnsiTheme="majorHAnsi"/>
          <w:sz w:val="24"/>
          <w:szCs w:val="24"/>
          <w:lang w:val="en-US"/>
        </w:rPr>
        <w:t xml:space="preserve">This Final Evaluation (FE) is initiated by the UNDP CO Skopje as the Implementation Agency for this project and it aims to </w:t>
      </w:r>
      <w:r w:rsidRPr="0089284E">
        <w:rPr>
          <w:rFonts w:asciiTheme="majorHAnsi" w:hAnsiTheme="majorHAnsi" w:cs="Arial"/>
          <w:sz w:val="24"/>
          <w:szCs w:val="24"/>
          <w:lang w:val="en-US"/>
        </w:rPr>
        <w:t>determine whether the project has met its objectives accordingly, to document the lessons learned and best case practices, and to recommend the most appropriate next steps to ensure the sustainability of results.</w:t>
      </w:r>
    </w:p>
    <w:p w:rsidR="000A0F25" w:rsidRPr="0089284E" w:rsidRDefault="000A0F25" w:rsidP="000A0F25">
      <w:pPr>
        <w:pStyle w:val="NoSpacing"/>
        <w:jc w:val="both"/>
        <w:rPr>
          <w:rFonts w:asciiTheme="majorHAnsi" w:hAnsiTheme="majorHAnsi" w:cs="Arial"/>
          <w:sz w:val="24"/>
          <w:szCs w:val="24"/>
          <w:lang w:val="en-US"/>
        </w:rPr>
      </w:pPr>
    </w:p>
    <w:p w:rsidR="000A0F25" w:rsidRPr="00FC657B" w:rsidRDefault="000A0F25" w:rsidP="000A0F25">
      <w:pPr>
        <w:jc w:val="both"/>
        <w:rPr>
          <w:rFonts w:asciiTheme="majorHAnsi" w:hAnsiTheme="majorHAnsi"/>
        </w:rPr>
      </w:pPr>
      <w:r w:rsidRPr="00FC657B">
        <w:rPr>
          <w:rFonts w:asciiTheme="majorHAnsi" w:hAnsiTheme="majorHAnsi"/>
        </w:rPr>
        <w:t>The evaluation is to be undertaken taking into consideration the GEF Monitoring and Evaluation policy (</w:t>
      </w:r>
      <w:hyperlink r:id="rId44" w:history="1">
        <w:r w:rsidRPr="00D77DF1">
          <w:rPr>
            <w:rStyle w:val="Hyperlink"/>
            <w:rFonts w:asciiTheme="majorHAnsi" w:hAnsiTheme="majorHAnsi"/>
          </w:rPr>
          <w:t>http://thegef.org/MonitoringandEvaluation/MEPoliciesProcedures/mepoliciesprocedures.html</w:t>
        </w:r>
      </w:hyperlink>
      <w:r w:rsidRPr="00FC657B">
        <w:rPr>
          <w:rFonts w:asciiTheme="majorHAnsi" w:hAnsiTheme="majorHAnsi"/>
        </w:rPr>
        <w:t>) and the UNDP-GEF Monitoring and Evaluation Policy (</w:t>
      </w:r>
      <w:hyperlink r:id="rId45" w:history="1">
        <w:r w:rsidRPr="00D77DF1">
          <w:rPr>
            <w:rStyle w:val="Hyperlink"/>
            <w:rFonts w:asciiTheme="majorHAnsi" w:hAnsiTheme="majorHAnsi"/>
          </w:rPr>
          <w:t>ht</w:t>
        </w:r>
        <w:r w:rsidRPr="00CD42DE">
          <w:rPr>
            <w:rStyle w:val="Hyperlink"/>
            <w:rFonts w:asciiTheme="majorHAnsi" w:hAnsiTheme="majorHAnsi"/>
          </w:rPr>
          <w:t>tp://www.undp.org/gef/05/monitoring/policies.html</w:t>
        </w:r>
      </w:hyperlink>
      <w:r w:rsidRPr="00FC657B">
        <w:rPr>
          <w:rFonts w:asciiTheme="majorHAnsi" w:hAnsiTheme="majorHAnsi"/>
        </w:rPr>
        <w:t>).</w:t>
      </w:r>
    </w:p>
    <w:p w:rsidR="00D7722F" w:rsidRPr="00D77DF1" w:rsidRDefault="00D7722F" w:rsidP="000A0F25">
      <w:pPr>
        <w:rPr>
          <w:rStyle w:val="Strong"/>
          <w:rFonts w:asciiTheme="majorHAnsi" w:hAnsiTheme="majorHAnsi"/>
        </w:rPr>
      </w:pPr>
      <w:bookmarkStart w:id="182" w:name="_Toc230753969"/>
    </w:p>
    <w:p w:rsidR="000A0F25" w:rsidRPr="00CD42DE" w:rsidRDefault="000A0F25" w:rsidP="000A0F25">
      <w:pPr>
        <w:rPr>
          <w:rStyle w:val="Strong"/>
          <w:rFonts w:asciiTheme="majorHAnsi" w:hAnsiTheme="majorHAnsi"/>
        </w:rPr>
      </w:pPr>
      <w:r w:rsidRPr="00CD42DE">
        <w:rPr>
          <w:rStyle w:val="Strong"/>
          <w:rFonts w:asciiTheme="majorHAnsi" w:hAnsiTheme="majorHAnsi"/>
        </w:rPr>
        <w:t xml:space="preserve">Objective of the Terminal </w:t>
      </w:r>
      <w:bookmarkEnd w:id="182"/>
      <w:r w:rsidRPr="00CD42DE">
        <w:rPr>
          <w:rStyle w:val="Strong"/>
          <w:rFonts w:asciiTheme="majorHAnsi" w:hAnsiTheme="majorHAnsi"/>
        </w:rPr>
        <w:t>Evaluation</w:t>
      </w:r>
    </w:p>
    <w:p w:rsidR="000A0F25" w:rsidRPr="008B7E9A" w:rsidRDefault="000A0F25" w:rsidP="00D7722F">
      <w:pPr>
        <w:pStyle w:val="BodyText"/>
        <w:numPr>
          <w:ilvl w:val="0"/>
          <w:numId w:val="0"/>
        </w:numPr>
        <w:spacing w:before="120" w:after="0"/>
        <w:rPr>
          <w:rFonts w:cs="Arial"/>
        </w:rPr>
      </w:pPr>
      <w:r w:rsidRPr="00AA7D1F">
        <w:rPr>
          <w:rFonts w:cs="Arial"/>
        </w:rPr>
        <w:t xml:space="preserve">This terminal evaluation is intended to assess the relevance, performance and success of the project. It looks at early signs of potential impact and sustainability </w:t>
      </w:r>
      <w:r w:rsidRPr="005E69C8">
        <w:rPr>
          <w:rFonts w:cs="Arial"/>
        </w:rPr>
        <w:t>of results, including the contribution to capacity development and the achievement of glob</w:t>
      </w:r>
      <w:r w:rsidRPr="008B7E9A">
        <w:rPr>
          <w:rFonts w:cs="Arial"/>
        </w:rPr>
        <w:t xml:space="preserve">al environmental goals. It will also identify/document lessons learned and make recommendations that might improve design and implementation of other UNDP-GEF projects. </w:t>
      </w:r>
    </w:p>
    <w:p w:rsidR="00D7722F" w:rsidRPr="0089284E" w:rsidRDefault="00D7722F" w:rsidP="000A0F25">
      <w:pPr>
        <w:pStyle w:val="NoSpacing"/>
        <w:jc w:val="both"/>
        <w:rPr>
          <w:rFonts w:cs="Arial"/>
          <w:sz w:val="24"/>
          <w:szCs w:val="24"/>
          <w:lang w:val="en-US"/>
        </w:rPr>
      </w:pPr>
    </w:p>
    <w:p w:rsidR="000A0F25" w:rsidRPr="0089284E" w:rsidRDefault="000A0F25" w:rsidP="000A0F25">
      <w:pPr>
        <w:pStyle w:val="NoSpacing"/>
        <w:jc w:val="both"/>
        <w:rPr>
          <w:rFonts w:cs="Arial"/>
          <w:sz w:val="24"/>
          <w:szCs w:val="24"/>
          <w:lang w:val="en-US"/>
        </w:rPr>
      </w:pPr>
      <w:r w:rsidRPr="0089284E">
        <w:rPr>
          <w:rFonts w:cs="Arial"/>
          <w:sz w:val="24"/>
          <w:szCs w:val="24"/>
          <w:lang w:val="en-US"/>
        </w:rPr>
        <w:t>The evaluator should seek the perspectives of the different project stakeholders, mainly in the Ministry of Environment and Physical Planning (MEPP), UNDP CO, members of the Project Board, Management Authorities of Protected Areas, Municipalities, NGOs, and other, and ensure such perspectives are duly reflected in the evaluation.</w:t>
      </w:r>
    </w:p>
    <w:p w:rsidR="000A0F25" w:rsidRPr="00FC657B" w:rsidRDefault="000A0F25" w:rsidP="000A0F25">
      <w:pPr>
        <w:spacing w:line="240" w:lineRule="exact"/>
        <w:jc w:val="both"/>
        <w:rPr>
          <w:rFonts w:ascii="Calibri" w:hAnsi="Calibri" w:cs="Arial"/>
          <w:b/>
          <w:smallCaps/>
        </w:rPr>
      </w:pPr>
    </w:p>
    <w:p w:rsidR="000A0F25" w:rsidRPr="00CD42DE" w:rsidRDefault="000A0F25" w:rsidP="000A0F25">
      <w:pPr>
        <w:jc w:val="both"/>
        <w:rPr>
          <w:rFonts w:ascii="Calibri" w:hAnsi="Calibri"/>
        </w:rPr>
      </w:pPr>
      <w:r w:rsidRPr="00FC657B">
        <w:rPr>
          <w:rFonts w:ascii="Calibri" w:hAnsi="Calibri"/>
        </w:rPr>
        <w:t>More specifical</w:t>
      </w:r>
      <w:r w:rsidR="00D7722F" w:rsidRPr="00D77DF1">
        <w:rPr>
          <w:rFonts w:ascii="Calibri" w:hAnsi="Calibri"/>
        </w:rPr>
        <w:t xml:space="preserve">ly the purpose of the FE is:  </w:t>
      </w:r>
    </w:p>
    <w:p w:rsidR="000A0F25" w:rsidRPr="005E69C8" w:rsidRDefault="000A0F25" w:rsidP="000A0F25">
      <w:pPr>
        <w:numPr>
          <w:ilvl w:val="0"/>
          <w:numId w:val="29"/>
        </w:numPr>
        <w:jc w:val="both"/>
        <w:rPr>
          <w:rFonts w:ascii="Calibri" w:hAnsi="Calibri"/>
        </w:rPr>
      </w:pPr>
      <w:r w:rsidRPr="00AA7D1F">
        <w:rPr>
          <w:rFonts w:ascii="Calibri" w:hAnsi="Calibri"/>
        </w:rPr>
        <w:t>To assess overall performance against the project objective and outcomes as set out in the Project Document and other related do</w:t>
      </w:r>
      <w:r w:rsidRPr="005E69C8">
        <w:rPr>
          <w:rFonts w:ascii="Calibri" w:hAnsi="Calibri"/>
        </w:rPr>
        <w:t>cuments;</w:t>
      </w:r>
    </w:p>
    <w:p w:rsidR="000A0F25" w:rsidRPr="008B7E9A" w:rsidRDefault="000A0F25" w:rsidP="000A0F25">
      <w:pPr>
        <w:numPr>
          <w:ilvl w:val="0"/>
          <w:numId w:val="29"/>
        </w:numPr>
        <w:jc w:val="both"/>
        <w:rPr>
          <w:rFonts w:ascii="Calibri" w:hAnsi="Calibri"/>
        </w:rPr>
      </w:pPr>
      <w:r w:rsidRPr="008B7E9A">
        <w:rPr>
          <w:rFonts w:ascii="Calibri" w:hAnsi="Calibri"/>
        </w:rPr>
        <w:t>To assess the effectiveness and efficiency of the project;</w:t>
      </w:r>
    </w:p>
    <w:p w:rsidR="000A0F25" w:rsidRPr="00B71D27" w:rsidRDefault="000A0F25" w:rsidP="000A0F25">
      <w:pPr>
        <w:numPr>
          <w:ilvl w:val="0"/>
          <w:numId w:val="29"/>
        </w:numPr>
        <w:jc w:val="both"/>
        <w:rPr>
          <w:rFonts w:ascii="Calibri" w:hAnsi="Calibri"/>
        </w:rPr>
      </w:pPr>
      <w:r w:rsidRPr="000126EE">
        <w:rPr>
          <w:rFonts w:ascii="Calibri" w:hAnsi="Calibri"/>
        </w:rPr>
        <w:t xml:space="preserve">To analyze critically </w:t>
      </w:r>
      <w:r w:rsidRPr="00B71D27">
        <w:rPr>
          <w:rFonts w:ascii="Calibri" w:hAnsi="Calibri"/>
        </w:rPr>
        <w:t>the implementation and management arrangements of the project;</w:t>
      </w:r>
    </w:p>
    <w:p w:rsidR="000A0F25" w:rsidRPr="00595792" w:rsidRDefault="000A0F25" w:rsidP="000A0F25">
      <w:pPr>
        <w:numPr>
          <w:ilvl w:val="0"/>
          <w:numId w:val="29"/>
        </w:numPr>
        <w:jc w:val="both"/>
        <w:rPr>
          <w:rFonts w:ascii="Calibri" w:hAnsi="Calibri"/>
        </w:rPr>
      </w:pPr>
      <w:r w:rsidRPr="00595792">
        <w:rPr>
          <w:rFonts w:ascii="Calibri" w:hAnsi="Calibri"/>
        </w:rPr>
        <w:t>To assess the progress towards achievement of the outcomes;</w:t>
      </w:r>
    </w:p>
    <w:p w:rsidR="000A0F25" w:rsidRPr="002C744B" w:rsidRDefault="000A0F25" w:rsidP="000A0F25">
      <w:pPr>
        <w:numPr>
          <w:ilvl w:val="0"/>
          <w:numId w:val="29"/>
        </w:numPr>
        <w:jc w:val="both"/>
        <w:rPr>
          <w:rFonts w:ascii="Calibri" w:hAnsi="Calibri"/>
        </w:rPr>
      </w:pPr>
      <w:r w:rsidRPr="00602E30">
        <w:rPr>
          <w:rFonts w:ascii="Calibri" w:hAnsi="Calibri"/>
        </w:rPr>
        <w:t>To asse</w:t>
      </w:r>
      <w:r w:rsidRPr="002A69B7">
        <w:rPr>
          <w:rFonts w:ascii="Calibri" w:hAnsi="Calibri"/>
        </w:rPr>
        <w:t>ss the sustainability of the project</w:t>
      </w:r>
      <w:r w:rsidRPr="002C744B">
        <w:rPr>
          <w:rFonts w:ascii="Calibri" w:hAnsi="Calibri"/>
        </w:rPr>
        <w:t>’s interventions;</w:t>
      </w:r>
    </w:p>
    <w:p w:rsidR="000A0F25" w:rsidRPr="00C56966" w:rsidRDefault="000A0F25" w:rsidP="000A0F25">
      <w:pPr>
        <w:numPr>
          <w:ilvl w:val="0"/>
          <w:numId w:val="29"/>
        </w:numPr>
        <w:jc w:val="both"/>
        <w:rPr>
          <w:rFonts w:ascii="Calibri" w:hAnsi="Calibri"/>
        </w:rPr>
      </w:pPr>
      <w:r w:rsidRPr="00C56966">
        <w:rPr>
          <w:rFonts w:ascii="Calibri" w:hAnsi="Calibri"/>
        </w:rPr>
        <w:t>To list and document initial lessons concerning project design, implementation and management;</w:t>
      </w:r>
    </w:p>
    <w:p w:rsidR="000A0F25" w:rsidRPr="002D3949" w:rsidRDefault="000A0F25" w:rsidP="000A0F25">
      <w:pPr>
        <w:numPr>
          <w:ilvl w:val="0"/>
          <w:numId w:val="29"/>
        </w:numPr>
        <w:jc w:val="both"/>
        <w:rPr>
          <w:rFonts w:ascii="Calibri" w:hAnsi="Calibri"/>
        </w:rPr>
      </w:pPr>
      <w:r w:rsidRPr="002D3949">
        <w:rPr>
          <w:rFonts w:ascii="Calibri" w:hAnsi="Calibri"/>
        </w:rPr>
        <w:t>To assess project relevance to national priorities;</w:t>
      </w:r>
    </w:p>
    <w:p w:rsidR="000A0F25" w:rsidRPr="000A3C73" w:rsidRDefault="000A0F25" w:rsidP="000A0F25">
      <w:pPr>
        <w:numPr>
          <w:ilvl w:val="0"/>
          <w:numId w:val="29"/>
        </w:numPr>
        <w:jc w:val="both"/>
        <w:rPr>
          <w:rFonts w:ascii="Calibri" w:hAnsi="Calibri"/>
        </w:rPr>
      </w:pPr>
      <w:r w:rsidRPr="000A3C73">
        <w:rPr>
          <w:rFonts w:ascii="Calibri" w:hAnsi="Calibri"/>
        </w:rPr>
        <w:t>To provide lessons learned for the future.</w:t>
      </w:r>
    </w:p>
    <w:p w:rsidR="000A0F25" w:rsidRPr="000A3C73" w:rsidRDefault="000A0F25" w:rsidP="000A0F25">
      <w:pPr>
        <w:jc w:val="both"/>
        <w:rPr>
          <w:rFonts w:ascii="Calibri" w:hAnsi="Calibri"/>
          <w:szCs w:val="22"/>
        </w:rPr>
      </w:pPr>
    </w:p>
    <w:p w:rsidR="000A0F25" w:rsidRPr="000A3C73" w:rsidRDefault="000A0F25" w:rsidP="000A0F25">
      <w:pPr>
        <w:rPr>
          <w:rStyle w:val="Strong"/>
          <w:rFonts w:asciiTheme="majorHAnsi" w:hAnsiTheme="majorHAnsi"/>
        </w:rPr>
      </w:pPr>
      <w:r w:rsidRPr="000A3C73">
        <w:rPr>
          <w:rStyle w:val="Strong"/>
          <w:rFonts w:asciiTheme="majorHAnsi" w:hAnsiTheme="majorHAnsi"/>
        </w:rPr>
        <w:t xml:space="preserve">SCOPE OF THE EVALUATION </w:t>
      </w:r>
    </w:p>
    <w:p w:rsidR="000A0F25" w:rsidRPr="0089284E" w:rsidRDefault="000A0F25" w:rsidP="000A0F25">
      <w:pPr>
        <w:pStyle w:val="NoSpacing"/>
        <w:jc w:val="both"/>
        <w:rPr>
          <w:rFonts w:cs="Arial"/>
          <w:lang w:val="en-US"/>
        </w:rPr>
      </w:pPr>
      <w:r w:rsidRPr="0089284E">
        <w:rPr>
          <w:lang w:val="en-US"/>
        </w:rPr>
        <w:t xml:space="preserve">The evaluation will focus on the range of aspects described below. </w:t>
      </w:r>
      <w:r w:rsidRPr="0089284E">
        <w:rPr>
          <w:snapToGrid w:val="0"/>
          <w:color w:val="000000"/>
          <w:lang w:val="en-US"/>
        </w:rPr>
        <w:t xml:space="preserve">In addition to a descriptive assessment, all criteria marked with (R) should be rated using the following divisions: </w:t>
      </w:r>
      <w:r w:rsidRPr="0089284E">
        <w:rPr>
          <w:i/>
          <w:snapToGrid w:val="0"/>
          <w:color w:val="000000"/>
          <w:lang w:val="en-US"/>
        </w:rPr>
        <w:t>Highly Satisfactory, Satisfactory, Marginally Satisfactory, Unsatisfactory</w:t>
      </w:r>
      <w:r w:rsidRPr="0089284E">
        <w:rPr>
          <w:snapToGrid w:val="0"/>
          <w:color w:val="000000"/>
          <w:lang w:val="en-US"/>
        </w:rPr>
        <w:t>. All ratings given should be properly substantiated:</w:t>
      </w:r>
    </w:p>
    <w:p w:rsidR="000A0F25" w:rsidRPr="0089284E" w:rsidRDefault="000A0F25" w:rsidP="000A0F25">
      <w:pPr>
        <w:pStyle w:val="NoSpacing"/>
        <w:jc w:val="both"/>
        <w:rPr>
          <w:rFonts w:cs="Arial"/>
          <w:lang w:val="en-US"/>
        </w:rPr>
      </w:pPr>
    </w:p>
    <w:p w:rsidR="005D3E98" w:rsidRPr="0089284E" w:rsidRDefault="005D3E98" w:rsidP="000A0F25">
      <w:pPr>
        <w:pStyle w:val="NoSpacing"/>
        <w:jc w:val="both"/>
        <w:rPr>
          <w:rFonts w:cs="Arial"/>
          <w:lang w:val="en-US"/>
        </w:rPr>
      </w:pPr>
    </w:p>
    <w:p w:rsidR="005D3E98" w:rsidRPr="0089284E" w:rsidRDefault="005D3E98" w:rsidP="000A0F25">
      <w:pPr>
        <w:pStyle w:val="NoSpacing"/>
        <w:jc w:val="both"/>
        <w:rPr>
          <w:rFonts w:cs="Arial"/>
          <w:lang w:val="en-US"/>
        </w:rPr>
      </w:pPr>
    </w:p>
    <w:p w:rsidR="000A0F25" w:rsidRPr="00FC657B" w:rsidRDefault="000A0F25" w:rsidP="000A0F25">
      <w:pPr>
        <w:jc w:val="both"/>
        <w:rPr>
          <w:rFonts w:ascii="Calibri" w:hAnsi="Calibri"/>
          <w:b/>
        </w:rPr>
      </w:pPr>
      <w:r w:rsidRPr="00FC657B">
        <w:rPr>
          <w:rFonts w:ascii="Calibri" w:hAnsi="Calibri"/>
          <w:b/>
        </w:rPr>
        <w:t>1. Project concept/design, relevance and strategy</w:t>
      </w:r>
    </w:p>
    <w:p w:rsidR="000A0F25" w:rsidRPr="00AA7D1F" w:rsidRDefault="000A0F25" w:rsidP="000A0F25">
      <w:pPr>
        <w:autoSpaceDE w:val="0"/>
        <w:autoSpaceDN w:val="0"/>
        <w:adjustRightInd w:val="0"/>
        <w:rPr>
          <w:rFonts w:ascii="Calibri" w:hAnsi="Calibri"/>
          <w:bCs/>
          <w:i/>
        </w:rPr>
      </w:pPr>
      <w:r w:rsidRPr="00D77DF1">
        <w:rPr>
          <w:rFonts w:ascii="Calibri" w:hAnsi="Calibri"/>
          <w:bCs/>
          <w:i/>
        </w:rPr>
        <w:t xml:space="preserve">1.1 </w:t>
      </w:r>
      <w:r w:rsidRPr="00CD42DE">
        <w:rPr>
          <w:rFonts w:ascii="Calibri" w:hAnsi="Calibri"/>
          <w:bCs/>
          <w:i/>
        </w:rPr>
        <w:t>Project relevance, country ownership/drivenness (R): the extent to which the project is suited to local and national development priorities and organizational polici</w:t>
      </w:r>
      <w:r w:rsidRPr="00AA7D1F">
        <w:rPr>
          <w:rFonts w:ascii="Calibri" w:hAnsi="Calibri"/>
          <w:bCs/>
          <w:i/>
        </w:rPr>
        <w:t>es, including changes over time as well as the extent the activities contribute towards attainment of global environmental benefits:</w:t>
      </w:r>
    </w:p>
    <w:p w:rsidR="000A0F25" w:rsidRPr="0089284E" w:rsidRDefault="000A0F25" w:rsidP="000A0F25">
      <w:pPr>
        <w:pStyle w:val="Default"/>
        <w:ind w:left="360"/>
        <w:jc w:val="both"/>
        <w:rPr>
          <w:rFonts w:ascii="Calibri" w:hAnsi="Calibri"/>
          <w:sz w:val="22"/>
          <w:szCs w:val="22"/>
          <w:lang w:val="en-US"/>
        </w:rPr>
      </w:pPr>
    </w:p>
    <w:p w:rsidR="000A0F25" w:rsidRPr="00FC657B" w:rsidRDefault="000A0F25" w:rsidP="000A0F25">
      <w:pPr>
        <w:numPr>
          <w:ilvl w:val="0"/>
          <w:numId w:val="32"/>
        </w:numPr>
        <w:autoSpaceDE w:val="0"/>
        <w:autoSpaceDN w:val="0"/>
        <w:adjustRightInd w:val="0"/>
        <w:jc w:val="both"/>
        <w:rPr>
          <w:rFonts w:ascii="Calibri" w:hAnsi="Calibri"/>
          <w:bCs/>
        </w:rPr>
      </w:pPr>
      <w:r w:rsidRPr="00FC657B">
        <w:rPr>
          <w:rFonts w:ascii="Calibri" w:hAnsi="Calibri"/>
          <w:bCs/>
        </w:rPr>
        <w:t xml:space="preserve">Is the project concept in line with the sectoral and development priorities and plans of the countries? </w:t>
      </w:r>
    </w:p>
    <w:p w:rsidR="000A0F25" w:rsidRPr="00D77DF1" w:rsidRDefault="000A0F25" w:rsidP="000A0F25">
      <w:pPr>
        <w:numPr>
          <w:ilvl w:val="0"/>
          <w:numId w:val="32"/>
        </w:numPr>
        <w:autoSpaceDE w:val="0"/>
        <w:autoSpaceDN w:val="0"/>
        <w:adjustRightInd w:val="0"/>
        <w:jc w:val="both"/>
        <w:rPr>
          <w:rFonts w:ascii="Calibri" w:hAnsi="Calibri"/>
          <w:bCs/>
        </w:rPr>
      </w:pPr>
      <w:r w:rsidRPr="00FC657B">
        <w:rPr>
          <w:rFonts w:ascii="Calibri" w:hAnsi="Calibri"/>
          <w:bCs/>
        </w:rPr>
        <w:t>Are project outco</w:t>
      </w:r>
      <w:r w:rsidRPr="00D77DF1">
        <w:rPr>
          <w:rFonts w:ascii="Calibri" w:hAnsi="Calibri"/>
          <w:bCs/>
        </w:rPr>
        <w:t>mes contributing to national development priorities and plans?</w:t>
      </w:r>
    </w:p>
    <w:p w:rsidR="000A0F25" w:rsidRPr="00CD42DE" w:rsidRDefault="000A0F25" w:rsidP="000A0F25">
      <w:pPr>
        <w:numPr>
          <w:ilvl w:val="0"/>
          <w:numId w:val="32"/>
        </w:numPr>
        <w:autoSpaceDE w:val="0"/>
        <w:autoSpaceDN w:val="0"/>
        <w:adjustRightInd w:val="0"/>
        <w:jc w:val="both"/>
        <w:rPr>
          <w:rFonts w:ascii="Calibri" w:hAnsi="Calibri"/>
          <w:bCs/>
        </w:rPr>
      </w:pPr>
      <w:r w:rsidRPr="00CD42DE">
        <w:rPr>
          <w:rFonts w:ascii="Calibri" w:hAnsi="Calibri"/>
          <w:bCs/>
        </w:rPr>
        <w:t>How and why project outcomes and strategies contribute to the achievement of the expected results.</w:t>
      </w:r>
    </w:p>
    <w:p w:rsidR="000A0F25" w:rsidRPr="00AA7D1F" w:rsidRDefault="000A0F25" w:rsidP="000A0F25">
      <w:pPr>
        <w:numPr>
          <w:ilvl w:val="0"/>
          <w:numId w:val="32"/>
        </w:numPr>
        <w:autoSpaceDE w:val="0"/>
        <w:autoSpaceDN w:val="0"/>
        <w:adjustRightInd w:val="0"/>
        <w:jc w:val="both"/>
        <w:rPr>
          <w:rFonts w:ascii="Calibri" w:hAnsi="Calibri"/>
          <w:bCs/>
        </w:rPr>
      </w:pPr>
      <w:r w:rsidRPr="00AA7D1F">
        <w:rPr>
          <w:rFonts w:ascii="Calibri" w:hAnsi="Calibri"/>
          <w:bCs/>
        </w:rPr>
        <w:t>Examine their relevance and whether they provide the most effective way towards results.</w:t>
      </w:r>
    </w:p>
    <w:p w:rsidR="000A0F25" w:rsidRPr="008B7E9A" w:rsidRDefault="000A0F25" w:rsidP="000A0F25">
      <w:pPr>
        <w:numPr>
          <w:ilvl w:val="0"/>
          <w:numId w:val="32"/>
        </w:numPr>
        <w:autoSpaceDE w:val="0"/>
        <w:autoSpaceDN w:val="0"/>
        <w:adjustRightInd w:val="0"/>
        <w:jc w:val="both"/>
        <w:rPr>
          <w:rFonts w:ascii="Calibri" w:hAnsi="Calibri"/>
          <w:bCs/>
        </w:rPr>
      </w:pPr>
      <w:r w:rsidRPr="005E69C8">
        <w:rPr>
          <w:rFonts w:ascii="Calibri" w:hAnsi="Calibri"/>
          <w:bCs/>
        </w:rPr>
        <w:t>Were the relevant country representatives, from government and civil society, involved in the p</w:t>
      </w:r>
      <w:r w:rsidRPr="008B7E9A">
        <w:rPr>
          <w:rFonts w:ascii="Calibri" w:hAnsi="Calibri"/>
          <w:bCs/>
        </w:rPr>
        <w:t xml:space="preserve">roject preparation? </w:t>
      </w:r>
    </w:p>
    <w:p w:rsidR="000A0F25" w:rsidRPr="000126EE" w:rsidRDefault="000A0F25" w:rsidP="000A0F25">
      <w:pPr>
        <w:numPr>
          <w:ilvl w:val="0"/>
          <w:numId w:val="32"/>
        </w:numPr>
        <w:autoSpaceDE w:val="0"/>
        <w:autoSpaceDN w:val="0"/>
        <w:adjustRightInd w:val="0"/>
        <w:jc w:val="both"/>
        <w:rPr>
          <w:rFonts w:ascii="Calibri" w:hAnsi="Calibri"/>
          <w:bCs/>
        </w:rPr>
      </w:pPr>
      <w:r w:rsidRPr="000126EE">
        <w:rPr>
          <w:rFonts w:ascii="Calibri" w:hAnsi="Calibri"/>
          <w:bCs/>
        </w:rPr>
        <w:t>Have the governments approved policies or regulatory frameworks in line with the project’s objectives?</w:t>
      </w:r>
    </w:p>
    <w:p w:rsidR="000A0F25" w:rsidRPr="00B71D27" w:rsidRDefault="000A0F25" w:rsidP="000A0F25">
      <w:pPr>
        <w:autoSpaceDE w:val="0"/>
        <w:autoSpaceDN w:val="0"/>
        <w:adjustRightInd w:val="0"/>
        <w:rPr>
          <w:rFonts w:ascii="Calibri" w:hAnsi="Calibri"/>
          <w:bCs/>
          <w:i/>
        </w:rPr>
      </w:pPr>
    </w:p>
    <w:p w:rsidR="000A0F25" w:rsidRPr="00602E30" w:rsidRDefault="000A0F25" w:rsidP="000A0F25">
      <w:pPr>
        <w:autoSpaceDE w:val="0"/>
        <w:autoSpaceDN w:val="0"/>
        <w:adjustRightInd w:val="0"/>
        <w:rPr>
          <w:rFonts w:ascii="Calibri" w:hAnsi="Calibri"/>
          <w:bCs/>
          <w:i/>
        </w:rPr>
      </w:pPr>
      <w:r w:rsidRPr="00595792">
        <w:rPr>
          <w:rFonts w:ascii="Calibri" w:hAnsi="Calibri"/>
          <w:bCs/>
          <w:i/>
        </w:rPr>
        <w:t>1.2 P</w:t>
      </w:r>
      <w:r w:rsidRPr="00602E30">
        <w:rPr>
          <w:rFonts w:ascii="Calibri" w:hAnsi="Calibri"/>
          <w:bCs/>
          <w:i/>
        </w:rPr>
        <w:t xml:space="preserve">reparation and readiness: </w:t>
      </w:r>
    </w:p>
    <w:p w:rsidR="000A0F25" w:rsidRPr="002C744B" w:rsidRDefault="000A0F25" w:rsidP="000A0F25">
      <w:pPr>
        <w:numPr>
          <w:ilvl w:val="0"/>
          <w:numId w:val="31"/>
        </w:numPr>
        <w:autoSpaceDE w:val="0"/>
        <w:autoSpaceDN w:val="0"/>
        <w:adjustRightInd w:val="0"/>
        <w:rPr>
          <w:rFonts w:ascii="Calibri" w:hAnsi="Calibri"/>
          <w:bCs/>
        </w:rPr>
      </w:pPr>
      <w:r w:rsidRPr="002A69B7">
        <w:rPr>
          <w:rFonts w:ascii="Calibri" w:hAnsi="Calibri"/>
          <w:bCs/>
        </w:rPr>
        <w:t>Are the p</w:t>
      </w:r>
      <w:r w:rsidRPr="002C744B">
        <w:rPr>
          <w:rFonts w:ascii="Calibri" w:hAnsi="Calibri"/>
          <w:bCs/>
        </w:rPr>
        <w:t xml:space="preserve">roject’s objective and components clear, practicable and feasible within its timeframe? </w:t>
      </w:r>
    </w:p>
    <w:p w:rsidR="000A0F25" w:rsidRPr="002D3949" w:rsidRDefault="000A0F25" w:rsidP="000A0F25">
      <w:pPr>
        <w:numPr>
          <w:ilvl w:val="0"/>
          <w:numId w:val="31"/>
        </w:numPr>
        <w:autoSpaceDE w:val="0"/>
        <w:autoSpaceDN w:val="0"/>
        <w:adjustRightInd w:val="0"/>
        <w:rPr>
          <w:rFonts w:ascii="Calibri" w:hAnsi="Calibri"/>
          <w:bCs/>
        </w:rPr>
      </w:pPr>
      <w:r w:rsidRPr="00C56966">
        <w:rPr>
          <w:rFonts w:ascii="Calibri" w:hAnsi="Calibri"/>
          <w:bCs/>
        </w:rPr>
        <w:t>Were the capacities of executing institution and counterparts p</w:t>
      </w:r>
      <w:r w:rsidRPr="002D3949">
        <w:rPr>
          <w:rFonts w:ascii="Calibri" w:hAnsi="Calibri"/>
          <w:bCs/>
        </w:rPr>
        <w:t xml:space="preserve">roperly considered when the project was designed? </w:t>
      </w:r>
    </w:p>
    <w:p w:rsidR="000A0F25" w:rsidRPr="000A3C73" w:rsidRDefault="000A0F25" w:rsidP="000A0F25">
      <w:pPr>
        <w:numPr>
          <w:ilvl w:val="0"/>
          <w:numId w:val="31"/>
        </w:numPr>
        <w:autoSpaceDE w:val="0"/>
        <w:autoSpaceDN w:val="0"/>
        <w:adjustRightInd w:val="0"/>
        <w:rPr>
          <w:rFonts w:ascii="Calibri" w:hAnsi="Calibri"/>
          <w:bCs/>
        </w:rPr>
      </w:pPr>
      <w:r w:rsidRPr="000A3C73">
        <w:rPr>
          <w:rFonts w:ascii="Calibri" w:hAnsi="Calibri"/>
          <w:bCs/>
        </w:rPr>
        <w:t xml:space="preserve">Were lessons from other relevant projects properly incorporated in the project design? </w:t>
      </w:r>
    </w:p>
    <w:p w:rsidR="000A0F25" w:rsidRPr="000A3C73" w:rsidRDefault="000A0F25" w:rsidP="000A0F25">
      <w:pPr>
        <w:numPr>
          <w:ilvl w:val="0"/>
          <w:numId w:val="31"/>
        </w:numPr>
        <w:autoSpaceDE w:val="0"/>
        <w:autoSpaceDN w:val="0"/>
        <w:adjustRightInd w:val="0"/>
        <w:rPr>
          <w:rFonts w:ascii="Calibri" w:hAnsi="Calibri"/>
          <w:bCs/>
        </w:rPr>
      </w:pPr>
      <w:r w:rsidRPr="000A3C73">
        <w:rPr>
          <w:rFonts w:ascii="Calibri" w:hAnsi="Calibri"/>
          <w:bCs/>
        </w:rPr>
        <w:t xml:space="preserve">Were the partnership arrangements properly identified and the roles and responsibilities negotiated prior to project approval? </w:t>
      </w:r>
    </w:p>
    <w:p w:rsidR="000A0F25" w:rsidRPr="000A3C73" w:rsidRDefault="000A0F25" w:rsidP="000A0F25">
      <w:pPr>
        <w:numPr>
          <w:ilvl w:val="0"/>
          <w:numId w:val="31"/>
        </w:numPr>
        <w:autoSpaceDE w:val="0"/>
        <w:autoSpaceDN w:val="0"/>
        <w:adjustRightInd w:val="0"/>
        <w:rPr>
          <w:rFonts w:ascii="Calibri" w:hAnsi="Calibri"/>
          <w:bCs/>
        </w:rPr>
      </w:pPr>
      <w:r w:rsidRPr="000A3C73">
        <w:rPr>
          <w:rFonts w:ascii="Calibri" w:hAnsi="Calibri"/>
          <w:bCs/>
        </w:rPr>
        <w:t>Were counterpart resources (funding, staff, and facilities), enabling legislation, and adequate project management arrangements in place at project entry?</w:t>
      </w:r>
    </w:p>
    <w:p w:rsidR="000A0F25" w:rsidRPr="000A3C73" w:rsidRDefault="000A0F25" w:rsidP="000A0F25">
      <w:pPr>
        <w:autoSpaceDE w:val="0"/>
        <w:autoSpaceDN w:val="0"/>
        <w:adjustRightInd w:val="0"/>
        <w:rPr>
          <w:rFonts w:ascii="Calibri" w:hAnsi="Calibri"/>
          <w:bCs/>
          <w:i/>
        </w:rPr>
      </w:pPr>
    </w:p>
    <w:p w:rsidR="000A0F25" w:rsidRPr="000A3C73" w:rsidRDefault="000A0F25" w:rsidP="000A0F25">
      <w:pPr>
        <w:autoSpaceDE w:val="0"/>
        <w:autoSpaceDN w:val="0"/>
        <w:adjustRightInd w:val="0"/>
        <w:rPr>
          <w:rFonts w:ascii="Calibri" w:hAnsi="Calibri"/>
          <w:bCs/>
        </w:rPr>
      </w:pPr>
      <w:r w:rsidRPr="000A3C73">
        <w:rPr>
          <w:rFonts w:ascii="Calibri" w:hAnsi="Calibri"/>
          <w:bCs/>
          <w:i/>
        </w:rPr>
        <w:t>1.3 Stakeholder involvement (R):</w:t>
      </w:r>
    </w:p>
    <w:p w:rsidR="000A0F25" w:rsidRPr="000A3C73" w:rsidRDefault="000A0F25" w:rsidP="000A0F25">
      <w:pPr>
        <w:numPr>
          <w:ilvl w:val="0"/>
          <w:numId w:val="33"/>
        </w:numPr>
        <w:autoSpaceDE w:val="0"/>
        <w:autoSpaceDN w:val="0"/>
        <w:adjustRightInd w:val="0"/>
        <w:rPr>
          <w:rFonts w:ascii="Calibri" w:hAnsi="Calibri"/>
          <w:bCs/>
        </w:rPr>
      </w:pPr>
      <w:r w:rsidRPr="000A3C73">
        <w:rPr>
          <w:rFonts w:ascii="Calibri" w:hAnsi="Calibri"/>
          <w:bCs/>
        </w:rPr>
        <w:t xml:space="preserve">Did the project involve the relevant stakeholders through information-sharing, consultation and by seeking their participation in the project’s design? </w:t>
      </w:r>
    </w:p>
    <w:p w:rsidR="000A0F25" w:rsidRPr="000A3C73" w:rsidRDefault="000A0F25" w:rsidP="000A0F25">
      <w:pPr>
        <w:numPr>
          <w:ilvl w:val="0"/>
          <w:numId w:val="33"/>
        </w:numPr>
        <w:autoSpaceDE w:val="0"/>
        <w:autoSpaceDN w:val="0"/>
        <w:adjustRightInd w:val="0"/>
        <w:rPr>
          <w:rFonts w:ascii="Calibri" w:hAnsi="Calibri"/>
          <w:bCs/>
        </w:rPr>
      </w:pPr>
      <w:r w:rsidRPr="000A3C73">
        <w:rPr>
          <w:rFonts w:ascii="Calibri" w:hAnsi="Calibri"/>
          <w:bCs/>
        </w:rPr>
        <w:t xml:space="preserve">Did the project consult and make use of the skills, experience and knowledge of the appropriate government entities, NGOs, community groups, private sector, local governments and academic institutions in the design of project activities? </w:t>
      </w:r>
    </w:p>
    <w:p w:rsidR="000A0F25" w:rsidRPr="000A3C73" w:rsidRDefault="000A0F25" w:rsidP="000A0F25">
      <w:pPr>
        <w:autoSpaceDE w:val="0"/>
        <w:autoSpaceDN w:val="0"/>
        <w:adjustRightInd w:val="0"/>
        <w:rPr>
          <w:rFonts w:ascii="Calibri" w:hAnsi="Calibri"/>
          <w:bCs/>
        </w:rPr>
      </w:pPr>
    </w:p>
    <w:p w:rsidR="000A0F25" w:rsidRPr="000A3C73" w:rsidRDefault="000A0F25" w:rsidP="000A0F25">
      <w:pPr>
        <w:jc w:val="both"/>
        <w:rPr>
          <w:rFonts w:ascii="Calibri" w:hAnsi="Calibri"/>
          <w:i/>
        </w:rPr>
      </w:pPr>
      <w:r w:rsidRPr="000A3C73">
        <w:rPr>
          <w:rFonts w:ascii="Calibri" w:hAnsi="Calibri"/>
          <w:i/>
        </w:rPr>
        <w:t>1.4 Underlying factors/assumptions:</w:t>
      </w:r>
    </w:p>
    <w:p w:rsidR="000A0F25" w:rsidRPr="000A3C73" w:rsidRDefault="000A0F25" w:rsidP="000A0F25">
      <w:pPr>
        <w:numPr>
          <w:ilvl w:val="0"/>
          <w:numId w:val="35"/>
        </w:numPr>
        <w:autoSpaceDE w:val="0"/>
        <w:autoSpaceDN w:val="0"/>
        <w:adjustRightInd w:val="0"/>
        <w:rPr>
          <w:rFonts w:ascii="Calibri" w:hAnsi="Calibri"/>
          <w:bCs/>
        </w:rPr>
      </w:pPr>
      <w:r w:rsidRPr="000A3C73">
        <w:rPr>
          <w:rFonts w:ascii="Calibri" w:hAnsi="Calibri"/>
          <w:bCs/>
        </w:rPr>
        <w:t>Assess the underlying factors beyond the project’s immediate control that influence outcomes and results.  Consider the appropriateness and effectiveness of the project’s management strategies for these factors.</w:t>
      </w:r>
    </w:p>
    <w:p w:rsidR="000A0F25" w:rsidRPr="000A3C73" w:rsidRDefault="000A0F25" w:rsidP="000A0F25">
      <w:pPr>
        <w:numPr>
          <w:ilvl w:val="0"/>
          <w:numId w:val="35"/>
        </w:numPr>
        <w:autoSpaceDE w:val="0"/>
        <w:autoSpaceDN w:val="0"/>
        <w:adjustRightInd w:val="0"/>
        <w:rPr>
          <w:rFonts w:ascii="Calibri" w:hAnsi="Calibri"/>
          <w:bCs/>
        </w:rPr>
      </w:pPr>
      <w:r w:rsidRPr="000A3C73">
        <w:rPr>
          <w:rFonts w:ascii="Calibri" w:hAnsi="Calibri"/>
          <w:bCs/>
        </w:rPr>
        <w:t>Re-test the assumptions made by the project management and identify new assumptions that should be made.</w:t>
      </w:r>
    </w:p>
    <w:p w:rsidR="000A0F25" w:rsidRPr="000A3C73" w:rsidRDefault="000A0F25" w:rsidP="000A0F25">
      <w:pPr>
        <w:numPr>
          <w:ilvl w:val="0"/>
          <w:numId w:val="35"/>
        </w:numPr>
        <w:autoSpaceDE w:val="0"/>
        <w:autoSpaceDN w:val="0"/>
        <w:adjustRightInd w:val="0"/>
        <w:rPr>
          <w:rFonts w:ascii="Calibri" w:hAnsi="Calibri"/>
          <w:bCs/>
        </w:rPr>
      </w:pPr>
      <w:r w:rsidRPr="000A3C73">
        <w:rPr>
          <w:rFonts w:ascii="Calibri" w:hAnsi="Calibri"/>
          <w:bCs/>
        </w:rPr>
        <w:t>Assess the effect of any incorrect assumptions made by the project.</w:t>
      </w:r>
    </w:p>
    <w:p w:rsidR="000A0F25" w:rsidRPr="000A3C73" w:rsidRDefault="000A0F25" w:rsidP="000A0F25">
      <w:pPr>
        <w:autoSpaceDE w:val="0"/>
        <w:autoSpaceDN w:val="0"/>
        <w:adjustRightInd w:val="0"/>
        <w:rPr>
          <w:rFonts w:ascii="Calibri" w:hAnsi="Calibri"/>
          <w:bCs/>
        </w:rPr>
      </w:pPr>
    </w:p>
    <w:p w:rsidR="000A0F25" w:rsidRPr="000A3C73" w:rsidRDefault="000A0F25" w:rsidP="000A0F25">
      <w:pPr>
        <w:jc w:val="both"/>
        <w:rPr>
          <w:rFonts w:ascii="Calibri" w:eastAsia="MS Mincho" w:hAnsi="Calibri"/>
          <w:bCs/>
          <w:i/>
          <w:color w:val="000000"/>
          <w:lang w:eastAsia="ja-JP"/>
        </w:rPr>
      </w:pPr>
      <w:r w:rsidRPr="000A3C73">
        <w:rPr>
          <w:rFonts w:ascii="Calibri" w:eastAsia="MS Mincho" w:hAnsi="Calibri"/>
          <w:bCs/>
          <w:i/>
          <w:color w:val="000000"/>
          <w:lang w:eastAsia="ja-JP"/>
        </w:rPr>
        <w:t xml:space="preserve">1.5 Management arrangements </w:t>
      </w:r>
      <w:r w:rsidRPr="000A3C73">
        <w:rPr>
          <w:rFonts w:ascii="Calibri" w:hAnsi="Calibri"/>
          <w:bCs/>
          <w:i/>
        </w:rPr>
        <w:t>(R)</w:t>
      </w:r>
      <w:r w:rsidRPr="000A3C73">
        <w:rPr>
          <w:rFonts w:ascii="Calibri" w:eastAsia="MS Mincho" w:hAnsi="Calibri"/>
          <w:bCs/>
          <w:i/>
          <w:color w:val="000000"/>
          <w:lang w:eastAsia="ja-JP"/>
        </w:rPr>
        <w:t>:</w:t>
      </w:r>
    </w:p>
    <w:p w:rsidR="000A0F25" w:rsidRPr="000A3C73" w:rsidRDefault="000A0F25" w:rsidP="000A0F25">
      <w:pPr>
        <w:numPr>
          <w:ilvl w:val="0"/>
          <w:numId w:val="34"/>
        </w:numPr>
        <w:jc w:val="both"/>
        <w:rPr>
          <w:rFonts w:ascii="Calibri" w:eastAsia="MS Mincho" w:hAnsi="Calibri"/>
          <w:bCs/>
          <w:color w:val="000000"/>
          <w:lang w:eastAsia="ja-JP"/>
        </w:rPr>
      </w:pPr>
      <w:r w:rsidRPr="000A3C73">
        <w:rPr>
          <w:rFonts w:ascii="Calibri" w:eastAsia="MS Mincho" w:hAnsi="Calibri"/>
          <w:bCs/>
          <w:color w:val="000000"/>
          <w:lang w:eastAsia="ja-JP"/>
        </w:rPr>
        <w:t>Were the project roles properly assigned during the project design?</w:t>
      </w:r>
    </w:p>
    <w:p w:rsidR="000A0F25" w:rsidRPr="000A3C73" w:rsidRDefault="000A0F25" w:rsidP="000A0F25">
      <w:pPr>
        <w:numPr>
          <w:ilvl w:val="0"/>
          <w:numId w:val="34"/>
        </w:numPr>
        <w:jc w:val="both"/>
        <w:rPr>
          <w:rFonts w:ascii="Calibri" w:eastAsia="MS Mincho" w:hAnsi="Calibri"/>
          <w:bCs/>
          <w:color w:val="000000"/>
          <w:lang w:eastAsia="ja-JP"/>
        </w:rPr>
      </w:pPr>
      <w:r w:rsidRPr="000A3C73">
        <w:rPr>
          <w:rFonts w:ascii="Calibri" w:eastAsia="MS Mincho" w:hAnsi="Calibri"/>
          <w:bCs/>
          <w:color w:val="000000"/>
          <w:lang w:eastAsia="ja-JP"/>
        </w:rPr>
        <w:t>Are the project roles in line with UNDP and GEF programming guidelines?</w:t>
      </w:r>
    </w:p>
    <w:p w:rsidR="000A0F25" w:rsidRPr="000A3C73" w:rsidRDefault="000A0F25" w:rsidP="000A0F25">
      <w:pPr>
        <w:numPr>
          <w:ilvl w:val="0"/>
          <w:numId w:val="34"/>
        </w:numPr>
        <w:jc w:val="both"/>
        <w:rPr>
          <w:rFonts w:ascii="Calibri" w:eastAsia="MS Mincho" w:hAnsi="Calibri"/>
          <w:bCs/>
          <w:i/>
          <w:color w:val="000000"/>
          <w:lang w:eastAsia="ja-JP"/>
        </w:rPr>
      </w:pPr>
      <w:r w:rsidRPr="000A3C73">
        <w:rPr>
          <w:rFonts w:ascii="Calibri" w:eastAsia="MS Mincho" w:hAnsi="Calibri"/>
          <w:bCs/>
          <w:color w:val="000000"/>
          <w:lang w:eastAsia="ja-JP"/>
        </w:rPr>
        <w:t xml:space="preserve">Can the management arrangement model suggested by the project be considered as an optimum model? </w:t>
      </w:r>
    </w:p>
    <w:p w:rsidR="000A0F25" w:rsidRPr="000A3C73" w:rsidRDefault="000A0F25" w:rsidP="000A0F25">
      <w:pPr>
        <w:ind w:left="720"/>
        <w:jc w:val="both"/>
        <w:rPr>
          <w:rFonts w:ascii="Calibri" w:eastAsia="MS Mincho" w:hAnsi="Calibri"/>
          <w:bCs/>
          <w:i/>
          <w:color w:val="000000"/>
          <w:lang w:eastAsia="ja-JP"/>
        </w:rPr>
      </w:pPr>
    </w:p>
    <w:p w:rsidR="000A0F25" w:rsidRPr="000A3C73" w:rsidRDefault="000A0F25" w:rsidP="000A0F25">
      <w:pPr>
        <w:jc w:val="both"/>
        <w:rPr>
          <w:rFonts w:ascii="Calibri" w:eastAsia="MS Mincho" w:hAnsi="Calibri"/>
          <w:bCs/>
          <w:i/>
          <w:color w:val="000000"/>
          <w:lang w:eastAsia="ja-JP"/>
        </w:rPr>
      </w:pPr>
      <w:r w:rsidRPr="000A3C73">
        <w:rPr>
          <w:rFonts w:ascii="Calibri" w:eastAsia="MS Mincho" w:hAnsi="Calibri"/>
          <w:bCs/>
          <w:i/>
          <w:color w:val="000000"/>
          <w:lang w:eastAsia="ja-JP"/>
        </w:rPr>
        <w:t xml:space="preserve">1.6 Project budget and duration </w:t>
      </w:r>
      <w:r w:rsidRPr="000A3C73">
        <w:rPr>
          <w:rFonts w:ascii="Calibri" w:hAnsi="Calibri"/>
          <w:bCs/>
          <w:i/>
        </w:rPr>
        <w:t>(R)</w:t>
      </w:r>
      <w:r w:rsidRPr="000A3C73">
        <w:rPr>
          <w:rFonts w:ascii="Calibri" w:eastAsia="MS Mincho" w:hAnsi="Calibri"/>
          <w:bCs/>
          <w:i/>
          <w:color w:val="000000"/>
          <w:lang w:eastAsia="ja-JP"/>
        </w:rPr>
        <w:t xml:space="preserve">: </w:t>
      </w:r>
    </w:p>
    <w:p w:rsidR="000A0F25" w:rsidRPr="000A3C73" w:rsidRDefault="000A0F25" w:rsidP="000A0F25">
      <w:pPr>
        <w:numPr>
          <w:ilvl w:val="0"/>
          <w:numId w:val="36"/>
        </w:numPr>
        <w:jc w:val="both"/>
        <w:rPr>
          <w:rFonts w:ascii="Calibri" w:eastAsia="MS Mincho" w:hAnsi="Calibri"/>
          <w:bCs/>
          <w:color w:val="000000"/>
          <w:lang w:eastAsia="ja-JP"/>
        </w:rPr>
      </w:pPr>
      <w:r w:rsidRPr="000A3C73">
        <w:rPr>
          <w:rFonts w:ascii="Calibri" w:eastAsia="MS Mincho" w:hAnsi="Calibri"/>
          <w:bCs/>
          <w:color w:val="000000"/>
          <w:lang w:eastAsia="ja-JP"/>
        </w:rPr>
        <w:t>Assess if the project budget and duration were planned in a cost-effective way?</w:t>
      </w:r>
    </w:p>
    <w:p w:rsidR="000A0F25" w:rsidRPr="000A3C73" w:rsidRDefault="000A0F25" w:rsidP="000A0F25">
      <w:pPr>
        <w:jc w:val="both"/>
        <w:rPr>
          <w:rFonts w:ascii="Calibri" w:eastAsia="MS Mincho" w:hAnsi="Calibri"/>
          <w:bCs/>
          <w:i/>
          <w:color w:val="000000"/>
          <w:lang w:eastAsia="ja-JP"/>
        </w:rPr>
      </w:pPr>
    </w:p>
    <w:p w:rsidR="000A0F25" w:rsidRPr="000A3C73" w:rsidRDefault="000A0F25" w:rsidP="000A0F25">
      <w:pPr>
        <w:jc w:val="both"/>
        <w:rPr>
          <w:rFonts w:ascii="Calibri" w:eastAsia="MS Mincho" w:hAnsi="Calibri"/>
          <w:bCs/>
          <w:i/>
          <w:color w:val="000000"/>
          <w:lang w:eastAsia="ja-JP"/>
        </w:rPr>
      </w:pPr>
      <w:r w:rsidRPr="000A3C73">
        <w:rPr>
          <w:rFonts w:ascii="Calibri" w:eastAsia="MS Mincho" w:hAnsi="Calibri"/>
          <w:bCs/>
          <w:i/>
          <w:color w:val="000000"/>
          <w:lang w:eastAsia="ja-JP"/>
        </w:rPr>
        <w:t xml:space="preserve">1.7 Design of project M&amp;E system </w:t>
      </w:r>
      <w:r w:rsidRPr="000A3C73">
        <w:rPr>
          <w:rFonts w:ascii="Calibri" w:hAnsi="Calibri"/>
          <w:bCs/>
          <w:i/>
        </w:rPr>
        <w:t>(R)</w:t>
      </w:r>
      <w:r w:rsidRPr="000A3C73">
        <w:rPr>
          <w:rFonts w:ascii="Calibri" w:eastAsia="MS Mincho" w:hAnsi="Calibri"/>
          <w:bCs/>
          <w:i/>
          <w:color w:val="000000"/>
          <w:lang w:eastAsia="ja-JP"/>
        </w:rPr>
        <w:t>:</w:t>
      </w:r>
    </w:p>
    <w:p w:rsidR="000A0F25" w:rsidRPr="000A3C73" w:rsidRDefault="000A0F25" w:rsidP="000A0F25">
      <w:pPr>
        <w:numPr>
          <w:ilvl w:val="0"/>
          <w:numId w:val="37"/>
        </w:numPr>
        <w:jc w:val="both"/>
        <w:rPr>
          <w:rFonts w:ascii="Calibri" w:eastAsia="MS Mincho" w:hAnsi="Calibri"/>
          <w:bCs/>
          <w:color w:val="000000"/>
          <w:lang w:eastAsia="ja-JP"/>
        </w:rPr>
      </w:pPr>
      <w:r w:rsidRPr="000A3C73">
        <w:rPr>
          <w:rFonts w:ascii="Calibri" w:eastAsia="MS Mincho" w:hAnsi="Calibri"/>
          <w:bCs/>
          <w:color w:val="000000"/>
          <w:lang w:eastAsia="ja-JP"/>
        </w:rPr>
        <w:t>Examine whether or not the project has a sound M&amp;E plan to monitor results and track progress towards achieving project objectives.</w:t>
      </w:r>
    </w:p>
    <w:p w:rsidR="000A0F25" w:rsidRPr="000A3C73" w:rsidRDefault="000A0F25" w:rsidP="000A0F25">
      <w:pPr>
        <w:numPr>
          <w:ilvl w:val="0"/>
          <w:numId w:val="37"/>
        </w:numPr>
        <w:jc w:val="both"/>
        <w:rPr>
          <w:rFonts w:ascii="Calibri" w:eastAsia="MS Mincho" w:hAnsi="Calibri"/>
          <w:bCs/>
          <w:color w:val="000000"/>
          <w:lang w:eastAsia="ja-JP"/>
        </w:rPr>
      </w:pPr>
      <w:r w:rsidRPr="000A3C73">
        <w:rPr>
          <w:rFonts w:ascii="Calibri" w:eastAsia="MS Mincho" w:hAnsi="Calibri"/>
          <w:bCs/>
          <w:color w:val="000000"/>
          <w:lang w:eastAsia="ja-JP"/>
        </w:rPr>
        <w:t>Examine whether or not the M&amp;E plan includes a baseline (including data, methodology, etc.), SMART indicators and data analysis systems, and evaluation studies at specific times to assess results and adequate funding for M&amp;E activities.</w:t>
      </w:r>
    </w:p>
    <w:p w:rsidR="000A0F25" w:rsidRPr="000A3C73" w:rsidRDefault="000A0F25" w:rsidP="000A0F25">
      <w:pPr>
        <w:numPr>
          <w:ilvl w:val="0"/>
          <w:numId w:val="37"/>
        </w:numPr>
        <w:jc w:val="both"/>
        <w:rPr>
          <w:rFonts w:ascii="Calibri" w:eastAsia="MS Mincho" w:hAnsi="Calibri"/>
          <w:bCs/>
          <w:color w:val="000000"/>
          <w:lang w:eastAsia="ja-JP"/>
        </w:rPr>
      </w:pPr>
      <w:r w:rsidRPr="000A3C73">
        <w:rPr>
          <w:rFonts w:ascii="Calibri" w:eastAsia="MS Mincho" w:hAnsi="Calibri"/>
          <w:bCs/>
          <w:color w:val="000000"/>
          <w:lang w:eastAsia="ja-JP"/>
        </w:rPr>
        <w:t>Examine whether or not the time frame for various M&amp;E activities and standards for outputs are specified.</w:t>
      </w:r>
    </w:p>
    <w:p w:rsidR="000A0F25" w:rsidRPr="000A3C73" w:rsidRDefault="000A0F25" w:rsidP="000A0F25">
      <w:pPr>
        <w:jc w:val="both"/>
        <w:rPr>
          <w:rFonts w:ascii="Calibri" w:eastAsia="MS Mincho" w:hAnsi="Calibri"/>
          <w:bCs/>
          <w:i/>
          <w:color w:val="000000"/>
          <w:lang w:eastAsia="ja-JP"/>
        </w:rPr>
      </w:pPr>
    </w:p>
    <w:p w:rsidR="000A0F25" w:rsidRPr="000A3C73" w:rsidRDefault="000A0F25" w:rsidP="000A0F25">
      <w:pPr>
        <w:jc w:val="both"/>
        <w:rPr>
          <w:rFonts w:ascii="Calibri" w:eastAsia="MS Mincho" w:hAnsi="Calibri"/>
          <w:bCs/>
          <w:i/>
          <w:color w:val="000000"/>
          <w:lang w:eastAsia="ja-JP"/>
        </w:rPr>
      </w:pPr>
      <w:r w:rsidRPr="000A3C73">
        <w:rPr>
          <w:rFonts w:ascii="Calibri" w:eastAsia="MS Mincho" w:hAnsi="Calibri"/>
          <w:bCs/>
          <w:i/>
          <w:color w:val="000000"/>
          <w:lang w:eastAsia="ja-JP"/>
        </w:rPr>
        <w:t xml:space="preserve">1.8 Sustainability: </w:t>
      </w:r>
    </w:p>
    <w:p w:rsidR="000A0F25" w:rsidRPr="000A3C73" w:rsidRDefault="000A0F25" w:rsidP="000A0F25">
      <w:pPr>
        <w:numPr>
          <w:ilvl w:val="0"/>
          <w:numId w:val="38"/>
        </w:numPr>
        <w:jc w:val="both"/>
        <w:rPr>
          <w:rFonts w:ascii="Calibri" w:eastAsia="MS Mincho" w:hAnsi="Calibri"/>
          <w:bCs/>
          <w:color w:val="000000"/>
          <w:lang w:eastAsia="ja-JP"/>
        </w:rPr>
      </w:pPr>
      <w:r w:rsidRPr="000A3C73">
        <w:rPr>
          <w:rFonts w:ascii="Calibri" w:eastAsia="MS Mincho" w:hAnsi="Calibri"/>
          <w:bCs/>
          <w:color w:val="000000"/>
          <w:lang w:eastAsia="ja-JP"/>
        </w:rPr>
        <w:t>Assess if project sustainability strategy was developed during the project design?</w:t>
      </w:r>
    </w:p>
    <w:p w:rsidR="000A0F25" w:rsidRPr="000A3C73" w:rsidRDefault="000A0F25" w:rsidP="000A0F25">
      <w:pPr>
        <w:numPr>
          <w:ilvl w:val="0"/>
          <w:numId w:val="38"/>
        </w:numPr>
        <w:jc w:val="both"/>
        <w:rPr>
          <w:rFonts w:ascii="Calibri" w:eastAsia="MS Mincho" w:hAnsi="Calibri"/>
          <w:bCs/>
          <w:color w:val="000000"/>
          <w:lang w:eastAsia="ja-JP"/>
        </w:rPr>
      </w:pPr>
      <w:r w:rsidRPr="000A3C73">
        <w:rPr>
          <w:rFonts w:ascii="Calibri" w:eastAsia="MS Mincho" w:hAnsi="Calibri"/>
          <w:bCs/>
          <w:color w:val="000000"/>
          <w:lang w:eastAsia="ja-JP"/>
        </w:rPr>
        <w:t>Assess the relevance of project sustainability strategy</w:t>
      </w:r>
    </w:p>
    <w:p w:rsidR="000A0F25" w:rsidRPr="000A3C73" w:rsidRDefault="000A0F25" w:rsidP="000A0F25">
      <w:pPr>
        <w:jc w:val="both"/>
        <w:rPr>
          <w:rFonts w:ascii="Calibri" w:hAnsi="Calibri"/>
          <w:b/>
          <w:i/>
          <w:snapToGrid w:val="0"/>
          <w:color w:val="000000"/>
        </w:rPr>
      </w:pPr>
    </w:p>
    <w:p w:rsidR="000A0F25" w:rsidRPr="000A3C73" w:rsidRDefault="000A0F25" w:rsidP="000A0F25">
      <w:pPr>
        <w:jc w:val="both"/>
        <w:rPr>
          <w:rFonts w:ascii="Calibri" w:hAnsi="Calibri"/>
          <w:b/>
        </w:rPr>
      </w:pPr>
      <w:r w:rsidRPr="000A3C73">
        <w:rPr>
          <w:rFonts w:ascii="Calibri" w:hAnsi="Calibri"/>
          <w:b/>
        </w:rPr>
        <w:t xml:space="preserve">2. Project Implementation </w:t>
      </w:r>
    </w:p>
    <w:p w:rsidR="000A0F25" w:rsidRPr="000A3C73" w:rsidRDefault="000A0F25" w:rsidP="000A0F25">
      <w:pPr>
        <w:jc w:val="both"/>
        <w:rPr>
          <w:rFonts w:ascii="Calibri" w:eastAsia="MS Mincho" w:hAnsi="Calibri"/>
          <w:bCs/>
          <w:i/>
          <w:color w:val="000000"/>
          <w:lang w:eastAsia="ja-JP"/>
        </w:rPr>
      </w:pPr>
      <w:r w:rsidRPr="000A3C73">
        <w:rPr>
          <w:rFonts w:ascii="Calibri" w:eastAsia="MS Mincho" w:hAnsi="Calibri"/>
          <w:bCs/>
          <w:i/>
          <w:color w:val="000000"/>
          <w:lang w:eastAsia="ja-JP"/>
        </w:rPr>
        <w:t xml:space="preserve">2.1 Project’s adaptive management </w:t>
      </w:r>
      <w:r w:rsidRPr="000A3C73">
        <w:rPr>
          <w:rFonts w:ascii="Calibri" w:hAnsi="Calibri"/>
          <w:bCs/>
          <w:i/>
        </w:rPr>
        <w:t>(R):</w:t>
      </w:r>
    </w:p>
    <w:p w:rsidR="000A0F25" w:rsidRPr="000A3C73" w:rsidRDefault="000A0F25" w:rsidP="000A0F25">
      <w:pPr>
        <w:numPr>
          <w:ilvl w:val="0"/>
          <w:numId w:val="39"/>
        </w:numPr>
        <w:jc w:val="both"/>
        <w:rPr>
          <w:rFonts w:ascii="Calibri" w:eastAsia="MS Mincho" w:hAnsi="Calibri"/>
          <w:bCs/>
          <w:color w:val="000000"/>
          <w:lang w:eastAsia="ja-JP"/>
        </w:rPr>
      </w:pPr>
      <w:r w:rsidRPr="000A3C73">
        <w:rPr>
          <w:rFonts w:ascii="Calibri" w:eastAsia="MS Mincho" w:hAnsi="Calibri"/>
          <w:bCs/>
          <w:color w:val="000000"/>
          <w:lang w:eastAsia="ja-JP"/>
        </w:rPr>
        <w:t>Monitoring systems</w:t>
      </w:r>
    </w:p>
    <w:p w:rsidR="000A0F25" w:rsidRPr="000A3C73" w:rsidRDefault="000A0F25" w:rsidP="000A0F25">
      <w:pPr>
        <w:numPr>
          <w:ilvl w:val="1"/>
          <w:numId w:val="36"/>
        </w:numPr>
        <w:tabs>
          <w:tab w:val="num" w:pos="1800"/>
        </w:tabs>
        <w:jc w:val="both"/>
        <w:rPr>
          <w:rFonts w:ascii="Calibri" w:hAnsi="Calibri"/>
          <w:color w:val="000000"/>
        </w:rPr>
      </w:pPr>
      <w:r w:rsidRPr="000A3C73">
        <w:rPr>
          <w:rFonts w:ascii="Calibri" w:hAnsi="Calibri"/>
          <w:color w:val="000000"/>
        </w:rPr>
        <w:t>Assess the monitoring tools being used:</w:t>
      </w:r>
    </w:p>
    <w:p w:rsidR="000A0F25" w:rsidRPr="000A3C73" w:rsidRDefault="000A0F25" w:rsidP="000A0F25">
      <w:pPr>
        <w:numPr>
          <w:ilvl w:val="0"/>
          <w:numId w:val="40"/>
        </w:numPr>
        <w:tabs>
          <w:tab w:val="num" w:pos="2520"/>
        </w:tabs>
        <w:jc w:val="both"/>
        <w:rPr>
          <w:rFonts w:ascii="Calibri" w:hAnsi="Calibri"/>
          <w:color w:val="000000"/>
        </w:rPr>
      </w:pPr>
      <w:r w:rsidRPr="000A3C73">
        <w:rPr>
          <w:rFonts w:ascii="Calibri" w:hAnsi="Calibri"/>
          <w:color w:val="000000"/>
        </w:rPr>
        <w:t>Do they provide the necessary information?</w:t>
      </w:r>
    </w:p>
    <w:p w:rsidR="000A0F25" w:rsidRPr="000A3C73" w:rsidRDefault="000A0F25" w:rsidP="000A0F25">
      <w:pPr>
        <w:numPr>
          <w:ilvl w:val="0"/>
          <w:numId w:val="40"/>
        </w:numPr>
        <w:tabs>
          <w:tab w:val="num" w:pos="2520"/>
        </w:tabs>
        <w:jc w:val="both"/>
        <w:rPr>
          <w:rFonts w:ascii="Calibri" w:hAnsi="Calibri"/>
          <w:color w:val="000000"/>
        </w:rPr>
      </w:pPr>
      <w:r w:rsidRPr="000A3C73">
        <w:rPr>
          <w:rFonts w:ascii="Calibri" w:hAnsi="Calibri"/>
          <w:color w:val="000000"/>
        </w:rPr>
        <w:t>Do they involve key partners?</w:t>
      </w:r>
    </w:p>
    <w:p w:rsidR="000A0F25" w:rsidRPr="000A3C73" w:rsidRDefault="000A0F25" w:rsidP="000A0F25">
      <w:pPr>
        <w:numPr>
          <w:ilvl w:val="0"/>
          <w:numId w:val="40"/>
        </w:numPr>
        <w:tabs>
          <w:tab w:val="num" w:pos="2520"/>
        </w:tabs>
        <w:jc w:val="both"/>
        <w:rPr>
          <w:rFonts w:ascii="Calibri" w:hAnsi="Calibri"/>
          <w:color w:val="000000"/>
        </w:rPr>
      </w:pPr>
      <w:r w:rsidRPr="000A3C73">
        <w:rPr>
          <w:rFonts w:ascii="Calibri" w:hAnsi="Calibri"/>
          <w:color w:val="000000"/>
        </w:rPr>
        <w:t>Are they efficient?</w:t>
      </w:r>
    </w:p>
    <w:p w:rsidR="000A0F25" w:rsidRPr="000A3C73" w:rsidRDefault="000A0F25" w:rsidP="000A0F25">
      <w:pPr>
        <w:numPr>
          <w:ilvl w:val="0"/>
          <w:numId w:val="40"/>
        </w:numPr>
        <w:tabs>
          <w:tab w:val="num" w:pos="2520"/>
        </w:tabs>
        <w:jc w:val="both"/>
        <w:rPr>
          <w:rFonts w:ascii="Calibri" w:hAnsi="Calibri"/>
          <w:color w:val="000000"/>
        </w:rPr>
      </w:pPr>
      <w:r w:rsidRPr="000A3C73">
        <w:rPr>
          <w:rFonts w:ascii="Calibri" w:hAnsi="Calibri"/>
          <w:color w:val="000000"/>
        </w:rPr>
        <w:t>Are additional tools required?</w:t>
      </w:r>
    </w:p>
    <w:p w:rsidR="000A0F25" w:rsidRPr="000A3C73" w:rsidRDefault="000A0F25" w:rsidP="000A0F25">
      <w:pPr>
        <w:numPr>
          <w:ilvl w:val="1"/>
          <w:numId w:val="36"/>
        </w:numPr>
        <w:tabs>
          <w:tab w:val="num" w:pos="360"/>
          <w:tab w:val="num" w:pos="1800"/>
        </w:tabs>
        <w:jc w:val="both"/>
        <w:rPr>
          <w:rFonts w:ascii="Calibri" w:hAnsi="Calibri"/>
          <w:color w:val="000000"/>
        </w:rPr>
      </w:pPr>
      <w:r w:rsidRPr="000A3C73">
        <w:rPr>
          <w:rFonts w:ascii="Calibri" w:hAnsi="Calibri"/>
          <w:color w:val="000000"/>
        </w:rPr>
        <w:t>Assess the use of the logical framework as a management tool during implementation and any changes made to it.</w:t>
      </w:r>
    </w:p>
    <w:p w:rsidR="000A0F25" w:rsidRPr="000A3C73" w:rsidRDefault="000A0F25" w:rsidP="000A0F25">
      <w:pPr>
        <w:numPr>
          <w:ilvl w:val="1"/>
          <w:numId w:val="36"/>
        </w:numPr>
        <w:tabs>
          <w:tab w:val="num" w:pos="360"/>
          <w:tab w:val="num" w:pos="1800"/>
        </w:tabs>
        <w:jc w:val="both"/>
        <w:rPr>
          <w:rFonts w:ascii="Calibri" w:hAnsi="Calibri"/>
          <w:color w:val="000000"/>
        </w:rPr>
      </w:pPr>
      <w:r w:rsidRPr="000A3C73">
        <w:rPr>
          <w:rFonts w:ascii="Calibri" w:hAnsi="Calibri"/>
          <w:color w:val="000000"/>
        </w:rPr>
        <w:t>What impact did the retro-fitting of impact indicators have on project management, if such?</w:t>
      </w:r>
    </w:p>
    <w:p w:rsidR="000A0F25" w:rsidRPr="000A3C73" w:rsidRDefault="000A0F25" w:rsidP="000A0F25">
      <w:pPr>
        <w:numPr>
          <w:ilvl w:val="1"/>
          <w:numId w:val="36"/>
        </w:numPr>
        <w:tabs>
          <w:tab w:val="num" w:pos="360"/>
          <w:tab w:val="num" w:pos="1800"/>
        </w:tabs>
        <w:jc w:val="both"/>
        <w:rPr>
          <w:rFonts w:ascii="Calibri" w:hAnsi="Calibri"/>
          <w:color w:val="000000"/>
        </w:rPr>
      </w:pPr>
      <w:r w:rsidRPr="000A3C73">
        <w:rPr>
          <w:rFonts w:ascii="Calibri" w:hAnsi="Calibri"/>
          <w:color w:val="000000"/>
        </w:rPr>
        <w:t>Assess whether or not M&amp;E system facilitates timely tracking of progress towards project’s objectives by collecting information on chosen indicators continually; annual project reports are complete, accurate and with well justified ratings; the information provided by the M&amp;E system is used to improve project performance and to adapt to changing needs.</w:t>
      </w:r>
    </w:p>
    <w:p w:rsidR="000A0F25" w:rsidRPr="000A3C73" w:rsidRDefault="000A0F25" w:rsidP="000A0F25">
      <w:pPr>
        <w:tabs>
          <w:tab w:val="num" w:pos="2520"/>
        </w:tabs>
        <w:ind w:left="1440"/>
        <w:jc w:val="both"/>
        <w:rPr>
          <w:rFonts w:ascii="Calibri" w:hAnsi="Calibri"/>
          <w:color w:val="000000"/>
        </w:rPr>
      </w:pPr>
    </w:p>
    <w:p w:rsidR="000A0F25" w:rsidRPr="000A3C73" w:rsidRDefault="000A0F25" w:rsidP="000A0F25">
      <w:pPr>
        <w:numPr>
          <w:ilvl w:val="0"/>
          <w:numId w:val="39"/>
        </w:numPr>
        <w:jc w:val="both"/>
        <w:rPr>
          <w:rFonts w:ascii="Calibri" w:hAnsi="Calibri"/>
          <w:color w:val="000000"/>
        </w:rPr>
      </w:pPr>
      <w:r w:rsidRPr="000A3C73">
        <w:rPr>
          <w:rFonts w:ascii="Calibri" w:hAnsi="Calibri"/>
          <w:color w:val="000000"/>
        </w:rPr>
        <w:t>Risk Management</w:t>
      </w:r>
    </w:p>
    <w:p w:rsidR="000A0F25" w:rsidRPr="000A3C73" w:rsidRDefault="000A0F25" w:rsidP="000A0F25">
      <w:pPr>
        <w:numPr>
          <w:ilvl w:val="1"/>
          <w:numId w:val="36"/>
        </w:numPr>
        <w:tabs>
          <w:tab w:val="num" w:pos="360"/>
          <w:tab w:val="num" w:pos="1800"/>
        </w:tabs>
        <w:jc w:val="both"/>
        <w:rPr>
          <w:rFonts w:ascii="Calibri" w:hAnsi="Calibri"/>
          <w:color w:val="000000"/>
        </w:rPr>
      </w:pPr>
      <w:r w:rsidRPr="000A3C73">
        <w:rPr>
          <w:rFonts w:ascii="Calibri" w:hAnsi="Calibri"/>
          <w:color w:val="000000"/>
        </w:rPr>
        <w:t>Validate whether the risks identified in the project document and PIRs are the most important and whether the risk ratings applied are appropriate.  If not, explain why.</w:t>
      </w:r>
    </w:p>
    <w:p w:rsidR="000A0F25" w:rsidRPr="000A3C73" w:rsidRDefault="000A0F25" w:rsidP="000A0F25">
      <w:pPr>
        <w:numPr>
          <w:ilvl w:val="1"/>
          <w:numId w:val="36"/>
        </w:numPr>
        <w:tabs>
          <w:tab w:val="num" w:pos="360"/>
          <w:tab w:val="num" w:pos="1800"/>
        </w:tabs>
        <w:jc w:val="both"/>
        <w:rPr>
          <w:rFonts w:ascii="Calibri" w:hAnsi="Calibri"/>
          <w:color w:val="000000"/>
        </w:rPr>
      </w:pPr>
      <w:r w:rsidRPr="000A3C73">
        <w:rPr>
          <w:rFonts w:ascii="Calibri" w:hAnsi="Calibri"/>
          <w:color w:val="000000"/>
        </w:rPr>
        <w:t>Describe any additional risks identified and suggest risk ratings and possible risk management strategies to be adopted.</w:t>
      </w:r>
    </w:p>
    <w:p w:rsidR="000A0F25" w:rsidRPr="000A3C73" w:rsidRDefault="000A0F25" w:rsidP="000A0F25">
      <w:pPr>
        <w:numPr>
          <w:ilvl w:val="1"/>
          <w:numId w:val="36"/>
        </w:numPr>
        <w:tabs>
          <w:tab w:val="num" w:pos="360"/>
          <w:tab w:val="num" w:pos="1800"/>
        </w:tabs>
        <w:jc w:val="both"/>
        <w:rPr>
          <w:rFonts w:ascii="Calibri" w:hAnsi="Calibri"/>
          <w:color w:val="000000"/>
        </w:rPr>
      </w:pPr>
      <w:r w:rsidRPr="000A3C73">
        <w:rPr>
          <w:rFonts w:ascii="Calibri" w:hAnsi="Calibri"/>
          <w:color w:val="000000"/>
        </w:rPr>
        <w:t>Assess the project’s risk identification and management systems:</w:t>
      </w:r>
    </w:p>
    <w:p w:rsidR="000A0F25" w:rsidRPr="000A3C73" w:rsidRDefault="000A0F25" w:rsidP="000A0F25">
      <w:pPr>
        <w:numPr>
          <w:ilvl w:val="0"/>
          <w:numId w:val="40"/>
        </w:numPr>
        <w:tabs>
          <w:tab w:val="num" w:pos="1080"/>
        </w:tabs>
        <w:jc w:val="both"/>
        <w:rPr>
          <w:rFonts w:ascii="Calibri" w:hAnsi="Calibri"/>
          <w:color w:val="000000"/>
        </w:rPr>
      </w:pPr>
      <w:r w:rsidRPr="000A3C73">
        <w:rPr>
          <w:rFonts w:ascii="Calibri" w:hAnsi="Calibri"/>
          <w:color w:val="000000"/>
        </w:rPr>
        <w:t>Is the UNDP-GEF Risk Management System appropriately applied?</w:t>
      </w:r>
    </w:p>
    <w:p w:rsidR="000A0F25" w:rsidRPr="000A3C73" w:rsidRDefault="000A0F25" w:rsidP="000A0F25">
      <w:pPr>
        <w:numPr>
          <w:ilvl w:val="0"/>
          <w:numId w:val="39"/>
        </w:numPr>
        <w:jc w:val="both"/>
        <w:rPr>
          <w:rFonts w:ascii="Calibri" w:hAnsi="Calibri"/>
          <w:color w:val="000000"/>
        </w:rPr>
      </w:pPr>
      <w:r w:rsidRPr="000A3C73">
        <w:rPr>
          <w:rFonts w:ascii="Calibri" w:hAnsi="Calibri"/>
          <w:color w:val="000000"/>
        </w:rPr>
        <w:t>Work Planning</w:t>
      </w:r>
    </w:p>
    <w:p w:rsidR="000A0F25" w:rsidRPr="000A3C73" w:rsidRDefault="000A0F25" w:rsidP="000A0F25">
      <w:pPr>
        <w:numPr>
          <w:ilvl w:val="1"/>
          <w:numId w:val="36"/>
        </w:numPr>
        <w:tabs>
          <w:tab w:val="num" w:pos="360"/>
          <w:tab w:val="num" w:pos="1800"/>
        </w:tabs>
        <w:jc w:val="both"/>
        <w:rPr>
          <w:rFonts w:ascii="Calibri" w:hAnsi="Calibri"/>
          <w:color w:val="000000"/>
        </w:rPr>
      </w:pPr>
      <w:r w:rsidRPr="000A3C73">
        <w:rPr>
          <w:rFonts w:ascii="Calibri" w:hAnsi="Calibri"/>
          <w:color w:val="000000"/>
        </w:rPr>
        <w:t>Assess the use of routinely updated work plans.</w:t>
      </w:r>
    </w:p>
    <w:p w:rsidR="000A0F25" w:rsidRPr="000A3C73" w:rsidRDefault="000A0F25" w:rsidP="000A0F25">
      <w:pPr>
        <w:numPr>
          <w:ilvl w:val="1"/>
          <w:numId w:val="36"/>
        </w:numPr>
        <w:tabs>
          <w:tab w:val="num" w:pos="360"/>
          <w:tab w:val="num" w:pos="1800"/>
        </w:tabs>
        <w:jc w:val="both"/>
        <w:rPr>
          <w:rFonts w:ascii="Calibri" w:hAnsi="Calibri"/>
          <w:color w:val="000000"/>
        </w:rPr>
      </w:pPr>
      <w:r w:rsidRPr="000A3C73">
        <w:rPr>
          <w:rFonts w:ascii="Calibri" w:hAnsi="Calibri"/>
          <w:color w:val="000000"/>
        </w:rPr>
        <w:t>Assess the use of electronic information technologies to support implementation, participation and monitoring, as well as other project activities.</w:t>
      </w:r>
    </w:p>
    <w:p w:rsidR="000A0F25" w:rsidRPr="000A3C73" w:rsidRDefault="000A0F25" w:rsidP="000A0F25">
      <w:pPr>
        <w:numPr>
          <w:ilvl w:val="1"/>
          <w:numId w:val="36"/>
        </w:numPr>
        <w:tabs>
          <w:tab w:val="num" w:pos="360"/>
          <w:tab w:val="num" w:pos="1800"/>
        </w:tabs>
        <w:jc w:val="both"/>
        <w:rPr>
          <w:rFonts w:ascii="Calibri" w:hAnsi="Calibri"/>
          <w:color w:val="000000"/>
        </w:rPr>
      </w:pPr>
      <w:r w:rsidRPr="000A3C73">
        <w:rPr>
          <w:rFonts w:ascii="Calibri" w:hAnsi="Calibri"/>
          <w:color w:val="000000"/>
        </w:rPr>
        <w:t xml:space="preserve">Are work planning processes result-based? </w:t>
      </w:r>
    </w:p>
    <w:p w:rsidR="000A0F25" w:rsidRPr="000A3C73" w:rsidRDefault="000A0F25" w:rsidP="000A0F25">
      <w:pPr>
        <w:numPr>
          <w:ilvl w:val="0"/>
          <w:numId w:val="39"/>
        </w:numPr>
        <w:jc w:val="both"/>
        <w:rPr>
          <w:rFonts w:ascii="Calibri" w:hAnsi="Calibri"/>
          <w:color w:val="000000"/>
        </w:rPr>
      </w:pPr>
      <w:r w:rsidRPr="000A3C73">
        <w:rPr>
          <w:rFonts w:ascii="Calibri" w:hAnsi="Calibri"/>
          <w:color w:val="000000"/>
        </w:rPr>
        <w:t>Financial management</w:t>
      </w:r>
    </w:p>
    <w:p w:rsidR="000A0F25" w:rsidRPr="000A3C73" w:rsidRDefault="000A0F25" w:rsidP="000A0F25">
      <w:pPr>
        <w:numPr>
          <w:ilvl w:val="1"/>
          <w:numId w:val="36"/>
        </w:numPr>
        <w:tabs>
          <w:tab w:val="num" w:pos="360"/>
          <w:tab w:val="num" w:pos="1800"/>
        </w:tabs>
        <w:jc w:val="both"/>
        <w:rPr>
          <w:rFonts w:ascii="Calibri" w:hAnsi="Calibri"/>
          <w:color w:val="000000"/>
        </w:rPr>
      </w:pPr>
      <w:r w:rsidRPr="000A3C73">
        <w:rPr>
          <w:rFonts w:ascii="Calibri" w:hAnsi="Calibri"/>
          <w:color w:val="000000"/>
        </w:rPr>
        <w:t>Consider the financial management of the project, with specific reference to the cost-effectiveness of interventions.  (Cost-effectiveness: the extent to which results have been delivered with the least costly resources possible.). Any irregularities must be noted.</w:t>
      </w:r>
    </w:p>
    <w:p w:rsidR="000A0F25" w:rsidRPr="000A3C73" w:rsidRDefault="000A0F25" w:rsidP="000A0F25">
      <w:pPr>
        <w:numPr>
          <w:ilvl w:val="1"/>
          <w:numId w:val="36"/>
        </w:numPr>
        <w:tabs>
          <w:tab w:val="num" w:pos="360"/>
          <w:tab w:val="num" w:pos="1800"/>
        </w:tabs>
        <w:jc w:val="both"/>
        <w:rPr>
          <w:rFonts w:ascii="Calibri" w:hAnsi="Calibri"/>
          <w:color w:val="000000"/>
        </w:rPr>
      </w:pPr>
      <w:r w:rsidRPr="000A3C73">
        <w:rPr>
          <w:rFonts w:ascii="Calibri" w:hAnsi="Calibri"/>
          <w:color w:val="000000"/>
        </w:rPr>
        <w:t xml:space="preserve">Is there due diligence in the management of funds and financial audits? </w:t>
      </w:r>
    </w:p>
    <w:p w:rsidR="000A0F25" w:rsidRPr="000A3C73" w:rsidRDefault="000A0F25" w:rsidP="000A0F25">
      <w:pPr>
        <w:numPr>
          <w:ilvl w:val="1"/>
          <w:numId w:val="36"/>
        </w:numPr>
        <w:tabs>
          <w:tab w:val="num" w:pos="360"/>
          <w:tab w:val="num" w:pos="1800"/>
        </w:tabs>
        <w:jc w:val="both"/>
        <w:rPr>
          <w:rFonts w:ascii="Calibri" w:hAnsi="Calibri"/>
          <w:color w:val="000000"/>
        </w:rPr>
      </w:pPr>
      <w:r w:rsidRPr="000A3C73">
        <w:rPr>
          <w:rFonts w:ascii="Calibri" w:hAnsi="Calibri"/>
          <w:color w:val="000000"/>
        </w:rPr>
        <w:t>Did promised co-financing materialize (please fill out the co-financing form provided in Annex 1)?</w:t>
      </w:r>
    </w:p>
    <w:p w:rsidR="000A0F25" w:rsidRPr="000A3C73" w:rsidRDefault="000A0F25" w:rsidP="000A0F25">
      <w:pPr>
        <w:numPr>
          <w:ilvl w:val="0"/>
          <w:numId w:val="39"/>
        </w:numPr>
        <w:jc w:val="both"/>
        <w:rPr>
          <w:rFonts w:ascii="Calibri" w:hAnsi="Calibri"/>
          <w:color w:val="000000"/>
        </w:rPr>
      </w:pPr>
      <w:r w:rsidRPr="000A3C73">
        <w:rPr>
          <w:rFonts w:ascii="Calibri" w:hAnsi="Calibri"/>
          <w:color w:val="000000"/>
        </w:rPr>
        <w:t xml:space="preserve">Reporting </w:t>
      </w:r>
    </w:p>
    <w:p w:rsidR="000A0F25" w:rsidRPr="000A3C73" w:rsidRDefault="000A0F25" w:rsidP="000A0F25">
      <w:pPr>
        <w:numPr>
          <w:ilvl w:val="1"/>
          <w:numId w:val="36"/>
        </w:numPr>
        <w:tabs>
          <w:tab w:val="num" w:pos="360"/>
          <w:tab w:val="num" w:pos="1800"/>
        </w:tabs>
        <w:jc w:val="both"/>
        <w:rPr>
          <w:rFonts w:ascii="Calibri" w:hAnsi="Calibri"/>
          <w:color w:val="000000"/>
        </w:rPr>
      </w:pPr>
      <w:r w:rsidRPr="000A3C73">
        <w:rPr>
          <w:rFonts w:ascii="Calibri" w:hAnsi="Calibri"/>
          <w:color w:val="000000"/>
        </w:rPr>
        <w:t>Assess how adaptive management changes have been reported by the project management.</w:t>
      </w:r>
    </w:p>
    <w:p w:rsidR="000A0F25" w:rsidRPr="000A3C73" w:rsidRDefault="000A0F25" w:rsidP="000A0F25">
      <w:pPr>
        <w:numPr>
          <w:ilvl w:val="1"/>
          <w:numId w:val="36"/>
        </w:numPr>
        <w:tabs>
          <w:tab w:val="num" w:pos="360"/>
          <w:tab w:val="num" w:pos="1800"/>
        </w:tabs>
        <w:jc w:val="both"/>
        <w:rPr>
          <w:rFonts w:ascii="Calibri" w:hAnsi="Calibri"/>
          <w:color w:val="000000"/>
        </w:rPr>
      </w:pPr>
      <w:r w:rsidRPr="000A3C73">
        <w:rPr>
          <w:rFonts w:ascii="Calibri" w:hAnsi="Calibri"/>
          <w:color w:val="000000"/>
        </w:rPr>
        <w:t>Assess how lessons derived from the adaptive management process have been documented, shared with key partners and internalized by partners.</w:t>
      </w:r>
    </w:p>
    <w:p w:rsidR="000A0F25" w:rsidRPr="000A3C73" w:rsidRDefault="000A0F25" w:rsidP="000A0F25">
      <w:pPr>
        <w:numPr>
          <w:ilvl w:val="0"/>
          <w:numId w:val="39"/>
        </w:numPr>
        <w:jc w:val="both"/>
        <w:rPr>
          <w:rFonts w:ascii="Calibri" w:hAnsi="Calibri"/>
          <w:color w:val="000000"/>
        </w:rPr>
      </w:pPr>
      <w:r w:rsidRPr="000A3C73">
        <w:rPr>
          <w:rFonts w:ascii="Calibri" w:hAnsi="Calibri"/>
          <w:color w:val="000000"/>
        </w:rPr>
        <w:t>Delays</w:t>
      </w:r>
    </w:p>
    <w:p w:rsidR="000A0F25" w:rsidRPr="000A3C73" w:rsidRDefault="000A0F25" w:rsidP="000A0F25">
      <w:pPr>
        <w:numPr>
          <w:ilvl w:val="1"/>
          <w:numId w:val="36"/>
        </w:numPr>
        <w:tabs>
          <w:tab w:val="num" w:pos="360"/>
          <w:tab w:val="num" w:pos="1800"/>
        </w:tabs>
        <w:jc w:val="both"/>
        <w:rPr>
          <w:rFonts w:ascii="Calibri" w:hAnsi="Calibri"/>
          <w:color w:val="000000"/>
        </w:rPr>
      </w:pPr>
      <w:r w:rsidRPr="000A3C73">
        <w:rPr>
          <w:rFonts w:ascii="Calibri" w:hAnsi="Calibri"/>
          <w:color w:val="000000"/>
        </w:rPr>
        <w:t>Assess if there were delays in project implementation and what were the reasons.</w:t>
      </w:r>
    </w:p>
    <w:p w:rsidR="000A0F25" w:rsidRPr="000A3C73" w:rsidRDefault="000A0F25" w:rsidP="000A0F25">
      <w:pPr>
        <w:numPr>
          <w:ilvl w:val="1"/>
          <w:numId w:val="36"/>
        </w:numPr>
        <w:tabs>
          <w:tab w:val="num" w:pos="360"/>
          <w:tab w:val="num" w:pos="1800"/>
        </w:tabs>
        <w:jc w:val="both"/>
        <w:rPr>
          <w:rFonts w:ascii="Calibri" w:hAnsi="Calibri"/>
          <w:color w:val="000000"/>
        </w:rPr>
      </w:pPr>
      <w:r w:rsidRPr="000A3C73">
        <w:rPr>
          <w:rFonts w:ascii="Calibri" w:hAnsi="Calibri"/>
          <w:color w:val="000000"/>
        </w:rPr>
        <w:t>Did the delay affect the achievement of project’s outcomes and/or sustainability, and if it did then in what ways and through what causal linkages?</w:t>
      </w:r>
    </w:p>
    <w:p w:rsidR="000A0F25" w:rsidRPr="000A3C73" w:rsidRDefault="000A0F25" w:rsidP="000A0F25">
      <w:pPr>
        <w:tabs>
          <w:tab w:val="num" w:pos="720"/>
          <w:tab w:val="num" w:pos="1800"/>
        </w:tabs>
        <w:jc w:val="both"/>
        <w:rPr>
          <w:rFonts w:ascii="Calibri" w:hAnsi="Calibri"/>
          <w:color w:val="000000"/>
        </w:rPr>
      </w:pPr>
    </w:p>
    <w:p w:rsidR="000A0F25" w:rsidRPr="000A3C73" w:rsidRDefault="000A0F25" w:rsidP="000A0F25">
      <w:pPr>
        <w:jc w:val="both"/>
        <w:rPr>
          <w:rFonts w:ascii="Calibri" w:eastAsia="MS Mincho" w:hAnsi="Calibri"/>
          <w:bCs/>
          <w:i/>
          <w:color w:val="000000"/>
          <w:lang w:eastAsia="ja-JP"/>
        </w:rPr>
      </w:pPr>
      <w:r w:rsidRPr="000A3C73">
        <w:rPr>
          <w:rFonts w:ascii="Calibri" w:eastAsia="MS Mincho" w:hAnsi="Calibri"/>
          <w:bCs/>
          <w:i/>
          <w:color w:val="000000"/>
          <w:lang w:eastAsia="ja-JP"/>
        </w:rPr>
        <w:t>2.2 Contribution of Implementing and Executing Agencies:</w:t>
      </w:r>
    </w:p>
    <w:p w:rsidR="000A0F25" w:rsidRPr="000A3C73" w:rsidRDefault="000A0F25" w:rsidP="000A0F25">
      <w:pPr>
        <w:keepNext/>
        <w:numPr>
          <w:ilvl w:val="0"/>
          <w:numId w:val="49"/>
        </w:numPr>
        <w:jc w:val="both"/>
        <w:rPr>
          <w:rFonts w:ascii="Calibri" w:hAnsi="Calibri"/>
          <w:color w:val="000000"/>
        </w:rPr>
      </w:pPr>
      <w:r w:rsidRPr="000A3C73">
        <w:rPr>
          <w:rFonts w:ascii="Calibri" w:hAnsi="Calibri"/>
          <w:color w:val="000000"/>
        </w:rPr>
        <w:t>Assess the role of UNDP and the Ministries of Environment against the requirements set out in the UNDP Programme and Operations Policies and Procedures. Consider:</w:t>
      </w:r>
    </w:p>
    <w:p w:rsidR="000A0F25" w:rsidRPr="000A3C73" w:rsidRDefault="000A0F25" w:rsidP="000A0F25">
      <w:pPr>
        <w:numPr>
          <w:ilvl w:val="1"/>
          <w:numId w:val="36"/>
        </w:numPr>
        <w:tabs>
          <w:tab w:val="num" w:pos="360"/>
          <w:tab w:val="num" w:pos="1800"/>
          <w:tab w:val="num" w:pos="2520"/>
        </w:tabs>
        <w:jc w:val="both"/>
        <w:rPr>
          <w:rFonts w:ascii="Calibri" w:hAnsi="Calibri"/>
          <w:color w:val="000000"/>
        </w:rPr>
      </w:pPr>
      <w:r w:rsidRPr="000A3C73">
        <w:rPr>
          <w:rFonts w:ascii="Calibri" w:hAnsi="Calibri"/>
          <w:color w:val="000000"/>
        </w:rPr>
        <w:t>Field visits</w:t>
      </w:r>
    </w:p>
    <w:p w:rsidR="000A0F25" w:rsidRPr="000A3C73" w:rsidRDefault="000A0F25" w:rsidP="000A0F25">
      <w:pPr>
        <w:numPr>
          <w:ilvl w:val="1"/>
          <w:numId w:val="36"/>
        </w:numPr>
        <w:tabs>
          <w:tab w:val="num" w:pos="360"/>
          <w:tab w:val="num" w:pos="1800"/>
          <w:tab w:val="num" w:pos="2520"/>
        </w:tabs>
        <w:jc w:val="both"/>
        <w:rPr>
          <w:rFonts w:ascii="Calibri" w:hAnsi="Calibri"/>
          <w:color w:val="000000"/>
        </w:rPr>
      </w:pPr>
      <w:r w:rsidRPr="000A3C73">
        <w:rPr>
          <w:rFonts w:ascii="Calibri" w:hAnsi="Calibri"/>
          <w:color w:val="000000"/>
        </w:rPr>
        <w:t>Participation in Steering Committees</w:t>
      </w:r>
    </w:p>
    <w:p w:rsidR="000A0F25" w:rsidRPr="000A3C73" w:rsidRDefault="000A0F25" w:rsidP="000A0F25">
      <w:pPr>
        <w:numPr>
          <w:ilvl w:val="1"/>
          <w:numId w:val="36"/>
        </w:numPr>
        <w:tabs>
          <w:tab w:val="num" w:pos="360"/>
          <w:tab w:val="num" w:pos="1800"/>
          <w:tab w:val="num" w:pos="2520"/>
        </w:tabs>
        <w:jc w:val="both"/>
        <w:rPr>
          <w:rFonts w:ascii="Calibri" w:hAnsi="Calibri"/>
          <w:color w:val="000000"/>
        </w:rPr>
      </w:pPr>
      <w:r w:rsidRPr="000A3C73">
        <w:rPr>
          <w:rFonts w:ascii="Calibri" w:hAnsi="Calibri"/>
          <w:color w:val="000000"/>
        </w:rPr>
        <w:t>Project reviews, PIR preparation and follow-up</w:t>
      </w:r>
    </w:p>
    <w:p w:rsidR="000A0F25" w:rsidRPr="000A3C73" w:rsidRDefault="000A0F25" w:rsidP="000A0F25">
      <w:pPr>
        <w:numPr>
          <w:ilvl w:val="1"/>
          <w:numId w:val="36"/>
        </w:numPr>
        <w:tabs>
          <w:tab w:val="num" w:pos="360"/>
          <w:tab w:val="num" w:pos="1800"/>
          <w:tab w:val="num" w:pos="2520"/>
        </w:tabs>
        <w:jc w:val="both"/>
        <w:rPr>
          <w:rFonts w:ascii="Calibri" w:hAnsi="Calibri"/>
          <w:color w:val="000000"/>
        </w:rPr>
      </w:pPr>
      <w:r w:rsidRPr="000A3C73">
        <w:rPr>
          <w:rFonts w:ascii="Calibri" w:hAnsi="Calibri"/>
          <w:color w:val="000000"/>
        </w:rPr>
        <w:t>GEF guidance</w:t>
      </w:r>
    </w:p>
    <w:p w:rsidR="000A0F25" w:rsidRPr="000A3C73" w:rsidRDefault="000A0F25" w:rsidP="000A0F25">
      <w:pPr>
        <w:numPr>
          <w:ilvl w:val="1"/>
          <w:numId w:val="36"/>
        </w:numPr>
        <w:tabs>
          <w:tab w:val="num" w:pos="360"/>
          <w:tab w:val="num" w:pos="1800"/>
          <w:tab w:val="num" w:pos="2520"/>
        </w:tabs>
        <w:jc w:val="both"/>
        <w:rPr>
          <w:rFonts w:ascii="Calibri" w:hAnsi="Calibri"/>
          <w:color w:val="000000"/>
        </w:rPr>
      </w:pPr>
      <w:r w:rsidRPr="000A3C73">
        <w:rPr>
          <w:rFonts w:ascii="Calibri" w:hAnsi="Calibri"/>
          <w:color w:val="000000"/>
        </w:rPr>
        <w:t>Operational support</w:t>
      </w:r>
    </w:p>
    <w:p w:rsidR="000A0F25" w:rsidRPr="000A3C73" w:rsidRDefault="000A0F25" w:rsidP="000A0F25">
      <w:pPr>
        <w:keepNext/>
        <w:numPr>
          <w:ilvl w:val="0"/>
          <w:numId w:val="36"/>
        </w:numPr>
        <w:tabs>
          <w:tab w:val="clear" w:pos="720"/>
          <w:tab w:val="num" w:pos="360"/>
        </w:tabs>
        <w:jc w:val="both"/>
        <w:rPr>
          <w:rFonts w:ascii="Calibri" w:hAnsi="Calibri"/>
          <w:color w:val="000000"/>
        </w:rPr>
      </w:pPr>
      <w:r w:rsidRPr="000A3C73">
        <w:rPr>
          <w:rFonts w:ascii="Calibri" w:hAnsi="Calibri"/>
          <w:color w:val="000000"/>
        </w:rPr>
        <w:t>Consider the new UNDP requirements outlined in the UNDP Programme and Operations Policies and Procedures, especially the Project Assurance role, and ensure they are incorporated into the project’s adaptive management framework.</w:t>
      </w:r>
    </w:p>
    <w:p w:rsidR="000A0F25" w:rsidRPr="000A3C73" w:rsidRDefault="000A0F25" w:rsidP="000A0F25">
      <w:pPr>
        <w:keepNext/>
        <w:numPr>
          <w:ilvl w:val="0"/>
          <w:numId w:val="36"/>
        </w:numPr>
        <w:tabs>
          <w:tab w:val="clear" w:pos="720"/>
          <w:tab w:val="num" w:pos="360"/>
        </w:tabs>
        <w:jc w:val="both"/>
        <w:rPr>
          <w:rFonts w:ascii="Calibri" w:hAnsi="Calibri"/>
          <w:color w:val="000000"/>
        </w:rPr>
      </w:pPr>
      <w:r w:rsidRPr="000A3C73">
        <w:rPr>
          <w:rFonts w:ascii="Calibri" w:hAnsi="Calibri"/>
          <w:color w:val="000000"/>
        </w:rPr>
        <w:t>Assess the contribution to the project from UNDP and the Ministries of Environment in terms of “soft” assistance (i.e. policy advice &amp; dialogue, advocacy, and coordination).</w:t>
      </w:r>
    </w:p>
    <w:p w:rsidR="000A0F25" w:rsidRPr="000A3C73" w:rsidRDefault="000A0F25" w:rsidP="000A0F25">
      <w:pPr>
        <w:jc w:val="both"/>
        <w:rPr>
          <w:rFonts w:ascii="Calibri" w:hAnsi="Calibri"/>
          <w:i/>
        </w:rPr>
      </w:pPr>
    </w:p>
    <w:p w:rsidR="000A0F25" w:rsidRPr="000A3C73" w:rsidRDefault="000A0F25" w:rsidP="000A0F25">
      <w:pPr>
        <w:jc w:val="both"/>
        <w:rPr>
          <w:rFonts w:ascii="Calibri" w:eastAsia="MS Mincho" w:hAnsi="Calibri"/>
          <w:bCs/>
          <w:i/>
          <w:color w:val="000000"/>
          <w:lang w:eastAsia="ja-JP"/>
        </w:rPr>
      </w:pPr>
      <w:r w:rsidRPr="000A3C73">
        <w:rPr>
          <w:rFonts w:ascii="Calibri" w:eastAsia="MS Mincho" w:hAnsi="Calibri"/>
          <w:bCs/>
          <w:i/>
          <w:color w:val="000000"/>
          <w:lang w:eastAsia="ja-JP"/>
        </w:rPr>
        <w:t xml:space="preserve">2.3 Stakeholder participation, partnership strategy </w:t>
      </w:r>
      <w:r w:rsidRPr="000A3C73">
        <w:rPr>
          <w:rFonts w:ascii="Calibri" w:hAnsi="Calibri"/>
          <w:bCs/>
          <w:i/>
        </w:rPr>
        <w:t>(R)</w:t>
      </w:r>
      <w:r w:rsidRPr="000A3C73">
        <w:rPr>
          <w:rFonts w:ascii="Calibri" w:eastAsia="MS Mincho" w:hAnsi="Calibri"/>
          <w:bCs/>
          <w:i/>
          <w:color w:val="000000"/>
          <w:lang w:eastAsia="ja-JP"/>
        </w:rPr>
        <w:t xml:space="preserve">:  </w:t>
      </w:r>
    </w:p>
    <w:p w:rsidR="000A0F25" w:rsidRPr="000A3C73" w:rsidRDefault="000A0F25" w:rsidP="000A0F25">
      <w:pPr>
        <w:keepNext/>
        <w:numPr>
          <w:ilvl w:val="0"/>
          <w:numId w:val="41"/>
        </w:numPr>
        <w:jc w:val="both"/>
        <w:rPr>
          <w:rFonts w:ascii="Calibri" w:hAnsi="Calibri"/>
          <w:color w:val="000000"/>
        </w:rPr>
      </w:pPr>
      <w:r w:rsidRPr="000A3C73">
        <w:rPr>
          <w:rFonts w:ascii="Calibri" w:hAnsi="Calibri"/>
          <w:color w:val="000000"/>
        </w:rPr>
        <w:t>Assess whether or not and how local stakeholders participate in project management and decision-making.  Include an analysis of the strengths and weaknesses of the approach adopted by the project and suggestions for improvement if necessary.</w:t>
      </w:r>
    </w:p>
    <w:p w:rsidR="000A0F25" w:rsidRPr="000A3C73" w:rsidRDefault="000A0F25" w:rsidP="000A0F25">
      <w:pPr>
        <w:keepNext/>
        <w:numPr>
          <w:ilvl w:val="0"/>
          <w:numId w:val="41"/>
        </w:numPr>
        <w:tabs>
          <w:tab w:val="clear" w:pos="720"/>
          <w:tab w:val="num" w:pos="360"/>
        </w:tabs>
        <w:jc w:val="both"/>
        <w:rPr>
          <w:rFonts w:ascii="Calibri" w:hAnsi="Calibri"/>
          <w:color w:val="000000"/>
        </w:rPr>
      </w:pPr>
      <w:r w:rsidRPr="000A3C73">
        <w:rPr>
          <w:rFonts w:ascii="Calibri" w:hAnsi="Calibri"/>
          <w:color w:val="000000"/>
        </w:rPr>
        <w:t xml:space="preserve">Does the project consult and make use of the skills, experience and knowledge of the appropriate government entities, NGOs, community groups, private sector, local governments and academic institutions in the implementation and evaluation of project activities? </w:t>
      </w:r>
    </w:p>
    <w:p w:rsidR="000A0F25" w:rsidRPr="000A3C73" w:rsidRDefault="000A0F25" w:rsidP="000A0F25">
      <w:pPr>
        <w:keepNext/>
        <w:numPr>
          <w:ilvl w:val="0"/>
          <w:numId w:val="41"/>
        </w:numPr>
        <w:tabs>
          <w:tab w:val="clear" w:pos="720"/>
          <w:tab w:val="num" w:pos="360"/>
        </w:tabs>
        <w:jc w:val="both"/>
        <w:rPr>
          <w:rFonts w:ascii="Calibri" w:hAnsi="Calibri"/>
          <w:color w:val="000000"/>
        </w:rPr>
      </w:pPr>
      <w:r w:rsidRPr="000A3C73">
        <w:rPr>
          <w:rFonts w:ascii="Calibri" w:hAnsi="Calibri"/>
          <w:color w:val="000000"/>
        </w:rPr>
        <w:t>Consider the dissemination of project information to partners and stakeholders and if necessary suggest more appropriate mechanisms.</w:t>
      </w:r>
    </w:p>
    <w:p w:rsidR="000A0F25" w:rsidRPr="000A3C73" w:rsidRDefault="000A0F25" w:rsidP="000A0F25">
      <w:pPr>
        <w:ind w:left="720"/>
        <w:jc w:val="both"/>
        <w:rPr>
          <w:rFonts w:ascii="Calibri" w:hAnsi="Calibri"/>
          <w:color w:val="000000"/>
        </w:rPr>
      </w:pPr>
    </w:p>
    <w:p w:rsidR="000A0F25" w:rsidRPr="000A3C73" w:rsidRDefault="000A0F25" w:rsidP="000A0F25">
      <w:pPr>
        <w:jc w:val="both"/>
        <w:rPr>
          <w:rFonts w:ascii="Calibri" w:eastAsia="MS Mincho" w:hAnsi="Calibri"/>
          <w:bCs/>
          <w:i/>
          <w:color w:val="000000"/>
          <w:lang w:eastAsia="ja-JP"/>
        </w:rPr>
      </w:pPr>
      <w:r w:rsidRPr="000A3C73">
        <w:rPr>
          <w:rFonts w:ascii="Calibri" w:eastAsia="MS Mincho" w:hAnsi="Calibri"/>
          <w:bCs/>
          <w:i/>
          <w:color w:val="000000"/>
          <w:lang w:eastAsia="ja-JP"/>
        </w:rPr>
        <w:t>2.4 Sustainability:</w:t>
      </w:r>
    </w:p>
    <w:p w:rsidR="000A0F25" w:rsidRPr="000A3C73" w:rsidRDefault="000A0F25" w:rsidP="000A0F25">
      <w:pPr>
        <w:keepNext/>
        <w:numPr>
          <w:ilvl w:val="0"/>
          <w:numId w:val="49"/>
        </w:numPr>
        <w:jc w:val="both"/>
        <w:rPr>
          <w:rFonts w:ascii="Calibri" w:hAnsi="Calibri"/>
          <w:bCs/>
        </w:rPr>
      </w:pPr>
      <w:r w:rsidRPr="000A3C73">
        <w:rPr>
          <w:rFonts w:ascii="Calibri" w:hAnsi="Calibri"/>
          <w:bCs/>
        </w:rPr>
        <w:t xml:space="preserve">Assess the extent to which the benefits of the project will continue, within or outside the project scope, after it has come to an end; </w:t>
      </w:r>
      <w:r w:rsidRPr="000A3C73">
        <w:rPr>
          <w:rFonts w:ascii="Calibri" w:hAnsi="Calibri"/>
        </w:rPr>
        <w:t>commitment of the government to support the initiative beyond the project</w:t>
      </w:r>
      <w:r w:rsidRPr="000A3C73">
        <w:rPr>
          <w:rFonts w:ascii="Calibri" w:hAnsi="Calibri"/>
          <w:bCs/>
        </w:rPr>
        <w:t xml:space="preserve">. </w:t>
      </w:r>
    </w:p>
    <w:p w:rsidR="000A0F25" w:rsidRPr="000A3C73" w:rsidRDefault="000A0F25" w:rsidP="000A0F25">
      <w:pPr>
        <w:keepNext/>
        <w:numPr>
          <w:ilvl w:val="0"/>
          <w:numId w:val="49"/>
        </w:numPr>
        <w:jc w:val="both"/>
        <w:rPr>
          <w:rFonts w:ascii="Calibri" w:hAnsi="Calibri"/>
          <w:bCs/>
        </w:rPr>
      </w:pPr>
      <w:r w:rsidRPr="000A3C73">
        <w:rPr>
          <w:rFonts w:ascii="Calibri" w:hAnsi="Calibri"/>
          <w:bCs/>
        </w:rPr>
        <w:t>The evaluators may look at factors such as mainstreaming project objectives into the broader development policies and sectoral plans and economies.</w:t>
      </w:r>
    </w:p>
    <w:p w:rsidR="000A0F25" w:rsidRPr="000A3C73" w:rsidRDefault="000A0F25" w:rsidP="000A0F25">
      <w:pPr>
        <w:jc w:val="both"/>
        <w:rPr>
          <w:rFonts w:ascii="Calibri" w:hAnsi="Calibri"/>
          <w:bCs/>
          <w:i/>
        </w:rPr>
      </w:pPr>
    </w:p>
    <w:p w:rsidR="000A0F25" w:rsidRPr="000A3C73" w:rsidRDefault="000A0F25" w:rsidP="000A0F25">
      <w:pPr>
        <w:jc w:val="both"/>
        <w:rPr>
          <w:rFonts w:ascii="Calibri" w:hAnsi="Calibri"/>
          <w:b/>
        </w:rPr>
      </w:pPr>
      <w:r w:rsidRPr="000A3C73">
        <w:rPr>
          <w:rFonts w:ascii="Calibri" w:hAnsi="Calibri"/>
          <w:b/>
        </w:rPr>
        <w:t xml:space="preserve">3. Project results (outputs, outcomes and objectives) </w:t>
      </w:r>
    </w:p>
    <w:p w:rsidR="000A0F25" w:rsidRPr="000A3C73" w:rsidRDefault="000A0F25" w:rsidP="000A0F25">
      <w:pPr>
        <w:jc w:val="both"/>
        <w:rPr>
          <w:rFonts w:ascii="Calibri" w:eastAsia="MS Mincho" w:hAnsi="Calibri"/>
          <w:bCs/>
          <w:i/>
          <w:color w:val="000000"/>
          <w:lang w:eastAsia="ja-JP"/>
        </w:rPr>
      </w:pPr>
      <w:r w:rsidRPr="000A3C73">
        <w:rPr>
          <w:rFonts w:ascii="Calibri" w:eastAsia="MS Mincho" w:hAnsi="Calibri"/>
          <w:bCs/>
          <w:i/>
          <w:color w:val="000000"/>
          <w:lang w:eastAsia="ja-JP"/>
        </w:rPr>
        <w:t xml:space="preserve">3.1 Progress towards achievement of intended outputs, outcomes/measurement of change: </w:t>
      </w:r>
    </w:p>
    <w:p w:rsidR="000A0F25" w:rsidRPr="000A3C73" w:rsidRDefault="000A0F25" w:rsidP="000A0F25">
      <w:pPr>
        <w:jc w:val="both"/>
        <w:rPr>
          <w:rFonts w:ascii="Calibri" w:hAnsi="Calibri"/>
        </w:rPr>
      </w:pPr>
      <w:r w:rsidRPr="000A3C73">
        <w:rPr>
          <w:rFonts w:ascii="Calibri" w:hAnsi="Calibri"/>
        </w:rPr>
        <w:t xml:space="preserve">Progress towards results should be based on a comparison of indicators before and after the project intervention. </w:t>
      </w:r>
    </w:p>
    <w:p w:rsidR="000A0F25" w:rsidRPr="000A3C73" w:rsidRDefault="000A0F25" w:rsidP="000A0F25">
      <w:pPr>
        <w:jc w:val="both"/>
        <w:rPr>
          <w:rFonts w:ascii="Calibri" w:hAnsi="Calibri"/>
        </w:rPr>
      </w:pPr>
      <w:r w:rsidRPr="000A3C73">
        <w:rPr>
          <w:rFonts w:ascii="Calibri" w:hAnsi="Calibri"/>
        </w:rPr>
        <w:t>To determine the level of achievement of project outcomes and objectives following three criteria should be assessed:</w:t>
      </w:r>
    </w:p>
    <w:p w:rsidR="000A0F25" w:rsidRPr="000A3C73" w:rsidRDefault="000A0F25" w:rsidP="000A0F25">
      <w:pPr>
        <w:numPr>
          <w:ilvl w:val="0"/>
          <w:numId w:val="44"/>
        </w:numPr>
        <w:tabs>
          <w:tab w:val="num" w:pos="1440"/>
          <w:tab w:val="num" w:pos="1800"/>
          <w:tab w:val="num" w:pos="2520"/>
        </w:tabs>
        <w:jc w:val="both"/>
        <w:rPr>
          <w:rFonts w:ascii="Calibri" w:hAnsi="Calibri"/>
          <w:color w:val="000000"/>
        </w:rPr>
      </w:pPr>
      <w:r w:rsidRPr="000A3C73">
        <w:rPr>
          <w:rFonts w:ascii="Calibri" w:hAnsi="Calibri"/>
          <w:i/>
          <w:color w:val="000000"/>
        </w:rPr>
        <w:t>Relevance</w:t>
      </w:r>
      <w:r w:rsidRPr="000A3C73">
        <w:rPr>
          <w:rFonts w:ascii="Calibri" w:hAnsi="Calibri"/>
          <w:color w:val="000000"/>
        </w:rPr>
        <w:t>: Are the project’s outcomes consistent with the focal areas/operational program strategies and country priorities?</w:t>
      </w:r>
    </w:p>
    <w:p w:rsidR="000A0F25" w:rsidRPr="000A3C73" w:rsidRDefault="000A0F25" w:rsidP="000A0F25">
      <w:pPr>
        <w:numPr>
          <w:ilvl w:val="0"/>
          <w:numId w:val="44"/>
        </w:numPr>
        <w:tabs>
          <w:tab w:val="num" w:pos="1440"/>
          <w:tab w:val="num" w:pos="1800"/>
          <w:tab w:val="num" w:pos="2520"/>
        </w:tabs>
        <w:jc w:val="both"/>
        <w:rPr>
          <w:rFonts w:ascii="Calibri" w:hAnsi="Calibri"/>
          <w:color w:val="000000"/>
        </w:rPr>
      </w:pPr>
      <w:r w:rsidRPr="000A3C73">
        <w:rPr>
          <w:rFonts w:ascii="Calibri" w:hAnsi="Calibri"/>
          <w:i/>
          <w:color w:val="000000"/>
        </w:rPr>
        <w:t>Effectiveness</w:t>
      </w:r>
      <w:r w:rsidRPr="000A3C73">
        <w:rPr>
          <w:rFonts w:ascii="Calibri" w:hAnsi="Calibri"/>
          <w:color w:val="000000"/>
        </w:rPr>
        <w:t>: Are the actual project outcomes commensurate with the original or modified project objectives? In case the original or modified expected results are merely outputs/inputs then the evaluators should assess if there are any real outcomes of the project and if yes then whether these are commensurate with the realistic expectations from such a project.</w:t>
      </w:r>
    </w:p>
    <w:p w:rsidR="000A0F25" w:rsidRPr="000A3C73" w:rsidRDefault="000A0F25" w:rsidP="000A0F25">
      <w:pPr>
        <w:numPr>
          <w:ilvl w:val="0"/>
          <w:numId w:val="44"/>
        </w:numPr>
        <w:tabs>
          <w:tab w:val="num" w:pos="1440"/>
          <w:tab w:val="num" w:pos="1800"/>
          <w:tab w:val="num" w:pos="2520"/>
        </w:tabs>
        <w:jc w:val="both"/>
        <w:rPr>
          <w:rFonts w:ascii="Calibri" w:hAnsi="Calibri"/>
          <w:color w:val="000000"/>
        </w:rPr>
      </w:pPr>
      <w:r w:rsidRPr="000A3C73">
        <w:rPr>
          <w:rFonts w:ascii="Calibri" w:hAnsi="Calibri"/>
          <w:i/>
          <w:color w:val="000000"/>
        </w:rPr>
        <w:t>Efficiency</w:t>
      </w:r>
      <w:r w:rsidRPr="000A3C73">
        <w:rPr>
          <w:rFonts w:ascii="Calibri" w:hAnsi="Calibri"/>
          <w:color w:val="000000"/>
        </w:rPr>
        <w:t>: Is the project cost effective? Is the project the least cost option? Is the project implementation delayed and if it is, then does that affect cost-effectiveness? Wherever possible, the evaluator should also compare the cost-time vs. outcomes relationship of the project with that of other similar projects.</w:t>
      </w:r>
    </w:p>
    <w:p w:rsidR="000A0F25" w:rsidRPr="000A3C73" w:rsidRDefault="000A0F25" w:rsidP="000A0F25">
      <w:pPr>
        <w:pStyle w:val="ListBullet2"/>
        <w:numPr>
          <w:ilvl w:val="0"/>
          <w:numId w:val="0"/>
        </w:numPr>
        <w:rPr>
          <w:rFonts w:ascii="Calibri" w:hAnsi="Calibri"/>
          <w:szCs w:val="22"/>
        </w:rPr>
      </w:pPr>
    </w:p>
    <w:p w:rsidR="000A0F25" w:rsidRPr="000A3C73" w:rsidRDefault="000A0F25" w:rsidP="000A0F25">
      <w:pPr>
        <w:pStyle w:val="ListBullet2"/>
        <w:numPr>
          <w:ilvl w:val="0"/>
          <w:numId w:val="0"/>
        </w:numPr>
        <w:rPr>
          <w:rFonts w:ascii="Calibri" w:hAnsi="Calibri"/>
          <w:szCs w:val="22"/>
        </w:rPr>
      </w:pPr>
      <w:r w:rsidRPr="000A3C73">
        <w:rPr>
          <w:rFonts w:ascii="Calibri" w:hAnsi="Calibri"/>
          <w:szCs w:val="22"/>
        </w:rPr>
        <w:t>Outcomes should be rated as follows for relevance, effectiveness, efficiency:</w:t>
      </w:r>
    </w:p>
    <w:p w:rsidR="000A0F25" w:rsidRPr="000A3C73" w:rsidRDefault="000A0F25" w:rsidP="000A0F25">
      <w:pPr>
        <w:numPr>
          <w:ilvl w:val="0"/>
          <w:numId w:val="45"/>
        </w:numPr>
        <w:tabs>
          <w:tab w:val="num" w:pos="1440"/>
          <w:tab w:val="num" w:pos="1800"/>
          <w:tab w:val="num" w:pos="2520"/>
        </w:tabs>
        <w:jc w:val="both"/>
        <w:rPr>
          <w:rFonts w:ascii="Calibri" w:hAnsi="Calibri"/>
          <w:color w:val="000000"/>
        </w:rPr>
      </w:pPr>
      <w:r w:rsidRPr="000A3C73">
        <w:rPr>
          <w:rFonts w:ascii="Calibri" w:hAnsi="Calibri"/>
          <w:i/>
          <w:color w:val="000000"/>
        </w:rPr>
        <w:t>Highly Satisfactory (HS):</w:t>
      </w:r>
      <w:r w:rsidRPr="000A3C73">
        <w:rPr>
          <w:rFonts w:ascii="Calibri" w:hAnsi="Calibri"/>
          <w:color w:val="000000"/>
        </w:rPr>
        <w:t xml:space="preserve"> The project has no shortcomings in the achievement of its objectives.</w:t>
      </w:r>
    </w:p>
    <w:p w:rsidR="000A0F25" w:rsidRPr="000A3C73" w:rsidRDefault="000A0F25" w:rsidP="000A0F25">
      <w:pPr>
        <w:numPr>
          <w:ilvl w:val="0"/>
          <w:numId w:val="45"/>
        </w:numPr>
        <w:tabs>
          <w:tab w:val="num" w:pos="1440"/>
          <w:tab w:val="num" w:pos="1800"/>
          <w:tab w:val="num" w:pos="2520"/>
        </w:tabs>
        <w:jc w:val="both"/>
        <w:rPr>
          <w:rFonts w:ascii="Calibri" w:hAnsi="Calibri"/>
          <w:color w:val="000000"/>
        </w:rPr>
      </w:pPr>
      <w:r w:rsidRPr="000A3C73">
        <w:rPr>
          <w:rFonts w:ascii="Calibri" w:hAnsi="Calibri"/>
          <w:i/>
          <w:color w:val="000000"/>
        </w:rPr>
        <w:t>Satisfactory (S):</w:t>
      </w:r>
      <w:r w:rsidRPr="000A3C73">
        <w:rPr>
          <w:rFonts w:ascii="Calibri" w:hAnsi="Calibri"/>
          <w:color w:val="000000"/>
        </w:rPr>
        <w:t xml:space="preserve"> The project has minor shortcomings in the achievement of its objectives.</w:t>
      </w:r>
    </w:p>
    <w:p w:rsidR="000A0F25" w:rsidRPr="000A3C73" w:rsidRDefault="000A0F25" w:rsidP="000A0F25">
      <w:pPr>
        <w:numPr>
          <w:ilvl w:val="0"/>
          <w:numId w:val="45"/>
        </w:numPr>
        <w:tabs>
          <w:tab w:val="num" w:pos="1440"/>
          <w:tab w:val="num" w:pos="1800"/>
          <w:tab w:val="num" w:pos="2520"/>
        </w:tabs>
        <w:jc w:val="both"/>
        <w:rPr>
          <w:rFonts w:ascii="Calibri" w:hAnsi="Calibri"/>
          <w:color w:val="000000"/>
        </w:rPr>
      </w:pPr>
      <w:r w:rsidRPr="000A3C73">
        <w:rPr>
          <w:rFonts w:ascii="Calibri" w:hAnsi="Calibri"/>
          <w:i/>
          <w:color w:val="000000"/>
        </w:rPr>
        <w:t>Moderately Satisfactory (MS):</w:t>
      </w:r>
      <w:r w:rsidRPr="000A3C73">
        <w:rPr>
          <w:rFonts w:ascii="Calibri" w:hAnsi="Calibri"/>
          <w:color w:val="000000"/>
        </w:rPr>
        <w:t xml:space="preserve"> The project has moderate shortcomings in the achievement of its objectives.</w:t>
      </w:r>
    </w:p>
    <w:p w:rsidR="000A0F25" w:rsidRPr="000A3C73" w:rsidRDefault="000A0F25" w:rsidP="000A0F25">
      <w:pPr>
        <w:numPr>
          <w:ilvl w:val="0"/>
          <w:numId w:val="45"/>
        </w:numPr>
        <w:tabs>
          <w:tab w:val="num" w:pos="1440"/>
          <w:tab w:val="num" w:pos="1800"/>
          <w:tab w:val="num" w:pos="2520"/>
        </w:tabs>
        <w:jc w:val="both"/>
        <w:rPr>
          <w:rFonts w:ascii="Calibri" w:hAnsi="Calibri"/>
          <w:color w:val="000000"/>
        </w:rPr>
      </w:pPr>
      <w:r w:rsidRPr="000A3C73">
        <w:rPr>
          <w:rFonts w:ascii="Calibri" w:hAnsi="Calibri"/>
          <w:i/>
          <w:color w:val="000000"/>
        </w:rPr>
        <w:t>Moderately Unsatisfactory (MU)</w:t>
      </w:r>
      <w:r w:rsidRPr="000A3C73">
        <w:rPr>
          <w:rFonts w:ascii="Calibri" w:hAnsi="Calibri"/>
          <w:color w:val="000000"/>
        </w:rPr>
        <w:t>: The project has significant shortcomings in the achievement of its objectives.</w:t>
      </w:r>
    </w:p>
    <w:p w:rsidR="000A0F25" w:rsidRPr="000A3C73" w:rsidRDefault="000A0F25" w:rsidP="000A0F25">
      <w:pPr>
        <w:numPr>
          <w:ilvl w:val="0"/>
          <w:numId w:val="45"/>
        </w:numPr>
        <w:tabs>
          <w:tab w:val="num" w:pos="1440"/>
          <w:tab w:val="num" w:pos="1800"/>
          <w:tab w:val="num" w:pos="2520"/>
        </w:tabs>
        <w:jc w:val="both"/>
        <w:rPr>
          <w:rFonts w:ascii="Calibri" w:hAnsi="Calibri"/>
          <w:color w:val="000000"/>
        </w:rPr>
      </w:pPr>
      <w:r w:rsidRPr="000A3C73">
        <w:rPr>
          <w:rFonts w:ascii="Calibri" w:hAnsi="Calibri"/>
          <w:i/>
          <w:color w:val="000000"/>
        </w:rPr>
        <w:t>Unsatisfactory (U):</w:t>
      </w:r>
      <w:r w:rsidRPr="000A3C73">
        <w:rPr>
          <w:rFonts w:ascii="Calibri" w:hAnsi="Calibri"/>
          <w:color w:val="000000"/>
        </w:rPr>
        <w:t xml:space="preserve"> The project has major shortcomings in the achievement of its objectives.</w:t>
      </w:r>
    </w:p>
    <w:p w:rsidR="000A0F25" w:rsidRPr="000A3C73" w:rsidRDefault="000A0F25" w:rsidP="000A0F25">
      <w:pPr>
        <w:numPr>
          <w:ilvl w:val="0"/>
          <w:numId w:val="45"/>
        </w:numPr>
        <w:tabs>
          <w:tab w:val="num" w:pos="1440"/>
          <w:tab w:val="num" w:pos="1800"/>
          <w:tab w:val="num" w:pos="2520"/>
        </w:tabs>
        <w:jc w:val="both"/>
        <w:rPr>
          <w:rFonts w:ascii="Calibri" w:hAnsi="Calibri"/>
          <w:color w:val="000000"/>
        </w:rPr>
      </w:pPr>
      <w:r w:rsidRPr="000A3C73">
        <w:rPr>
          <w:rFonts w:ascii="Calibri" w:hAnsi="Calibri"/>
          <w:i/>
          <w:color w:val="000000"/>
        </w:rPr>
        <w:t>Highly Unsatisfactory (HU):</w:t>
      </w:r>
      <w:r w:rsidRPr="000A3C73">
        <w:rPr>
          <w:rFonts w:ascii="Calibri" w:hAnsi="Calibri"/>
          <w:color w:val="000000"/>
        </w:rPr>
        <w:t xml:space="preserve"> The project has severe shortcomings in the achievement of its objectives.</w:t>
      </w:r>
    </w:p>
    <w:p w:rsidR="000A0F25" w:rsidRPr="000A3C73" w:rsidRDefault="000A0F25" w:rsidP="000A0F25">
      <w:pPr>
        <w:pStyle w:val="ListBullet2"/>
        <w:numPr>
          <w:ilvl w:val="0"/>
          <w:numId w:val="0"/>
        </w:numPr>
        <w:ind w:left="720"/>
        <w:rPr>
          <w:rFonts w:ascii="Calibri" w:hAnsi="Calibri"/>
          <w:szCs w:val="22"/>
        </w:rPr>
      </w:pPr>
    </w:p>
    <w:p w:rsidR="000A0F25" w:rsidRPr="0089284E" w:rsidRDefault="000A0F25" w:rsidP="000A0F25">
      <w:pPr>
        <w:rPr>
          <w:rStyle w:val="Strong"/>
          <w:rFonts w:asciiTheme="majorHAnsi" w:hAnsiTheme="majorHAnsi"/>
        </w:rPr>
      </w:pPr>
      <w:r w:rsidRPr="000A3C73">
        <w:rPr>
          <w:rStyle w:val="Strong"/>
          <w:rFonts w:asciiTheme="majorHAnsi" w:hAnsiTheme="majorHAnsi"/>
        </w:rPr>
        <w:t xml:space="preserve">EvaluationDeliverables </w:t>
      </w:r>
    </w:p>
    <w:p w:rsidR="000A0F25" w:rsidRPr="000A3C73" w:rsidRDefault="000A0F25" w:rsidP="000A0F25">
      <w:pPr>
        <w:jc w:val="both"/>
        <w:rPr>
          <w:rFonts w:ascii="Calibri" w:hAnsi="Calibri"/>
          <w:snapToGrid w:val="0"/>
          <w:color w:val="000000"/>
        </w:rPr>
      </w:pPr>
      <w:r w:rsidRPr="000A3C73">
        <w:rPr>
          <w:rFonts w:ascii="Calibri" w:hAnsi="Calibri"/>
        </w:rPr>
        <w:t>The core product of the terminal evaluation will be the Terminal Evaluation Report</w:t>
      </w:r>
      <w:r w:rsidRPr="000A3C73">
        <w:rPr>
          <w:rFonts w:ascii="Calibri" w:hAnsi="Calibri"/>
          <w:snapToGrid w:val="0"/>
          <w:color w:val="000000"/>
        </w:rPr>
        <w:t xml:space="preserve"> that includes:</w:t>
      </w:r>
    </w:p>
    <w:p w:rsidR="000A0F25" w:rsidRPr="000A3C73" w:rsidRDefault="000A0F25" w:rsidP="000A0F25">
      <w:pPr>
        <w:numPr>
          <w:ilvl w:val="0"/>
          <w:numId w:val="43"/>
        </w:numPr>
        <w:jc w:val="both"/>
        <w:rPr>
          <w:rFonts w:ascii="Calibri" w:hAnsi="Calibri"/>
          <w:snapToGrid w:val="0"/>
          <w:color w:val="808080"/>
        </w:rPr>
      </w:pPr>
      <w:r w:rsidRPr="000A3C73">
        <w:rPr>
          <w:rFonts w:ascii="Calibri" w:hAnsi="Calibri"/>
          <w:snapToGrid w:val="0"/>
          <w:color w:val="000000"/>
        </w:rPr>
        <w:t>Findings with the rating on performance;</w:t>
      </w:r>
    </w:p>
    <w:p w:rsidR="000A0F25" w:rsidRPr="000A3C73" w:rsidRDefault="000A0F25" w:rsidP="000A0F25">
      <w:pPr>
        <w:numPr>
          <w:ilvl w:val="0"/>
          <w:numId w:val="43"/>
        </w:numPr>
        <w:jc w:val="both"/>
        <w:rPr>
          <w:rFonts w:ascii="Calibri" w:hAnsi="Calibri"/>
          <w:snapToGrid w:val="0"/>
          <w:color w:val="000000"/>
        </w:rPr>
      </w:pPr>
      <w:r w:rsidRPr="000A3C73">
        <w:rPr>
          <w:rFonts w:ascii="Calibri" w:hAnsi="Calibri"/>
          <w:snapToGrid w:val="0"/>
          <w:color w:val="000000"/>
        </w:rPr>
        <w:t>Conclusions drawn;</w:t>
      </w:r>
    </w:p>
    <w:p w:rsidR="000A0F25" w:rsidRPr="000A3C73" w:rsidRDefault="000A0F25" w:rsidP="000A0F25">
      <w:pPr>
        <w:numPr>
          <w:ilvl w:val="0"/>
          <w:numId w:val="43"/>
        </w:numPr>
        <w:jc w:val="both"/>
        <w:rPr>
          <w:rFonts w:ascii="Calibri" w:hAnsi="Calibri"/>
          <w:snapToGrid w:val="0"/>
          <w:color w:val="000000"/>
        </w:rPr>
      </w:pPr>
      <w:r w:rsidRPr="000A3C73">
        <w:rPr>
          <w:rFonts w:ascii="Calibri" w:hAnsi="Calibri"/>
          <w:snapToGrid w:val="0"/>
          <w:color w:val="000000"/>
        </w:rPr>
        <w:t>Lessons learned concerning best and worst practices in producing outputs;</w:t>
      </w:r>
    </w:p>
    <w:p w:rsidR="000A0F25" w:rsidRPr="000A3C73" w:rsidRDefault="000A0F25" w:rsidP="000A0F25">
      <w:pPr>
        <w:numPr>
          <w:ilvl w:val="0"/>
          <w:numId w:val="43"/>
        </w:numPr>
        <w:jc w:val="both"/>
        <w:rPr>
          <w:rFonts w:ascii="Calibri" w:hAnsi="Calibri"/>
          <w:snapToGrid w:val="0"/>
          <w:color w:val="000000"/>
        </w:rPr>
      </w:pPr>
      <w:r w:rsidRPr="000A3C73">
        <w:rPr>
          <w:rFonts w:ascii="Calibri" w:hAnsi="Calibri"/>
          <w:snapToGrid w:val="0"/>
          <w:color w:val="000000"/>
        </w:rPr>
        <w:t>A rating on progress towards outputs.</w:t>
      </w:r>
    </w:p>
    <w:p w:rsidR="000A0F25" w:rsidRPr="000A3C73" w:rsidRDefault="000A0F25" w:rsidP="000A0F25">
      <w:pPr>
        <w:jc w:val="both"/>
        <w:rPr>
          <w:rFonts w:ascii="Calibri" w:hAnsi="Calibri"/>
          <w:u w:val="single"/>
        </w:rPr>
      </w:pPr>
    </w:p>
    <w:p w:rsidR="000A0F25" w:rsidRPr="000A3C73" w:rsidRDefault="000A0F25" w:rsidP="000A0F25">
      <w:pPr>
        <w:jc w:val="both"/>
        <w:rPr>
          <w:rFonts w:ascii="Calibri" w:hAnsi="Calibri"/>
          <w:snapToGrid w:val="0"/>
          <w:color w:val="000000"/>
        </w:rPr>
      </w:pPr>
      <w:r w:rsidRPr="000A3C73">
        <w:rPr>
          <w:rFonts w:ascii="Calibri" w:hAnsi="Calibri"/>
          <w:snapToGrid w:val="0"/>
          <w:color w:val="000000"/>
        </w:rPr>
        <w:t>The report is proposed to adhere to the following basic structure:</w:t>
      </w:r>
    </w:p>
    <w:p w:rsidR="000A0F25" w:rsidRPr="000A3C73" w:rsidRDefault="000A0F25" w:rsidP="000A0F25">
      <w:pPr>
        <w:numPr>
          <w:ilvl w:val="0"/>
          <w:numId w:val="30"/>
        </w:numPr>
        <w:jc w:val="both"/>
        <w:rPr>
          <w:rFonts w:ascii="Calibri" w:hAnsi="Calibri"/>
          <w:snapToGrid w:val="0"/>
          <w:color w:val="000000"/>
        </w:rPr>
      </w:pPr>
      <w:r w:rsidRPr="000A3C73">
        <w:rPr>
          <w:rFonts w:ascii="Calibri" w:hAnsi="Calibri"/>
          <w:snapToGrid w:val="0"/>
          <w:color w:val="000000"/>
        </w:rPr>
        <w:t>Executive summary</w:t>
      </w:r>
    </w:p>
    <w:p w:rsidR="000A0F25" w:rsidRPr="000A3C73" w:rsidRDefault="000A0F25" w:rsidP="000A0F25">
      <w:pPr>
        <w:numPr>
          <w:ilvl w:val="0"/>
          <w:numId w:val="43"/>
        </w:numPr>
        <w:jc w:val="both"/>
        <w:rPr>
          <w:rFonts w:ascii="Calibri" w:hAnsi="Calibri"/>
        </w:rPr>
      </w:pPr>
      <w:r w:rsidRPr="000A3C73">
        <w:rPr>
          <w:rFonts w:ascii="Calibri" w:hAnsi="Calibri"/>
        </w:rPr>
        <w:t>Brief description of project</w:t>
      </w:r>
    </w:p>
    <w:p w:rsidR="000A0F25" w:rsidRPr="000A3C73" w:rsidRDefault="000A0F25" w:rsidP="000A0F25">
      <w:pPr>
        <w:numPr>
          <w:ilvl w:val="0"/>
          <w:numId w:val="43"/>
        </w:numPr>
        <w:jc w:val="both"/>
        <w:rPr>
          <w:rFonts w:ascii="Calibri" w:hAnsi="Calibri"/>
        </w:rPr>
      </w:pPr>
      <w:r w:rsidRPr="000A3C73">
        <w:rPr>
          <w:rFonts w:ascii="Calibri" w:hAnsi="Calibri"/>
        </w:rPr>
        <w:t>Context and purpose of the evaluation</w:t>
      </w:r>
    </w:p>
    <w:p w:rsidR="000A0F25" w:rsidRPr="000A3C73" w:rsidRDefault="000A0F25" w:rsidP="000A0F25">
      <w:pPr>
        <w:numPr>
          <w:ilvl w:val="0"/>
          <w:numId w:val="43"/>
        </w:numPr>
        <w:jc w:val="both"/>
        <w:rPr>
          <w:rFonts w:ascii="Calibri" w:hAnsi="Calibri"/>
        </w:rPr>
      </w:pPr>
      <w:r w:rsidRPr="000A3C73">
        <w:rPr>
          <w:rFonts w:ascii="Calibri" w:hAnsi="Calibri"/>
        </w:rPr>
        <w:t>Main conclusions, recommendations and lessons learned</w:t>
      </w:r>
    </w:p>
    <w:p w:rsidR="000A0F25" w:rsidRPr="000A3C73" w:rsidRDefault="000A0F25" w:rsidP="000A0F25">
      <w:pPr>
        <w:numPr>
          <w:ilvl w:val="0"/>
          <w:numId w:val="30"/>
        </w:numPr>
        <w:jc w:val="both"/>
        <w:rPr>
          <w:rFonts w:ascii="Calibri" w:hAnsi="Calibri"/>
          <w:snapToGrid w:val="0"/>
          <w:color w:val="000000"/>
        </w:rPr>
      </w:pPr>
      <w:r w:rsidRPr="000A3C73">
        <w:rPr>
          <w:rFonts w:ascii="Calibri" w:hAnsi="Calibri"/>
          <w:snapToGrid w:val="0"/>
          <w:color w:val="000000"/>
        </w:rPr>
        <w:t>Introduction</w:t>
      </w:r>
    </w:p>
    <w:p w:rsidR="000A0F25" w:rsidRPr="000A3C73" w:rsidRDefault="000A0F25" w:rsidP="000A0F25">
      <w:pPr>
        <w:numPr>
          <w:ilvl w:val="0"/>
          <w:numId w:val="43"/>
        </w:numPr>
        <w:jc w:val="both"/>
        <w:rPr>
          <w:rFonts w:ascii="Calibri" w:hAnsi="Calibri"/>
          <w:snapToGrid w:val="0"/>
          <w:color w:val="000000"/>
        </w:rPr>
      </w:pPr>
      <w:r w:rsidRPr="000A3C73">
        <w:rPr>
          <w:rFonts w:ascii="Calibri" w:hAnsi="Calibri"/>
          <w:snapToGrid w:val="0"/>
          <w:color w:val="000000"/>
        </w:rPr>
        <w:t>Project background</w:t>
      </w:r>
    </w:p>
    <w:p w:rsidR="000A0F25" w:rsidRPr="000A3C73" w:rsidRDefault="000A0F25" w:rsidP="000A0F25">
      <w:pPr>
        <w:numPr>
          <w:ilvl w:val="0"/>
          <w:numId w:val="43"/>
        </w:numPr>
        <w:jc w:val="both"/>
        <w:rPr>
          <w:rFonts w:ascii="Calibri" w:hAnsi="Calibri"/>
          <w:snapToGrid w:val="0"/>
          <w:color w:val="000000"/>
        </w:rPr>
      </w:pPr>
      <w:r w:rsidRPr="000A3C73">
        <w:rPr>
          <w:rFonts w:ascii="Calibri" w:hAnsi="Calibri"/>
          <w:snapToGrid w:val="0"/>
          <w:color w:val="000000"/>
        </w:rPr>
        <w:t>Purpose of the evaluation</w:t>
      </w:r>
    </w:p>
    <w:p w:rsidR="000A0F25" w:rsidRPr="000A3C73" w:rsidRDefault="000A0F25" w:rsidP="000A0F25">
      <w:pPr>
        <w:numPr>
          <w:ilvl w:val="0"/>
          <w:numId w:val="43"/>
        </w:numPr>
        <w:jc w:val="both"/>
        <w:rPr>
          <w:rFonts w:ascii="Calibri" w:hAnsi="Calibri"/>
          <w:snapToGrid w:val="0"/>
          <w:color w:val="000000"/>
        </w:rPr>
      </w:pPr>
      <w:r w:rsidRPr="000A3C73">
        <w:rPr>
          <w:rFonts w:ascii="Calibri" w:hAnsi="Calibri"/>
          <w:snapToGrid w:val="0"/>
          <w:color w:val="000000"/>
        </w:rPr>
        <w:t>Key issues to be addressed</w:t>
      </w:r>
    </w:p>
    <w:p w:rsidR="000A0F25" w:rsidRPr="000A3C73" w:rsidRDefault="000A0F25" w:rsidP="000A0F25">
      <w:pPr>
        <w:numPr>
          <w:ilvl w:val="0"/>
          <w:numId w:val="43"/>
        </w:numPr>
        <w:jc w:val="both"/>
        <w:rPr>
          <w:rFonts w:ascii="Calibri" w:hAnsi="Calibri"/>
          <w:snapToGrid w:val="0"/>
          <w:color w:val="000000"/>
        </w:rPr>
      </w:pPr>
      <w:r w:rsidRPr="000A3C73">
        <w:rPr>
          <w:rFonts w:ascii="Calibri" w:hAnsi="Calibri"/>
          <w:snapToGrid w:val="0"/>
          <w:color w:val="000000"/>
        </w:rPr>
        <w:t>The outputs of the evaluation and how will they be used</w:t>
      </w:r>
    </w:p>
    <w:p w:rsidR="000A0F25" w:rsidRPr="000A3C73" w:rsidRDefault="000A0F25" w:rsidP="000A0F25">
      <w:pPr>
        <w:numPr>
          <w:ilvl w:val="0"/>
          <w:numId w:val="43"/>
        </w:numPr>
        <w:jc w:val="both"/>
        <w:rPr>
          <w:rFonts w:ascii="Calibri" w:hAnsi="Calibri"/>
          <w:snapToGrid w:val="0"/>
          <w:color w:val="000000"/>
        </w:rPr>
      </w:pPr>
      <w:r w:rsidRPr="000A3C73">
        <w:rPr>
          <w:rFonts w:ascii="Calibri" w:hAnsi="Calibri"/>
          <w:snapToGrid w:val="0"/>
          <w:color w:val="000000"/>
        </w:rPr>
        <w:t>Methodology of the evaluation</w:t>
      </w:r>
    </w:p>
    <w:p w:rsidR="000A0F25" w:rsidRPr="000A3C73" w:rsidRDefault="000A0F25" w:rsidP="000A0F25">
      <w:pPr>
        <w:numPr>
          <w:ilvl w:val="0"/>
          <w:numId w:val="43"/>
        </w:numPr>
        <w:jc w:val="both"/>
        <w:rPr>
          <w:rFonts w:ascii="Calibri" w:hAnsi="Calibri"/>
          <w:snapToGrid w:val="0"/>
          <w:color w:val="000000"/>
        </w:rPr>
      </w:pPr>
      <w:r w:rsidRPr="000A3C73">
        <w:rPr>
          <w:rFonts w:ascii="Calibri" w:hAnsi="Calibri"/>
          <w:snapToGrid w:val="0"/>
          <w:color w:val="000000"/>
        </w:rPr>
        <w:t xml:space="preserve">Structure of the evaluation </w:t>
      </w:r>
    </w:p>
    <w:p w:rsidR="000A0F25" w:rsidRPr="000A3C73" w:rsidRDefault="000A0F25" w:rsidP="000A0F25">
      <w:pPr>
        <w:numPr>
          <w:ilvl w:val="0"/>
          <w:numId w:val="30"/>
        </w:numPr>
        <w:jc w:val="both"/>
        <w:rPr>
          <w:rFonts w:ascii="Calibri" w:hAnsi="Calibri"/>
          <w:snapToGrid w:val="0"/>
          <w:color w:val="000000"/>
        </w:rPr>
      </w:pPr>
      <w:r w:rsidRPr="000A3C73">
        <w:rPr>
          <w:rFonts w:ascii="Calibri" w:hAnsi="Calibri"/>
          <w:snapToGrid w:val="0"/>
          <w:color w:val="000000"/>
        </w:rPr>
        <w:t>The project and its development context</w:t>
      </w:r>
    </w:p>
    <w:p w:rsidR="000A0F25" w:rsidRPr="000A3C73" w:rsidRDefault="000A0F25" w:rsidP="000A0F25">
      <w:pPr>
        <w:numPr>
          <w:ilvl w:val="0"/>
          <w:numId w:val="43"/>
        </w:numPr>
        <w:jc w:val="both"/>
        <w:rPr>
          <w:rFonts w:ascii="Calibri" w:hAnsi="Calibri"/>
          <w:snapToGrid w:val="0"/>
          <w:color w:val="000000"/>
        </w:rPr>
      </w:pPr>
      <w:r w:rsidRPr="000A3C73">
        <w:rPr>
          <w:rFonts w:ascii="Calibri" w:hAnsi="Calibri"/>
          <w:snapToGrid w:val="0"/>
          <w:color w:val="000000"/>
        </w:rPr>
        <w:t>Project start and its duration</w:t>
      </w:r>
    </w:p>
    <w:p w:rsidR="000A0F25" w:rsidRPr="000A3C73" w:rsidRDefault="000A0F25" w:rsidP="000A0F25">
      <w:pPr>
        <w:numPr>
          <w:ilvl w:val="0"/>
          <w:numId w:val="43"/>
        </w:numPr>
        <w:jc w:val="both"/>
        <w:rPr>
          <w:rFonts w:ascii="Calibri" w:hAnsi="Calibri"/>
          <w:snapToGrid w:val="0"/>
          <w:color w:val="000000"/>
        </w:rPr>
      </w:pPr>
      <w:r w:rsidRPr="000A3C73">
        <w:rPr>
          <w:rFonts w:ascii="Calibri" w:hAnsi="Calibri"/>
          <w:snapToGrid w:val="0"/>
          <w:color w:val="000000"/>
        </w:rPr>
        <w:t>Implementation status</w:t>
      </w:r>
    </w:p>
    <w:p w:rsidR="000A0F25" w:rsidRPr="000A3C73" w:rsidRDefault="000A0F25" w:rsidP="000A0F25">
      <w:pPr>
        <w:numPr>
          <w:ilvl w:val="0"/>
          <w:numId w:val="43"/>
        </w:numPr>
        <w:jc w:val="both"/>
        <w:rPr>
          <w:rFonts w:ascii="Calibri" w:hAnsi="Calibri"/>
          <w:snapToGrid w:val="0"/>
          <w:color w:val="000000"/>
        </w:rPr>
      </w:pPr>
      <w:r w:rsidRPr="000A3C73">
        <w:rPr>
          <w:rFonts w:ascii="Calibri" w:hAnsi="Calibri"/>
          <w:snapToGrid w:val="0"/>
          <w:color w:val="000000"/>
        </w:rPr>
        <w:t>Problems that the project seeks to address</w:t>
      </w:r>
    </w:p>
    <w:p w:rsidR="000A0F25" w:rsidRPr="000A3C73" w:rsidRDefault="000A0F25" w:rsidP="000A0F25">
      <w:pPr>
        <w:numPr>
          <w:ilvl w:val="0"/>
          <w:numId w:val="43"/>
        </w:numPr>
        <w:jc w:val="both"/>
        <w:rPr>
          <w:rFonts w:ascii="Calibri" w:hAnsi="Calibri"/>
          <w:snapToGrid w:val="0"/>
          <w:color w:val="000000"/>
        </w:rPr>
      </w:pPr>
      <w:r w:rsidRPr="000A3C73">
        <w:rPr>
          <w:rFonts w:ascii="Calibri" w:hAnsi="Calibri"/>
          <w:snapToGrid w:val="0"/>
          <w:color w:val="000000"/>
        </w:rPr>
        <w:t>Immediate and development objectives of the project</w:t>
      </w:r>
    </w:p>
    <w:p w:rsidR="000A0F25" w:rsidRPr="000A3C73" w:rsidRDefault="000A0F25" w:rsidP="000A0F25">
      <w:pPr>
        <w:numPr>
          <w:ilvl w:val="0"/>
          <w:numId w:val="43"/>
        </w:numPr>
        <w:jc w:val="both"/>
        <w:rPr>
          <w:rFonts w:ascii="Calibri" w:hAnsi="Calibri"/>
          <w:snapToGrid w:val="0"/>
          <w:color w:val="000000"/>
        </w:rPr>
      </w:pPr>
      <w:r w:rsidRPr="000A3C73">
        <w:rPr>
          <w:rFonts w:ascii="Calibri" w:hAnsi="Calibri"/>
          <w:snapToGrid w:val="0"/>
          <w:color w:val="000000"/>
        </w:rPr>
        <w:t>Main stakeholders</w:t>
      </w:r>
    </w:p>
    <w:p w:rsidR="000A0F25" w:rsidRPr="000A3C73" w:rsidRDefault="000A0F25" w:rsidP="000A0F25">
      <w:pPr>
        <w:numPr>
          <w:ilvl w:val="0"/>
          <w:numId w:val="43"/>
        </w:numPr>
        <w:jc w:val="both"/>
        <w:rPr>
          <w:rFonts w:ascii="Calibri" w:hAnsi="Calibri"/>
          <w:snapToGrid w:val="0"/>
          <w:color w:val="000000"/>
        </w:rPr>
      </w:pPr>
      <w:r w:rsidRPr="000A3C73">
        <w:rPr>
          <w:rFonts w:ascii="Calibri" w:hAnsi="Calibri"/>
          <w:snapToGrid w:val="0"/>
          <w:color w:val="000000"/>
        </w:rPr>
        <w:t>Results expected</w:t>
      </w:r>
    </w:p>
    <w:p w:rsidR="000A0F25" w:rsidRPr="000A3C73" w:rsidRDefault="000A0F25" w:rsidP="000A0F25">
      <w:pPr>
        <w:numPr>
          <w:ilvl w:val="0"/>
          <w:numId w:val="43"/>
        </w:numPr>
        <w:jc w:val="both"/>
        <w:rPr>
          <w:rFonts w:ascii="Calibri" w:hAnsi="Calibri"/>
        </w:rPr>
      </w:pPr>
      <w:r w:rsidRPr="000A3C73">
        <w:rPr>
          <w:rFonts w:ascii="Calibri" w:hAnsi="Calibri"/>
          <w:snapToGrid w:val="0"/>
          <w:color w:val="000000"/>
        </w:rPr>
        <w:t>Analysis of the situation with regard to outcomes</w:t>
      </w:r>
      <w:r w:rsidRPr="000A3C73">
        <w:rPr>
          <w:rFonts w:ascii="Calibri" w:hAnsi="Calibri"/>
        </w:rPr>
        <w:t>, outputs and partnership strategy</w:t>
      </w:r>
    </w:p>
    <w:p w:rsidR="000A0F25" w:rsidRPr="000A3C73" w:rsidRDefault="000A0F25" w:rsidP="000A0F25">
      <w:pPr>
        <w:numPr>
          <w:ilvl w:val="0"/>
          <w:numId w:val="30"/>
        </w:numPr>
        <w:jc w:val="both"/>
        <w:rPr>
          <w:rFonts w:ascii="Calibri" w:hAnsi="Calibri"/>
          <w:snapToGrid w:val="0"/>
          <w:color w:val="000000"/>
        </w:rPr>
      </w:pPr>
      <w:r w:rsidRPr="000A3C73">
        <w:rPr>
          <w:rFonts w:ascii="Calibri" w:hAnsi="Calibri"/>
          <w:snapToGrid w:val="0"/>
          <w:color w:val="000000"/>
        </w:rPr>
        <w:t>Findings and Conclusions</w:t>
      </w:r>
    </w:p>
    <w:p w:rsidR="000A0F25" w:rsidRPr="000A3C73" w:rsidRDefault="000A0F25" w:rsidP="000A0F25">
      <w:pPr>
        <w:jc w:val="both"/>
        <w:rPr>
          <w:rFonts w:ascii="Calibri" w:hAnsi="Calibri"/>
          <w:snapToGrid w:val="0"/>
          <w:color w:val="000000"/>
        </w:rPr>
      </w:pPr>
      <w:r w:rsidRPr="000A3C73">
        <w:rPr>
          <w:rFonts w:ascii="Calibri" w:hAnsi="Calibri"/>
          <w:snapToGrid w:val="0"/>
          <w:color w:val="000000"/>
        </w:rPr>
        <w:tab/>
        <w:t>4.1 Project formulation</w:t>
      </w:r>
    </w:p>
    <w:p w:rsidR="000A0F25" w:rsidRPr="000A3C73" w:rsidRDefault="000A0F25" w:rsidP="000A0F25">
      <w:pPr>
        <w:numPr>
          <w:ilvl w:val="2"/>
          <w:numId w:val="43"/>
        </w:numPr>
        <w:jc w:val="both"/>
        <w:rPr>
          <w:rFonts w:ascii="Calibri" w:hAnsi="Calibri"/>
        </w:rPr>
      </w:pPr>
      <w:r w:rsidRPr="000A3C73">
        <w:rPr>
          <w:rFonts w:ascii="Calibri" w:hAnsi="Calibri"/>
        </w:rPr>
        <w:t>Project relevance</w:t>
      </w:r>
    </w:p>
    <w:p w:rsidR="000A0F25" w:rsidRPr="000A3C73" w:rsidRDefault="000A0F25" w:rsidP="000A0F25">
      <w:pPr>
        <w:numPr>
          <w:ilvl w:val="2"/>
          <w:numId w:val="43"/>
        </w:numPr>
        <w:jc w:val="both"/>
        <w:rPr>
          <w:rFonts w:ascii="Calibri" w:hAnsi="Calibri"/>
        </w:rPr>
      </w:pPr>
      <w:r w:rsidRPr="000A3C73">
        <w:rPr>
          <w:rFonts w:ascii="Calibri" w:hAnsi="Calibri"/>
        </w:rPr>
        <w:t>Implementation approach</w:t>
      </w:r>
    </w:p>
    <w:p w:rsidR="000A0F25" w:rsidRPr="000A3C73" w:rsidRDefault="000A0F25" w:rsidP="000A0F25">
      <w:pPr>
        <w:numPr>
          <w:ilvl w:val="2"/>
          <w:numId w:val="43"/>
        </w:numPr>
        <w:jc w:val="both"/>
        <w:rPr>
          <w:rFonts w:ascii="Calibri" w:hAnsi="Calibri"/>
        </w:rPr>
      </w:pPr>
      <w:r w:rsidRPr="000A3C73">
        <w:rPr>
          <w:rFonts w:ascii="Calibri" w:hAnsi="Calibri"/>
        </w:rPr>
        <w:t>Country ownership/Driveness</w:t>
      </w:r>
    </w:p>
    <w:p w:rsidR="000A0F25" w:rsidRPr="000A3C73" w:rsidRDefault="000A0F25" w:rsidP="000A0F25">
      <w:pPr>
        <w:numPr>
          <w:ilvl w:val="2"/>
          <w:numId w:val="43"/>
        </w:numPr>
        <w:jc w:val="both"/>
        <w:rPr>
          <w:rFonts w:ascii="Calibri" w:hAnsi="Calibri"/>
        </w:rPr>
      </w:pPr>
      <w:r w:rsidRPr="000A3C73">
        <w:rPr>
          <w:rFonts w:ascii="Calibri" w:hAnsi="Calibri"/>
        </w:rPr>
        <w:t>Stakeholder participation</w:t>
      </w:r>
    </w:p>
    <w:p w:rsidR="000A0F25" w:rsidRPr="000A3C73" w:rsidRDefault="000A0F25" w:rsidP="000A0F25">
      <w:pPr>
        <w:numPr>
          <w:ilvl w:val="2"/>
          <w:numId w:val="43"/>
        </w:numPr>
        <w:jc w:val="both"/>
        <w:rPr>
          <w:rFonts w:ascii="Calibri" w:hAnsi="Calibri"/>
        </w:rPr>
      </w:pPr>
      <w:r w:rsidRPr="000A3C73">
        <w:rPr>
          <w:rFonts w:ascii="Calibri" w:hAnsi="Calibri"/>
        </w:rPr>
        <w:t>Replication approach</w:t>
      </w:r>
    </w:p>
    <w:p w:rsidR="000A0F25" w:rsidRPr="000A3C73" w:rsidRDefault="000A0F25" w:rsidP="000A0F25">
      <w:pPr>
        <w:numPr>
          <w:ilvl w:val="2"/>
          <w:numId w:val="43"/>
        </w:numPr>
        <w:jc w:val="both"/>
        <w:rPr>
          <w:rFonts w:ascii="Calibri" w:hAnsi="Calibri"/>
        </w:rPr>
      </w:pPr>
      <w:r w:rsidRPr="000A3C73">
        <w:rPr>
          <w:rFonts w:ascii="Calibri" w:hAnsi="Calibri"/>
        </w:rPr>
        <w:t>Cost-effectiveness</w:t>
      </w:r>
    </w:p>
    <w:p w:rsidR="000A0F25" w:rsidRPr="000A3C73" w:rsidRDefault="000A0F25" w:rsidP="000A0F25">
      <w:pPr>
        <w:numPr>
          <w:ilvl w:val="2"/>
          <w:numId w:val="43"/>
        </w:numPr>
        <w:jc w:val="both"/>
        <w:rPr>
          <w:rFonts w:ascii="Calibri" w:hAnsi="Calibri"/>
        </w:rPr>
      </w:pPr>
      <w:r w:rsidRPr="000A3C73">
        <w:rPr>
          <w:rFonts w:ascii="Calibri" w:hAnsi="Calibri"/>
        </w:rPr>
        <w:t>Sustainability</w:t>
      </w:r>
    </w:p>
    <w:p w:rsidR="000A0F25" w:rsidRPr="000A3C73" w:rsidRDefault="000A0F25" w:rsidP="000A0F25">
      <w:pPr>
        <w:numPr>
          <w:ilvl w:val="2"/>
          <w:numId w:val="43"/>
        </w:numPr>
        <w:jc w:val="both"/>
        <w:rPr>
          <w:rFonts w:ascii="Calibri" w:hAnsi="Calibri"/>
        </w:rPr>
      </w:pPr>
      <w:r w:rsidRPr="000A3C73">
        <w:rPr>
          <w:rFonts w:ascii="Calibri" w:hAnsi="Calibri"/>
        </w:rPr>
        <w:t>Linkages between project and other interventions within the sector</w:t>
      </w:r>
    </w:p>
    <w:p w:rsidR="000A0F25" w:rsidRPr="000A3C73" w:rsidRDefault="000A0F25" w:rsidP="000A0F25">
      <w:pPr>
        <w:numPr>
          <w:ilvl w:val="2"/>
          <w:numId w:val="43"/>
        </w:numPr>
        <w:jc w:val="both"/>
        <w:rPr>
          <w:rFonts w:ascii="Calibri" w:hAnsi="Calibri"/>
        </w:rPr>
      </w:pPr>
      <w:r w:rsidRPr="000A3C73">
        <w:rPr>
          <w:rFonts w:ascii="Calibri" w:hAnsi="Calibri"/>
        </w:rPr>
        <w:t>Management arrangements</w:t>
      </w:r>
    </w:p>
    <w:p w:rsidR="000A0F25" w:rsidRPr="000A3C73" w:rsidRDefault="000A0F25" w:rsidP="000A0F25">
      <w:pPr>
        <w:jc w:val="both"/>
        <w:rPr>
          <w:rFonts w:ascii="Calibri" w:hAnsi="Calibri"/>
          <w:snapToGrid w:val="0"/>
          <w:color w:val="000000"/>
        </w:rPr>
      </w:pPr>
      <w:r w:rsidRPr="000A3C73">
        <w:rPr>
          <w:rFonts w:ascii="Calibri" w:hAnsi="Calibri"/>
          <w:snapToGrid w:val="0"/>
          <w:color w:val="000000"/>
        </w:rPr>
        <w:tab/>
        <w:t>4.2 Project implementation</w:t>
      </w:r>
    </w:p>
    <w:p w:rsidR="000A0F25" w:rsidRPr="000A3C73" w:rsidRDefault="000A0F25" w:rsidP="000A0F25">
      <w:pPr>
        <w:numPr>
          <w:ilvl w:val="2"/>
          <w:numId w:val="43"/>
        </w:numPr>
        <w:jc w:val="both"/>
        <w:rPr>
          <w:rFonts w:ascii="Calibri" w:hAnsi="Calibri"/>
        </w:rPr>
      </w:pPr>
      <w:r w:rsidRPr="000A3C73">
        <w:rPr>
          <w:rFonts w:ascii="Calibri" w:hAnsi="Calibri"/>
        </w:rPr>
        <w:t>Financial management</w:t>
      </w:r>
    </w:p>
    <w:p w:rsidR="000A0F25" w:rsidRPr="000A3C73" w:rsidRDefault="000A0F25" w:rsidP="000A0F25">
      <w:pPr>
        <w:numPr>
          <w:ilvl w:val="2"/>
          <w:numId w:val="43"/>
        </w:numPr>
        <w:jc w:val="both"/>
        <w:rPr>
          <w:rFonts w:ascii="Calibri" w:hAnsi="Calibri"/>
        </w:rPr>
      </w:pPr>
      <w:r w:rsidRPr="000A3C73">
        <w:rPr>
          <w:rFonts w:ascii="Calibri" w:hAnsi="Calibri"/>
        </w:rPr>
        <w:t>Monitoring and evaluation</w:t>
      </w:r>
    </w:p>
    <w:p w:rsidR="000A0F25" w:rsidRPr="000A3C73" w:rsidRDefault="000A0F25" w:rsidP="000A0F25">
      <w:pPr>
        <w:numPr>
          <w:ilvl w:val="2"/>
          <w:numId w:val="43"/>
        </w:numPr>
        <w:jc w:val="both"/>
        <w:rPr>
          <w:rFonts w:ascii="Calibri" w:hAnsi="Calibri"/>
        </w:rPr>
      </w:pPr>
      <w:r w:rsidRPr="000A3C73">
        <w:rPr>
          <w:rFonts w:ascii="Calibri" w:hAnsi="Calibri"/>
        </w:rPr>
        <w:t>Management and coordination</w:t>
      </w:r>
    </w:p>
    <w:p w:rsidR="000A0F25" w:rsidRPr="000A3C73" w:rsidRDefault="000A0F25" w:rsidP="000A0F25">
      <w:pPr>
        <w:numPr>
          <w:ilvl w:val="2"/>
          <w:numId w:val="43"/>
        </w:numPr>
        <w:jc w:val="both"/>
        <w:rPr>
          <w:rFonts w:ascii="Calibri" w:hAnsi="Calibri"/>
        </w:rPr>
      </w:pPr>
      <w:r w:rsidRPr="000A3C73">
        <w:rPr>
          <w:rFonts w:ascii="Calibri" w:hAnsi="Calibri"/>
        </w:rPr>
        <w:t>Identification and management of risks (adaptive management)</w:t>
      </w:r>
    </w:p>
    <w:p w:rsidR="000A0F25" w:rsidRPr="000A3C73" w:rsidRDefault="000A0F25" w:rsidP="000A0F25">
      <w:pPr>
        <w:jc w:val="both"/>
        <w:rPr>
          <w:rFonts w:ascii="Calibri" w:hAnsi="Calibri"/>
          <w:snapToGrid w:val="0"/>
          <w:color w:val="000000"/>
        </w:rPr>
      </w:pPr>
      <w:r w:rsidRPr="000A3C73">
        <w:rPr>
          <w:rFonts w:ascii="Calibri" w:hAnsi="Calibri"/>
          <w:snapToGrid w:val="0"/>
          <w:color w:val="000000"/>
        </w:rPr>
        <w:tab/>
        <w:t>4.3 Results</w:t>
      </w:r>
    </w:p>
    <w:p w:rsidR="000A0F25" w:rsidRPr="000A3C73" w:rsidRDefault="000A0F25" w:rsidP="000A0F25">
      <w:pPr>
        <w:numPr>
          <w:ilvl w:val="2"/>
          <w:numId w:val="43"/>
        </w:numPr>
        <w:jc w:val="both"/>
        <w:rPr>
          <w:rFonts w:ascii="Calibri" w:hAnsi="Calibri"/>
        </w:rPr>
      </w:pPr>
      <w:r w:rsidRPr="000A3C73">
        <w:rPr>
          <w:rFonts w:ascii="Calibri" w:hAnsi="Calibri"/>
        </w:rPr>
        <w:t>Attainment of outputs, outcomes and objectives</w:t>
      </w:r>
    </w:p>
    <w:p w:rsidR="000A0F25" w:rsidRPr="000A3C73" w:rsidRDefault="000A0F25" w:rsidP="000A0F25">
      <w:pPr>
        <w:numPr>
          <w:ilvl w:val="2"/>
          <w:numId w:val="43"/>
        </w:numPr>
        <w:jc w:val="both"/>
        <w:rPr>
          <w:rFonts w:ascii="Calibri" w:hAnsi="Calibri"/>
        </w:rPr>
      </w:pPr>
      <w:r w:rsidRPr="000A3C73">
        <w:rPr>
          <w:rFonts w:ascii="Calibri" w:hAnsi="Calibri"/>
        </w:rPr>
        <w:t>Project Impact</w:t>
      </w:r>
    </w:p>
    <w:p w:rsidR="000A0F25" w:rsidRPr="000A3C73" w:rsidRDefault="000A0F25" w:rsidP="000A0F25">
      <w:pPr>
        <w:numPr>
          <w:ilvl w:val="2"/>
          <w:numId w:val="43"/>
        </w:numPr>
        <w:jc w:val="both"/>
        <w:rPr>
          <w:rFonts w:ascii="Calibri" w:hAnsi="Calibri"/>
        </w:rPr>
      </w:pPr>
      <w:r w:rsidRPr="000A3C73">
        <w:rPr>
          <w:rFonts w:ascii="Calibri" w:hAnsi="Calibri"/>
        </w:rPr>
        <w:t>Prospects of sustainability</w:t>
      </w:r>
    </w:p>
    <w:p w:rsidR="000A0F25" w:rsidRPr="000A3C73" w:rsidRDefault="000A0F25" w:rsidP="000A0F25">
      <w:pPr>
        <w:numPr>
          <w:ilvl w:val="0"/>
          <w:numId w:val="30"/>
        </w:numPr>
        <w:jc w:val="both"/>
        <w:rPr>
          <w:rFonts w:ascii="Calibri" w:hAnsi="Calibri"/>
          <w:snapToGrid w:val="0"/>
          <w:color w:val="000000"/>
        </w:rPr>
      </w:pPr>
      <w:r w:rsidRPr="000A3C73">
        <w:rPr>
          <w:rFonts w:ascii="Calibri" w:hAnsi="Calibri"/>
          <w:snapToGrid w:val="0"/>
          <w:color w:val="000000"/>
        </w:rPr>
        <w:t>Conclusions and recommendations</w:t>
      </w:r>
    </w:p>
    <w:p w:rsidR="000A0F25" w:rsidRPr="000A3C73" w:rsidRDefault="000A0F25" w:rsidP="000A0F25">
      <w:pPr>
        <w:numPr>
          <w:ilvl w:val="0"/>
          <w:numId w:val="43"/>
        </w:numPr>
        <w:jc w:val="both"/>
        <w:rPr>
          <w:rFonts w:ascii="Calibri" w:hAnsi="Calibri"/>
          <w:snapToGrid w:val="0"/>
          <w:color w:val="000000"/>
        </w:rPr>
      </w:pPr>
      <w:r w:rsidRPr="000A3C73">
        <w:rPr>
          <w:rFonts w:ascii="Calibri" w:hAnsi="Calibri"/>
          <w:snapToGrid w:val="0"/>
          <w:color w:val="000000"/>
        </w:rPr>
        <w:t>Findings</w:t>
      </w:r>
    </w:p>
    <w:p w:rsidR="000A0F25" w:rsidRPr="000A3C73" w:rsidRDefault="000A0F25" w:rsidP="000A0F25">
      <w:pPr>
        <w:numPr>
          <w:ilvl w:val="0"/>
          <w:numId w:val="43"/>
        </w:numPr>
        <w:jc w:val="both"/>
        <w:rPr>
          <w:rFonts w:ascii="Calibri" w:hAnsi="Calibri"/>
          <w:snapToGrid w:val="0"/>
          <w:color w:val="000000"/>
        </w:rPr>
      </w:pPr>
      <w:r w:rsidRPr="000A3C73">
        <w:rPr>
          <w:rFonts w:ascii="Calibri" w:hAnsi="Calibri"/>
          <w:snapToGrid w:val="0"/>
          <w:color w:val="000000"/>
        </w:rPr>
        <w:t>Actions to strengthen or reinforce benefits from the project</w:t>
      </w:r>
    </w:p>
    <w:p w:rsidR="000A0F25" w:rsidRPr="000A3C73" w:rsidRDefault="000A0F25" w:rsidP="000A0F25">
      <w:pPr>
        <w:numPr>
          <w:ilvl w:val="0"/>
          <w:numId w:val="43"/>
        </w:numPr>
        <w:jc w:val="both"/>
        <w:rPr>
          <w:rFonts w:ascii="Calibri" w:hAnsi="Calibri"/>
          <w:snapToGrid w:val="0"/>
          <w:color w:val="000000"/>
        </w:rPr>
      </w:pPr>
      <w:r w:rsidRPr="000A3C73">
        <w:rPr>
          <w:rFonts w:ascii="Calibri" w:hAnsi="Calibri"/>
          <w:snapToGrid w:val="0"/>
          <w:color w:val="000000"/>
        </w:rPr>
        <w:t xml:space="preserve">Proposals for follow up actions </w:t>
      </w:r>
    </w:p>
    <w:p w:rsidR="000A0F25" w:rsidRPr="000A3C73" w:rsidRDefault="000A0F25" w:rsidP="000A0F25">
      <w:pPr>
        <w:numPr>
          <w:ilvl w:val="0"/>
          <w:numId w:val="30"/>
        </w:numPr>
        <w:jc w:val="both"/>
        <w:rPr>
          <w:rFonts w:ascii="Calibri" w:hAnsi="Calibri"/>
          <w:snapToGrid w:val="0"/>
          <w:color w:val="000000"/>
        </w:rPr>
      </w:pPr>
      <w:r w:rsidRPr="000A3C73">
        <w:rPr>
          <w:rFonts w:ascii="Calibri" w:hAnsi="Calibri"/>
          <w:snapToGrid w:val="0"/>
          <w:color w:val="000000"/>
        </w:rPr>
        <w:t>Lessons learned</w:t>
      </w:r>
    </w:p>
    <w:p w:rsidR="000A0F25" w:rsidRPr="000A3C73" w:rsidRDefault="000A0F25" w:rsidP="000A0F25">
      <w:pPr>
        <w:numPr>
          <w:ilvl w:val="0"/>
          <w:numId w:val="43"/>
        </w:numPr>
        <w:jc w:val="both"/>
        <w:rPr>
          <w:rFonts w:ascii="Calibri" w:hAnsi="Calibri"/>
        </w:rPr>
      </w:pPr>
      <w:r w:rsidRPr="000A3C73">
        <w:rPr>
          <w:rFonts w:ascii="Calibri" w:hAnsi="Calibri"/>
        </w:rPr>
        <w:t>Good practices and lessons learned in addressing issues relating to effectiveness, efficiency and relevance</w:t>
      </w:r>
    </w:p>
    <w:p w:rsidR="000A0F25" w:rsidRPr="000A3C73" w:rsidRDefault="000A0F25" w:rsidP="000A0F25">
      <w:pPr>
        <w:numPr>
          <w:ilvl w:val="0"/>
          <w:numId w:val="30"/>
        </w:numPr>
        <w:jc w:val="both"/>
        <w:rPr>
          <w:rFonts w:ascii="Calibri" w:hAnsi="Calibri"/>
          <w:snapToGrid w:val="0"/>
          <w:color w:val="000000"/>
        </w:rPr>
      </w:pPr>
      <w:r w:rsidRPr="000A3C73">
        <w:rPr>
          <w:rFonts w:ascii="Calibri" w:hAnsi="Calibri"/>
          <w:snapToGrid w:val="0"/>
          <w:color w:val="000000"/>
        </w:rPr>
        <w:t>Annexes</w:t>
      </w:r>
    </w:p>
    <w:p w:rsidR="000A0F25" w:rsidRPr="000A3C73" w:rsidRDefault="000A0F25" w:rsidP="000A0F25">
      <w:pPr>
        <w:numPr>
          <w:ilvl w:val="0"/>
          <w:numId w:val="43"/>
        </w:numPr>
        <w:jc w:val="both"/>
        <w:rPr>
          <w:rFonts w:ascii="Calibri" w:hAnsi="Calibri"/>
          <w:snapToGrid w:val="0"/>
          <w:color w:val="000000"/>
        </w:rPr>
      </w:pPr>
      <w:r w:rsidRPr="000A3C73">
        <w:rPr>
          <w:rFonts w:ascii="Calibri" w:hAnsi="Calibri"/>
          <w:snapToGrid w:val="0"/>
          <w:color w:val="000000"/>
        </w:rPr>
        <w:t xml:space="preserve">Evaluation TOR </w:t>
      </w:r>
    </w:p>
    <w:p w:rsidR="000A0F25" w:rsidRPr="000A3C73" w:rsidRDefault="000A0F25" w:rsidP="000A0F25">
      <w:pPr>
        <w:numPr>
          <w:ilvl w:val="0"/>
          <w:numId w:val="43"/>
        </w:numPr>
        <w:jc w:val="both"/>
        <w:rPr>
          <w:rFonts w:ascii="Calibri" w:hAnsi="Calibri"/>
          <w:snapToGrid w:val="0"/>
          <w:color w:val="000000"/>
        </w:rPr>
      </w:pPr>
      <w:r w:rsidRPr="000A3C73">
        <w:rPr>
          <w:rFonts w:ascii="Calibri" w:hAnsi="Calibri"/>
          <w:snapToGrid w:val="0"/>
          <w:color w:val="000000"/>
        </w:rPr>
        <w:t>Itinerary</w:t>
      </w:r>
    </w:p>
    <w:p w:rsidR="000A0F25" w:rsidRPr="000A3C73" w:rsidRDefault="000A0F25" w:rsidP="000A0F25">
      <w:pPr>
        <w:numPr>
          <w:ilvl w:val="0"/>
          <w:numId w:val="43"/>
        </w:numPr>
        <w:jc w:val="both"/>
        <w:rPr>
          <w:rFonts w:ascii="Calibri" w:hAnsi="Calibri"/>
          <w:snapToGrid w:val="0"/>
          <w:color w:val="000000"/>
        </w:rPr>
      </w:pPr>
      <w:r w:rsidRPr="000A3C73">
        <w:rPr>
          <w:rFonts w:ascii="Calibri" w:hAnsi="Calibri"/>
          <w:snapToGrid w:val="0"/>
          <w:color w:val="000000"/>
        </w:rPr>
        <w:t>List of persons interviewed</w:t>
      </w:r>
    </w:p>
    <w:p w:rsidR="000A0F25" w:rsidRPr="000A3C73" w:rsidRDefault="000A0F25" w:rsidP="000A0F25">
      <w:pPr>
        <w:numPr>
          <w:ilvl w:val="0"/>
          <w:numId w:val="43"/>
        </w:numPr>
        <w:jc w:val="both"/>
        <w:rPr>
          <w:rFonts w:ascii="Calibri" w:hAnsi="Calibri"/>
          <w:snapToGrid w:val="0"/>
          <w:color w:val="000000"/>
        </w:rPr>
      </w:pPr>
      <w:r w:rsidRPr="000A3C73">
        <w:rPr>
          <w:rFonts w:ascii="Calibri" w:hAnsi="Calibri"/>
          <w:snapToGrid w:val="0"/>
          <w:color w:val="000000"/>
        </w:rPr>
        <w:t>Summary of field visits</w:t>
      </w:r>
    </w:p>
    <w:p w:rsidR="000A0F25" w:rsidRPr="000A3C73" w:rsidRDefault="000A0F25" w:rsidP="000A0F25">
      <w:pPr>
        <w:numPr>
          <w:ilvl w:val="0"/>
          <w:numId w:val="43"/>
        </w:numPr>
        <w:jc w:val="both"/>
        <w:rPr>
          <w:rFonts w:ascii="Calibri" w:hAnsi="Calibri"/>
          <w:snapToGrid w:val="0"/>
          <w:color w:val="000000"/>
        </w:rPr>
      </w:pPr>
      <w:r w:rsidRPr="000A3C73">
        <w:rPr>
          <w:rFonts w:ascii="Calibri" w:hAnsi="Calibri"/>
          <w:snapToGrid w:val="0"/>
          <w:color w:val="000000"/>
        </w:rPr>
        <w:t>List of documents reviewed</w:t>
      </w:r>
    </w:p>
    <w:p w:rsidR="000A0F25" w:rsidRPr="000A3C73" w:rsidRDefault="000A0F25" w:rsidP="000A0F25">
      <w:pPr>
        <w:numPr>
          <w:ilvl w:val="0"/>
          <w:numId w:val="43"/>
        </w:numPr>
        <w:jc w:val="both"/>
        <w:rPr>
          <w:rFonts w:ascii="Calibri" w:hAnsi="Calibri"/>
          <w:snapToGrid w:val="0"/>
          <w:color w:val="000000"/>
        </w:rPr>
      </w:pPr>
      <w:r w:rsidRPr="000A3C73">
        <w:rPr>
          <w:rFonts w:ascii="Calibri" w:hAnsi="Calibri"/>
          <w:snapToGrid w:val="0"/>
          <w:color w:val="000000"/>
        </w:rPr>
        <w:t>Questionnaire used (if any) and summary of results</w:t>
      </w:r>
    </w:p>
    <w:p w:rsidR="000A0F25" w:rsidRPr="000A3C73" w:rsidRDefault="000A0F25" w:rsidP="000A0F25">
      <w:pPr>
        <w:numPr>
          <w:ilvl w:val="0"/>
          <w:numId w:val="43"/>
        </w:numPr>
        <w:jc w:val="both"/>
        <w:rPr>
          <w:rFonts w:ascii="Calibri" w:hAnsi="Calibri"/>
        </w:rPr>
      </w:pPr>
      <w:r w:rsidRPr="000A3C73">
        <w:rPr>
          <w:rFonts w:ascii="Calibri" w:hAnsi="Calibri"/>
          <w:snapToGrid w:val="0"/>
          <w:color w:val="000000"/>
        </w:rPr>
        <w:t>Comments</w:t>
      </w:r>
      <w:r w:rsidRPr="000A3C73">
        <w:rPr>
          <w:rFonts w:ascii="Calibri" w:hAnsi="Calibri"/>
        </w:rPr>
        <w:t xml:space="preserve"> by stakeholders (only in case of discrepancies with evaluation findings and conclusions)</w:t>
      </w:r>
    </w:p>
    <w:p w:rsidR="000A0F25" w:rsidRPr="000A3C73" w:rsidRDefault="000A0F25" w:rsidP="000A0F25">
      <w:pPr>
        <w:numPr>
          <w:ilvl w:val="0"/>
          <w:numId w:val="43"/>
        </w:numPr>
        <w:jc w:val="both"/>
        <w:rPr>
          <w:rFonts w:ascii="Calibri" w:hAnsi="Calibri"/>
        </w:rPr>
      </w:pPr>
      <w:r w:rsidRPr="000A3C73">
        <w:rPr>
          <w:rFonts w:ascii="Calibri" w:hAnsi="Calibri"/>
        </w:rPr>
        <w:t>Final stage Tracking tool (METT) for the Protected Areas within the watershed in MK and Alb</w:t>
      </w:r>
    </w:p>
    <w:p w:rsidR="000A0F25" w:rsidRPr="000A3C73" w:rsidRDefault="000A0F25" w:rsidP="000A0F25">
      <w:pPr>
        <w:numPr>
          <w:ilvl w:val="0"/>
          <w:numId w:val="43"/>
        </w:numPr>
        <w:jc w:val="both"/>
        <w:rPr>
          <w:rFonts w:ascii="Calibri" w:hAnsi="Calibri"/>
        </w:rPr>
      </w:pPr>
      <w:r w:rsidRPr="000A3C73">
        <w:rPr>
          <w:rFonts w:ascii="Calibri" w:hAnsi="Calibri"/>
        </w:rPr>
        <w:t>Table on co-financing and leveraged Resources</w:t>
      </w:r>
    </w:p>
    <w:p w:rsidR="000A0F25" w:rsidRPr="000A3C73" w:rsidRDefault="000A0F25" w:rsidP="000A0F25">
      <w:pPr>
        <w:jc w:val="both"/>
        <w:rPr>
          <w:rFonts w:ascii="Calibri" w:hAnsi="Calibri"/>
          <w:snapToGrid w:val="0"/>
          <w:color w:val="000000"/>
        </w:rPr>
      </w:pPr>
    </w:p>
    <w:p w:rsidR="000A0F25" w:rsidRPr="000A3C73" w:rsidRDefault="000A0F25" w:rsidP="000A0F25">
      <w:pPr>
        <w:jc w:val="both"/>
        <w:rPr>
          <w:rFonts w:ascii="Calibri" w:hAnsi="Calibri"/>
          <w:b/>
          <w:snapToGrid w:val="0"/>
          <w:color w:val="000000"/>
        </w:rPr>
      </w:pPr>
      <w:r w:rsidRPr="000A3C73">
        <w:rPr>
          <w:rFonts w:ascii="Calibri" w:hAnsi="Calibri"/>
          <w:snapToGrid w:val="0"/>
          <w:color w:val="000000"/>
        </w:rPr>
        <w:t xml:space="preserve">The expected length of the report is around 50 pages in total. The first draft of the report is expected to be submitted to the UNDP Country Office in Skopje </w:t>
      </w:r>
      <w:r w:rsidRPr="000A3C73">
        <w:rPr>
          <w:rFonts w:ascii="Calibri" w:hAnsi="Calibri"/>
          <w:szCs w:val="22"/>
        </w:rPr>
        <w:t>and to the Regional UNDP/GEF RTA responsible for the Prespa project in Bratislava</w:t>
      </w:r>
      <w:r w:rsidRPr="000A3C73">
        <w:rPr>
          <w:rFonts w:ascii="Calibri" w:hAnsi="Calibri"/>
          <w:snapToGrid w:val="0"/>
          <w:color w:val="000000"/>
        </w:rPr>
        <w:t xml:space="preserve"> within 2 weeks of the in-country mission for subsequent circulation to the key project stakeholders. UNDP Country Office in Skopje </w:t>
      </w:r>
      <w:r w:rsidRPr="000A3C73">
        <w:rPr>
          <w:rFonts w:ascii="Calibri" w:hAnsi="Calibri"/>
          <w:szCs w:val="22"/>
        </w:rPr>
        <w:t xml:space="preserve">will share the report with UNDP Albania, and the key national partners in the implementation of the project. Based on the consolidated comments on the report submitted by UNDP, the consultants will finalize and submit the final version of the report to UNDP CO Skopje and UNDP/GEF RTA in Bratislava, within two weeks of receipt of comments from UNDP. </w:t>
      </w:r>
      <w:r w:rsidRPr="000A3C73">
        <w:rPr>
          <w:rFonts w:ascii="Calibri" w:hAnsi="Calibri"/>
          <w:snapToGrid w:val="0"/>
          <w:color w:val="000000"/>
        </w:rPr>
        <w:t>Any discrepancies between the interpretations and findings of the evaluator and the key project stakeholders will be explained in an annex to the final report.</w:t>
      </w:r>
    </w:p>
    <w:p w:rsidR="000A0F25" w:rsidRPr="000A3C73" w:rsidRDefault="000A0F25" w:rsidP="005D3E98">
      <w:pPr>
        <w:jc w:val="both"/>
        <w:rPr>
          <w:rFonts w:ascii="Calibri" w:hAnsi="Calibri"/>
          <w:szCs w:val="22"/>
        </w:rPr>
      </w:pPr>
    </w:p>
    <w:p w:rsidR="000A0F25" w:rsidRPr="000A3C73" w:rsidRDefault="000A0F25" w:rsidP="000A0F25">
      <w:pPr>
        <w:rPr>
          <w:rStyle w:val="Strong"/>
          <w:rFonts w:asciiTheme="majorHAnsi" w:hAnsiTheme="majorHAnsi"/>
        </w:rPr>
      </w:pPr>
      <w:bookmarkStart w:id="183" w:name="_Toc157338557"/>
      <w:bookmarkStart w:id="184" w:name="_Toc230753971"/>
      <w:r w:rsidRPr="000A3C73">
        <w:rPr>
          <w:rStyle w:val="Strong"/>
          <w:rFonts w:asciiTheme="majorHAnsi" w:hAnsiTheme="majorHAnsi"/>
        </w:rPr>
        <w:t>Review Methodology</w:t>
      </w:r>
      <w:bookmarkEnd w:id="183"/>
      <w:bookmarkEnd w:id="184"/>
    </w:p>
    <w:p w:rsidR="000A0F25" w:rsidRPr="000A3C73" w:rsidRDefault="000A0F25" w:rsidP="000A0F25">
      <w:pPr>
        <w:jc w:val="both"/>
        <w:rPr>
          <w:rFonts w:ascii="Calibri" w:hAnsi="Calibri"/>
          <w:szCs w:val="22"/>
        </w:rPr>
      </w:pPr>
      <w:r w:rsidRPr="000A3C73">
        <w:rPr>
          <w:rFonts w:ascii="Calibri" w:hAnsi="Calibri"/>
          <w:szCs w:val="22"/>
        </w:rPr>
        <w:t>The evaluation approach will combine methods such as documentation review (desk study); interviews; and field visits. All relevant project documentation will be made available to the consultant by the project management team, facilitated by UNDP. After studying the documentation the consultant will conduct interviews with all relevant partners including the key partners and beneficiaries. Validation of preliminary findings with stakeholders will happen through circulation of initial reports for comments or other types of feedback mechanisms.</w:t>
      </w:r>
    </w:p>
    <w:p w:rsidR="000A0F25" w:rsidRPr="000A3C73" w:rsidRDefault="000A0F25" w:rsidP="000A0F25">
      <w:pPr>
        <w:jc w:val="both"/>
        <w:rPr>
          <w:rFonts w:ascii="Calibri" w:hAnsi="Calibri"/>
          <w:szCs w:val="22"/>
        </w:rPr>
      </w:pPr>
    </w:p>
    <w:p w:rsidR="000A0F25" w:rsidRPr="000A3C73" w:rsidRDefault="000A0F25" w:rsidP="000A0F25">
      <w:pPr>
        <w:jc w:val="both"/>
        <w:rPr>
          <w:rFonts w:ascii="Calibri" w:hAnsi="Calibri"/>
          <w:szCs w:val="22"/>
        </w:rPr>
      </w:pPr>
      <w:r w:rsidRPr="000A3C73">
        <w:rPr>
          <w:rFonts w:ascii="Calibri" w:hAnsi="Calibri"/>
          <w:szCs w:val="22"/>
        </w:rPr>
        <w:t>Throughout the period of the evaluation, the consultants will liaise closely with the UNDP COs, UNDP/GEF RTA, the concerned agencies of the Government and the counterpart staff assigned to the project. The consultants can raise or discuss any issue or topic it deems necessary to fulfill the task, the consultants however is not authorized to make any commitments to any party on behalf of UNDP or the Government.</w:t>
      </w:r>
    </w:p>
    <w:p w:rsidR="000A0F25" w:rsidRPr="000A3C73" w:rsidRDefault="000A0F25" w:rsidP="000A0F25">
      <w:pPr>
        <w:jc w:val="both"/>
        <w:rPr>
          <w:rFonts w:ascii="Calibri" w:hAnsi="Calibri"/>
          <w:szCs w:val="22"/>
        </w:rPr>
      </w:pPr>
    </w:p>
    <w:p w:rsidR="000A0F25" w:rsidRPr="000A3C73" w:rsidRDefault="000A0F25" w:rsidP="000A0F25">
      <w:pPr>
        <w:jc w:val="both"/>
        <w:rPr>
          <w:rFonts w:ascii="Calibri" w:hAnsi="Calibri"/>
          <w:szCs w:val="22"/>
        </w:rPr>
      </w:pPr>
      <w:r w:rsidRPr="000A3C73">
        <w:rPr>
          <w:rFonts w:ascii="Calibri" w:hAnsi="Calibri"/>
          <w:szCs w:val="22"/>
        </w:rPr>
        <w:t xml:space="preserve">The consultant for TE will be supported by national consultants in FYR Macedonia and Albania selected by UNDP COs. The national consultants will provide support in review of documents, interviews/meetings with stakeholders etc. </w:t>
      </w:r>
    </w:p>
    <w:p w:rsidR="000A0F25" w:rsidRPr="000A3C73" w:rsidRDefault="000A0F25" w:rsidP="000A0F25">
      <w:pPr>
        <w:jc w:val="both"/>
        <w:rPr>
          <w:rFonts w:ascii="Calibri" w:hAnsi="Calibri"/>
          <w:szCs w:val="22"/>
        </w:rPr>
      </w:pPr>
    </w:p>
    <w:p w:rsidR="000A0F25" w:rsidRPr="000A3C73" w:rsidRDefault="000A0F25" w:rsidP="000A0F25">
      <w:pPr>
        <w:pStyle w:val="BodyText3"/>
        <w:widowControl w:val="0"/>
        <w:spacing w:after="0"/>
        <w:jc w:val="both"/>
        <w:rPr>
          <w:rFonts w:ascii="Calibri" w:hAnsi="Calibri"/>
          <w:sz w:val="22"/>
          <w:szCs w:val="22"/>
        </w:rPr>
      </w:pPr>
      <w:r w:rsidRPr="000A3C73">
        <w:rPr>
          <w:rFonts w:ascii="Calibri" w:hAnsi="Calibri"/>
          <w:sz w:val="22"/>
          <w:szCs w:val="22"/>
        </w:rPr>
        <w:t>Although the Evaluator should feel free to discuss with the authorities concerned, all matters relevant to its assignment, it is not authorized to make any commitment or statement on behalf of UNDP or GEF or the project management.</w:t>
      </w:r>
    </w:p>
    <w:p w:rsidR="000A0F25" w:rsidRPr="000A3C73" w:rsidRDefault="000A0F25" w:rsidP="005D3E98">
      <w:pPr>
        <w:pStyle w:val="BodyText"/>
        <w:widowControl w:val="0"/>
        <w:numPr>
          <w:ilvl w:val="0"/>
          <w:numId w:val="0"/>
        </w:numPr>
        <w:spacing w:after="0"/>
        <w:rPr>
          <w:szCs w:val="22"/>
        </w:rPr>
      </w:pPr>
    </w:p>
    <w:p w:rsidR="000A0F25" w:rsidRPr="000A3C73" w:rsidRDefault="000A0F25" w:rsidP="000A0F25">
      <w:pPr>
        <w:widowControl w:val="0"/>
        <w:jc w:val="both"/>
        <w:rPr>
          <w:rFonts w:ascii="Calibri" w:hAnsi="Calibri"/>
          <w:iCs/>
          <w:szCs w:val="22"/>
        </w:rPr>
      </w:pPr>
      <w:r w:rsidRPr="000A3C73">
        <w:rPr>
          <w:rFonts w:ascii="Calibri" w:hAnsi="Calibri"/>
          <w:iCs/>
          <w:szCs w:val="22"/>
        </w:rPr>
        <w:t>The Evaluator should reflect sound accounting procedures and be prudent in using the resources of the evaluation.</w:t>
      </w:r>
    </w:p>
    <w:p w:rsidR="000A0F25" w:rsidRPr="000A3C73" w:rsidRDefault="000A0F25" w:rsidP="000A0F25">
      <w:pPr>
        <w:jc w:val="both"/>
        <w:rPr>
          <w:rFonts w:ascii="Calibri" w:hAnsi="Calibri"/>
          <w:szCs w:val="22"/>
        </w:rPr>
      </w:pPr>
    </w:p>
    <w:p w:rsidR="000A0F25" w:rsidRPr="000A3C73" w:rsidRDefault="000A0F25" w:rsidP="000A0F25">
      <w:pPr>
        <w:rPr>
          <w:rStyle w:val="Strong"/>
          <w:rFonts w:asciiTheme="majorHAnsi" w:hAnsiTheme="majorHAnsi"/>
        </w:rPr>
      </w:pPr>
      <w:r w:rsidRPr="000A3C73">
        <w:rPr>
          <w:rStyle w:val="Strong"/>
          <w:rFonts w:asciiTheme="majorHAnsi" w:hAnsiTheme="majorHAnsi"/>
        </w:rPr>
        <w:t>Tasks and Milestones</w:t>
      </w:r>
    </w:p>
    <w:p w:rsidR="000A0F25" w:rsidRPr="000A3C73" w:rsidRDefault="000A0F25" w:rsidP="000A0F25">
      <w:pPr>
        <w:jc w:val="both"/>
        <w:rPr>
          <w:rFonts w:ascii="Calibri" w:hAnsi="Calibri"/>
          <w:szCs w:val="22"/>
        </w:rPr>
      </w:pPr>
      <w:r w:rsidRPr="000A3C73">
        <w:rPr>
          <w:rFonts w:ascii="Calibri" w:hAnsi="Calibri"/>
          <w:szCs w:val="22"/>
        </w:rPr>
        <w:t xml:space="preserve">The final review will be conducted within 5 weeks, according to the following activities and time frames: </w:t>
      </w:r>
    </w:p>
    <w:p w:rsidR="000A0F25" w:rsidRPr="000A3C73" w:rsidRDefault="000A0F25" w:rsidP="000A0F25">
      <w:pPr>
        <w:jc w:val="both"/>
        <w:rPr>
          <w:rFonts w:ascii="Calibri" w:hAnsi="Calibri"/>
          <w:szCs w:val="22"/>
        </w:rPr>
      </w:pPr>
    </w:p>
    <w:p w:rsidR="000A0F25" w:rsidRPr="000A3C73" w:rsidRDefault="000A0F25" w:rsidP="000A0F25">
      <w:pPr>
        <w:numPr>
          <w:ilvl w:val="0"/>
          <w:numId w:val="27"/>
        </w:numPr>
        <w:jc w:val="both"/>
        <w:rPr>
          <w:rFonts w:ascii="Calibri" w:hAnsi="Calibri"/>
          <w:szCs w:val="22"/>
        </w:rPr>
      </w:pPr>
      <w:r w:rsidRPr="000A3C73">
        <w:rPr>
          <w:rFonts w:ascii="Calibri" w:hAnsi="Calibri"/>
          <w:szCs w:val="22"/>
        </w:rPr>
        <w:t xml:space="preserve">Desk Review </w:t>
      </w:r>
    </w:p>
    <w:p w:rsidR="000A0F25" w:rsidRPr="000A3C73" w:rsidRDefault="000A0F25" w:rsidP="000A0F25">
      <w:pPr>
        <w:ind w:left="720"/>
        <w:jc w:val="both"/>
        <w:rPr>
          <w:rFonts w:ascii="Calibri" w:hAnsi="Calibri"/>
          <w:szCs w:val="22"/>
        </w:rPr>
      </w:pPr>
      <w:r w:rsidRPr="000A3C73">
        <w:rPr>
          <w:rFonts w:ascii="Calibri" w:hAnsi="Calibri"/>
          <w:szCs w:val="22"/>
        </w:rPr>
        <w:t>(to be conducted within the first week)</w:t>
      </w:r>
    </w:p>
    <w:p w:rsidR="000A0F25" w:rsidRPr="000A3C73" w:rsidRDefault="000A0F25" w:rsidP="000A0F25">
      <w:pPr>
        <w:numPr>
          <w:ilvl w:val="1"/>
          <w:numId w:val="27"/>
        </w:numPr>
        <w:jc w:val="both"/>
        <w:rPr>
          <w:rFonts w:ascii="Calibri" w:hAnsi="Calibri"/>
          <w:szCs w:val="22"/>
        </w:rPr>
      </w:pPr>
      <w:r w:rsidRPr="000A3C73">
        <w:rPr>
          <w:rFonts w:ascii="Calibri" w:hAnsi="Calibri"/>
          <w:szCs w:val="22"/>
        </w:rPr>
        <w:t>Familiarize with the project through related documentation, mid-term review and publications.</w:t>
      </w:r>
    </w:p>
    <w:p w:rsidR="000A0F25" w:rsidRPr="000A3C73" w:rsidRDefault="000A0F25" w:rsidP="000A0F25">
      <w:pPr>
        <w:numPr>
          <w:ilvl w:val="1"/>
          <w:numId w:val="27"/>
        </w:numPr>
        <w:jc w:val="both"/>
        <w:rPr>
          <w:rFonts w:ascii="Calibri" w:hAnsi="Calibri"/>
          <w:szCs w:val="22"/>
        </w:rPr>
      </w:pPr>
      <w:r w:rsidRPr="000A3C73">
        <w:rPr>
          <w:rFonts w:ascii="Calibri" w:hAnsi="Calibri"/>
          <w:szCs w:val="22"/>
        </w:rPr>
        <w:t>Develop work plan and discuss with UNDP for approval.</w:t>
      </w:r>
    </w:p>
    <w:p w:rsidR="000A0F25" w:rsidRPr="000A3C73" w:rsidRDefault="000A0F25" w:rsidP="000A0F25">
      <w:pPr>
        <w:numPr>
          <w:ilvl w:val="0"/>
          <w:numId w:val="27"/>
        </w:numPr>
        <w:jc w:val="both"/>
        <w:rPr>
          <w:rFonts w:ascii="Calibri" w:hAnsi="Calibri"/>
          <w:szCs w:val="22"/>
        </w:rPr>
      </w:pPr>
      <w:r w:rsidRPr="000A3C73">
        <w:rPr>
          <w:rFonts w:ascii="Calibri" w:hAnsi="Calibri"/>
          <w:szCs w:val="22"/>
        </w:rPr>
        <w:t xml:space="preserve">Consultations </w:t>
      </w:r>
    </w:p>
    <w:p w:rsidR="000A0F25" w:rsidRPr="000A3C73" w:rsidRDefault="000A0F25" w:rsidP="000A0F25">
      <w:pPr>
        <w:ind w:left="720"/>
        <w:jc w:val="both"/>
        <w:rPr>
          <w:rFonts w:ascii="Calibri" w:hAnsi="Calibri"/>
          <w:szCs w:val="22"/>
        </w:rPr>
      </w:pPr>
      <w:r w:rsidRPr="000A3C73">
        <w:rPr>
          <w:rFonts w:ascii="Calibri" w:hAnsi="Calibri"/>
          <w:szCs w:val="22"/>
        </w:rPr>
        <w:t>(to be conducted within the second and third weeks)</w:t>
      </w:r>
    </w:p>
    <w:p w:rsidR="000A0F25" w:rsidRPr="000A3C73" w:rsidRDefault="000A0F25" w:rsidP="000A0F25">
      <w:pPr>
        <w:numPr>
          <w:ilvl w:val="1"/>
          <w:numId w:val="27"/>
        </w:numPr>
        <w:jc w:val="both"/>
        <w:rPr>
          <w:rFonts w:ascii="Calibri" w:hAnsi="Calibri"/>
          <w:szCs w:val="22"/>
        </w:rPr>
      </w:pPr>
      <w:r w:rsidRPr="000A3C73">
        <w:rPr>
          <w:rFonts w:ascii="Calibri" w:hAnsi="Calibri"/>
          <w:szCs w:val="22"/>
        </w:rPr>
        <w:t xml:space="preserve">Conduct interviews and/or Focus Group Discussions with national and local stakeholders  </w:t>
      </w:r>
    </w:p>
    <w:p w:rsidR="000A0F25" w:rsidRPr="000A3C73" w:rsidRDefault="000A0F25" w:rsidP="000A0F25">
      <w:pPr>
        <w:numPr>
          <w:ilvl w:val="1"/>
          <w:numId w:val="27"/>
        </w:numPr>
        <w:jc w:val="both"/>
        <w:rPr>
          <w:rFonts w:ascii="Calibri" w:hAnsi="Calibri"/>
          <w:szCs w:val="22"/>
        </w:rPr>
      </w:pPr>
      <w:r w:rsidRPr="000A3C73">
        <w:rPr>
          <w:rFonts w:ascii="Calibri" w:hAnsi="Calibri"/>
          <w:szCs w:val="22"/>
        </w:rPr>
        <w:t>Conduct statistical surveys/polls to stakeholders, where appropriate.</w:t>
      </w:r>
    </w:p>
    <w:p w:rsidR="000A0F25" w:rsidRPr="000A3C73" w:rsidRDefault="000A0F25" w:rsidP="000A0F25">
      <w:pPr>
        <w:numPr>
          <w:ilvl w:val="1"/>
          <w:numId w:val="27"/>
        </w:numPr>
        <w:jc w:val="both"/>
        <w:rPr>
          <w:rFonts w:ascii="Calibri" w:hAnsi="Calibri"/>
          <w:szCs w:val="22"/>
        </w:rPr>
      </w:pPr>
      <w:r w:rsidRPr="000A3C73">
        <w:rPr>
          <w:rFonts w:ascii="Calibri" w:hAnsi="Calibri"/>
          <w:szCs w:val="22"/>
        </w:rPr>
        <w:t xml:space="preserve">Present and discuss initial findings with UNDP, and the key national stakeholders </w:t>
      </w:r>
    </w:p>
    <w:p w:rsidR="000A0F25" w:rsidRPr="000A3C73" w:rsidRDefault="000A0F25" w:rsidP="000A0F25">
      <w:pPr>
        <w:numPr>
          <w:ilvl w:val="0"/>
          <w:numId w:val="27"/>
        </w:numPr>
        <w:jc w:val="both"/>
        <w:rPr>
          <w:rFonts w:ascii="Calibri" w:hAnsi="Calibri"/>
          <w:szCs w:val="22"/>
        </w:rPr>
      </w:pPr>
      <w:r w:rsidRPr="000A3C73">
        <w:rPr>
          <w:rFonts w:ascii="Calibri" w:hAnsi="Calibri"/>
          <w:szCs w:val="22"/>
        </w:rPr>
        <w:t>Reporting</w:t>
      </w:r>
    </w:p>
    <w:p w:rsidR="000A0F25" w:rsidRPr="000A3C73" w:rsidRDefault="000A0F25" w:rsidP="000A0F25">
      <w:pPr>
        <w:numPr>
          <w:ilvl w:val="1"/>
          <w:numId w:val="27"/>
        </w:numPr>
        <w:jc w:val="both"/>
        <w:rPr>
          <w:rFonts w:ascii="Calibri" w:hAnsi="Calibri"/>
          <w:szCs w:val="22"/>
        </w:rPr>
      </w:pPr>
      <w:r w:rsidRPr="000A3C73">
        <w:rPr>
          <w:rFonts w:ascii="Calibri" w:hAnsi="Calibri"/>
          <w:szCs w:val="22"/>
        </w:rPr>
        <w:t>Submit draft report to and solicit comments/inputs from UNDP  (within forth week)</w:t>
      </w:r>
    </w:p>
    <w:p w:rsidR="000A0F25" w:rsidRPr="000A3C73" w:rsidRDefault="000A0F25" w:rsidP="000A0F25">
      <w:pPr>
        <w:numPr>
          <w:ilvl w:val="1"/>
          <w:numId w:val="27"/>
        </w:numPr>
        <w:jc w:val="both"/>
        <w:rPr>
          <w:rFonts w:ascii="Calibri" w:hAnsi="Calibri"/>
          <w:szCs w:val="22"/>
        </w:rPr>
      </w:pPr>
      <w:r w:rsidRPr="000A3C73">
        <w:rPr>
          <w:rFonts w:ascii="Calibri" w:hAnsi="Calibri"/>
          <w:szCs w:val="22"/>
        </w:rPr>
        <w:t>Submit final report UNDP (one week upon receipt of the comments on the draft report)</w:t>
      </w:r>
    </w:p>
    <w:p w:rsidR="000A0F25" w:rsidRPr="000A3C73" w:rsidRDefault="000A0F25" w:rsidP="000A0F25">
      <w:pPr>
        <w:widowControl w:val="0"/>
        <w:jc w:val="both"/>
        <w:rPr>
          <w:rFonts w:ascii="Calibri" w:hAnsi="Calibri"/>
          <w:szCs w:val="22"/>
        </w:rPr>
      </w:pPr>
    </w:p>
    <w:p w:rsidR="000A0F25" w:rsidRPr="000A3C73" w:rsidRDefault="000A0F25" w:rsidP="000A0F25">
      <w:pPr>
        <w:rPr>
          <w:rStyle w:val="Strong"/>
          <w:rFonts w:asciiTheme="majorHAnsi" w:hAnsiTheme="majorHAnsi"/>
        </w:rPr>
      </w:pPr>
      <w:r w:rsidRPr="000A3C73">
        <w:rPr>
          <w:rStyle w:val="Strong"/>
          <w:rFonts w:asciiTheme="majorHAnsi" w:hAnsiTheme="majorHAnsi"/>
        </w:rPr>
        <w:t>Qualificationsand Requirements</w:t>
      </w:r>
    </w:p>
    <w:p w:rsidR="000A0F25" w:rsidRPr="000A3C73" w:rsidRDefault="000A0F25" w:rsidP="000A0F25">
      <w:pPr>
        <w:widowControl w:val="0"/>
        <w:jc w:val="both"/>
        <w:rPr>
          <w:rFonts w:ascii="Calibri" w:hAnsi="Calibri"/>
          <w:szCs w:val="22"/>
        </w:rPr>
      </w:pPr>
      <w:r w:rsidRPr="000A3C73">
        <w:rPr>
          <w:rFonts w:ascii="Calibri" w:hAnsi="Calibri"/>
          <w:szCs w:val="22"/>
        </w:rPr>
        <w:t>The consultant shall have prior experience in evaluating similar projects. Former cooperation with GEF is an advantage.</w:t>
      </w:r>
    </w:p>
    <w:p w:rsidR="000A0F25" w:rsidRPr="000A3C73" w:rsidRDefault="000A0F25" w:rsidP="000A0F25">
      <w:pPr>
        <w:rPr>
          <w:rFonts w:ascii="Calibri" w:hAnsi="Calibri"/>
          <w:szCs w:val="22"/>
          <w:lang w:eastAsia="ko-KR"/>
        </w:rPr>
      </w:pPr>
    </w:p>
    <w:p w:rsidR="000A0F25" w:rsidRPr="000A3C73" w:rsidRDefault="000A0F25" w:rsidP="000A0F25">
      <w:pPr>
        <w:rPr>
          <w:rStyle w:val="Strong"/>
          <w:rFonts w:asciiTheme="majorHAnsi" w:hAnsiTheme="majorHAnsi"/>
        </w:rPr>
      </w:pPr>
      <w:r w:rsidRPr="000A3C73">
        <w:rPr>
          <w:rStyle w:val="Strong"/>
          <w:rFonts w:asciiTheme="majorHAnsi" w:hAnsiTheme="majorHAnsi"/>
        </w:rPr>
        <w:t xml:space="preserve">Qualifications: </w:t>
      </w:r>
    </w:p>
    <w:p w:rsidR="000A0F25" w:rsidRPr="0089284E" w:rsidRDefault="000A0F25" w:rsidP="000A0F25">
      <w:pPr>
        <w:pStyle w:val="NoSpacing"/>
        <w:numPr>
          <w:ilvl w:val="0"/>
          <w:numId w:val="48"/>
        </w:numPr>
        <w:jc w:val="both"/>
        <w:rPr>
          <w:rFonts w:cs="Arial"/>
          <w:lang w:val="en-US"/>
        </w:rPr>
      </w:pPr>
      <w:r w:rsidRPr="0089284E">
        <w:rPr>
          <w:rFonts w:cs="Arial"/>
          <w:u w:val="single"/>
          <w:lang w:val="en-US"/>
        </w:rPr>
        <w:t>Academic Qualifications:</w:t>
      </w:r>
      <w:r w:rsidRPr="0089284E">
        <w:rPr>
          <w:rFonts w:cs="Arial"/>
          <w:lang w:val="en-US"/>
        </w:rPr>
        <w:t xml:space="preserve"> Advanced university degree in Environmental Management, Biodiversity Conservation, Water Management or related areas. </w:t>
      </w:r>
    </w:p>
    <w:p w:rsidR="000A0F25" w:rsidRPr="0089284E" w:rsidRDefault="000A0F25" w:rsidP="000A0F25">
      <w:pPr>
        <w:pStyle w:val="NoSpacing"/>
        <w:numPr>
          <w:ilvl w:val="0"/>
          <w:numId w:val="48"/>
        </w:numPr>
        <w:jc w:val="both"/>
        <w:rPr>
          <w:rFonts w:cs="Arial"/>
          <w:lang w:val="en-US"/>
        </w:rPr>
      </w:pPr>
      <w:r w:rsidRPr="0089284E">
        <w:rPr>
          <w:rFonts w:cs="Arial"/>
          <w:u w:val="single"/>
          <w:lang w:val="en-US"/>
        </w:rPr>
        <w:t>Professional Experience:</w:t>
      </w:r>
      <w:r w:rsidRPr="0089284E">
        <w:rPr>
          <w:rFonts w:cs="Arial"/>
          <w:lang w:val="en-US"/>
        </w:rPr>
        <w:t xml:space="preserve"> At least </w:t>
      </w:r>
      <w:r w:rsidRPr="00FC657B">
        <w:rPr>
          <w:rFonts w:cs="Arial"/>
          <w:lang w:val="en-US"/>
        </w:rPr>
        <w:t xml:space="preserve">10 years of professional experience in the areas addressed by the project and </w:t>
      </w:r>
      <w:r w:rsidRPr="0089284E">
        <w:rPr>
          <w:lang w:val="en-US"/>
        </w:rPr>
        <w:t>proven track record with policy advice and/or project development/implementation in integrated ecosystem management, international waters, biodiversity conservation or</w:t>
      </w:r>
      <w:r w:rsidRPr="00FC657B">
        <w:rPr>
          <w:rFonts w:cs="Arial"/>
          <w:lang w:val="en-US"/>
        </w:rPr>
        <w:t xml:space="preserve">; </w:t>
      </w:r>
    </w:p>
    <w:p w:rsidR="000A0F25" w:rsidRPr="00FC657B" w:rsidRDefault="000A0F25" w:rsidP="000A0F25">
      <w:pPr>
        <w:numPr>
          <w:ilvl w:val="0"/>
          <w:numId w:val="48"/>
        </w:numPr>
        <w:jc w:val="both"/>
        <w:rPr>
          <w:rFonts w:ascii="Calibri" w:hAnsi="Calibri"/>
        </w:rPr>
      </w:pPr>
      <w:r w:rsidRPr="00FC657B">
        <w:rPr>
          <w:rFonts w:ascii="Calibri" w:hAnsi="Calibri"/>
        </w:rPr>
        <w:t>Proven track record of application of results-based approaches to evaluation of projects focusing on integrated ecosystem management, international waters management, biodiversity conservation or (relevant experience with GEF projects  would be an asset);</w:t>
      </w:r>
    </w:p>
    <w:p w:rsidR="000A0F25" w:rsidRPr="00CD42DE" w:rsidRDefault="000A0F25" w:rsidP="000A0F25">
      <w:pPr>
        <w:numPr>
          <w:ilvl w:val="0"/>
          <w:numId w:val="48"/>
        </w:numPr>
        <w:rPr>
          <w:rFonts w:ascii="Calibri" w:hAnsi="Calibri"/>
          <w:szCs w:val="22"/>
        </w:rPr>
      </w:pPr>
      <w:r w:rsidRPr="00D77DF1">
        <w:rPr>
          <w:rFonts w:ascii="Calibri" w:hAnsi="Calibri"/>
          <w:szCs w:val="22"/>
        </w:rPr>
        <w:t>Experience with evaluation of trans-boundary projects or/and MEX (Multiple Execution) Modality</w:t>
      </w:r>
      <w:r w:rsidRPr="00CD42DE">
        <w:rPr>
          <w:rFonts w:ascii="Calibri" w:hAnsi="Calibri"/>
          <w:szCs w:val="22"/>
        </w:rPr>
        <w:t xml:space="preserve"> would be a strong asset</w:t>
      </w:r>
    </w:p>
    <w:p w:rsidR="000A0F25" w:rsidRPr="008B7E9A" w:rsidRDefault="000A0F25" w:rsidP="000A0F25">
      <w:pPr>
        <w:numPr>
          <w:ilvl w:val="0"/>
          <w:numId w:val="48"/>
        </w:numPr>
        <w:rPr>
          <w:rFonts w:ascii="Calibri" w:hAnsi="Calibri"/>
          <w:szCs w:val="22"/>
        </w:rPr>
      </w:pPr>
      <w:r w:rsidRPr="00AA7D1F">
        <w:rPr>
          <w:rFonts w:ascii="Calibri" w:hAnsi="Calibri"/>
          <w:szCs w:val="22"/>
        </w:rPr>
        <w:t xml:space="preserve">Knowledge of the region and its </w:t>
      </w:r>
      <w:r w:rsidRPr="005E69C8">
        <w:rPr>
          <w:rFonts w:ascii="Calibri" w:hAnsi="Calibri"/>
          <w:szCs w:val="22"/>
        </w:rPr>
        <w:t xml:space="preserve">key development issues or comparable experience in other developing countries shell be an </w:t>
      </w:r>
      <w:r w:rsidRPr="008B7E9A">
        <w:rPr>
          <w:rFonts w:ascii="Calibri" w:hAnsi="Calibri"/>
          <w:szCs w:val="22"/>
        </w:rPr>
        <w:t>asset</w:t>
      </w:r>
    </w:p>
    <w:p w:rsidR="000A0F25" w:rsidRPr="0089284E" w:rsidRDefault="000A0F25" w:rsidP="000A0F25">
      <w:pPr>
        <w:pStyle w:val="NoSpacing"/>
        <w:numPr>
          <w:ilvl w:val="0"/>
          <w:numId w:val="48"/>
        </w:numPr>
        <w:jc w:val="both"/>
        <w:rPr>
          <w:rFonts w:cs="Arial"/>
          <w:b/>
          <w:smallCaps/>
          <w:lang w:val="en-US"/>
        </w:rPr>
      </w:pPr>
      <w:r w:rsidRPr="0089284E">
        <w:rPr>
          <w:rFonts w:cs="Arial"/>
          <w:u w:val="single"/>
          <w:lang w:val="en-US"/>
        </w:rPr>
        <w:t>Competencies:</w:t>
      </w:r>
      <w:r w:rsidRPr="0089284E">
        <w:rPr>
          <w:lang w:val="en-US"/>
        </w:rPr>
        <w:t>Advanced skills in analysis, reporting, facilitation of meetings, and team coordination</w:t>
      </w:r>
    </w:p>
    <w:p w:rsidR="000A0F25" w:rsidRPr="0089284E" w:rsidRDefault="000A0F25" w:rsidP="000A0F25">
      <w:pPr>
        <w:pStyle w:val="NoSpacing"/>
        <w:numPr>
          <w:ilvl w:val="0"/>
          <w:numId w:val="48"/>
        </w:numPr>
        <w:jc w:val="both"/>
        <w:rPr>
          <w:rFonts w:cs="Arial"/>
          <w:b/>
          <w:smallCaps/>
          <w:lang w:val="en-US"/>
        </w:rPr>
      </w:pPr>
      <w:r w:rsidRPr="0089284E">
        <w:rPr>
          <w:rFonts w:cs="Arial"/>
          <w:lang w:val="en-US"/>
        </w:rPr>
        <w:t xml:space="preserve">Excellent </w:t>
      </w:r>
      <w:r w:rsidRPr="0089284E">
        <w:rPr>
          <w:lang w:val="en-US" w:eastAsia="ko-KR"/>
        </w:rPr>
        <w:t>communication skills; demonstrated ability to assess complex situations in order to succinctly and clearly distill critical issues and draw forward-looking conclusions;</w:t>
      </w:r>
    </w:p>
    <w:p w:rsidR="000A0F25" w:rsidRPr="0089284E" w:rsidRDefault="000A0F25" w:rsidP="000A0F25">
      <w:pPr>
        <w:pStyle w:val="NoSpacing"/>
        <w:numPr>
          <w:ilvl w:val="0"/>
          <w:numId w:val="48"/>
        </w:numPr>
        <w:jc w:val="both"/>
        <w:rPr>
          <w:rFonts w:cs="Arial"/>
          <w:b/>
          <w:smallCaps/>
          <w:lang w:val="en-US"/>
        </w:rPr>
      </w:pPr>
      <w:r w:rsidRPr="0089284E">
        <w:rPr>
          <w:rFonts w:cs="Arial"/>
          <w:u w:val="single"/>
          <w:lang w:val="en-US"/>
        </w:rPr>
        <w:t>Language Requirements:</w:t>
      </w:r>
      <w:r w:rsidRPr="0089284E">
        <w:rPr>
          <w:rFonts w:cs="Arial"/>
          <w:lang w:val="en-US"/>
        </w:rPr>
        <w:t xml:space="preserve">  Language proficiency in both written and oral English. </w:t>
      </w:r>
    </w:p>
    <w:p w:rsidR="000A0F25" w:rsidRPr="00FC657B" w:rsidRDefault="000A0F25" w:rsidP="000A0F25">
      <w:pPr>
        <w:rPr>
          <w:rFonts w:ascii="Calibri" w:hAnsi="Calibri"/>
          <w:szCs w:val="22"/>
          <w:lang w:eastAsia="ko-KR"/>
        </w:rPr>
      </w:pPr>
    </w:p>
    <w:p w:rsidR="000A0F25" w:rsidRPr="00CD42DE" w:rsidRDefault="000A0F25" w:rsidP="000A0F25">
      <w:pPr>
        <w:widowControl w:val="0"/>
        <w:jc w:val="both"/>
        <w:rPr>
          <w:rFonts w:ascii="Calibri" w:hAnsi="Calibri"/>
          <w:szCs w:val="22"/>
        </w:rPr>
      </w:pPr>
      <w:r w:rsidRPr="00FC657B">
        <w:rPr>
          <w:rFonts w:ascii="Calibri" w:hAnsi="Calibri"/>
          <w:szCs w:val="22"/>
          <w:lang w:eastAsia="ko-KR"/>
        </w:rPr>
        <w:t xml:space="preserve">Note: </w:t>
      </w:r>
      <w:r w:rsidRPr="00D77DF1">
        <w:rPr>
          <w:rFonts w:ascii="Calibri" w:hAnsi="Calibri"/>
          <w:szCs w:val="22"/>
        </w:rPr>
        <w:t>The selected evaluator should not have participat</w:t>
      </w:r>
      <w:r w:rsidRPr="00CD42DE">
        <w:rPr>
          <w:rFonts w:ascii="Calibri" w:hAnsi="Calibri"/>
          <w:szCs w:val="22"/>
        </w:rPr>
        <w:t xml:space="preserve">ed in the project preparation and/or implementation and should not have conflict of interest with project related activities. </w:t>
      </w:r>
    </w:p>
    <w:p w:rsidR="000A0F25" w:rsidRPr="00AA7D1F" w:rsidRDefault="000A0F25" w:rsidP="000A0F25">
      <w:pPr>
        <w:pStyle w:val="StyleBulletBold"/>
        <w:widowControl w:val="0"/>
        <w:numPr>
          <w:ilvl w:val="0"/>
          <w:numId w:val="0"/>
        </w:numPr>
        <w:jc w:val="both"/>
        <w:rPr>
          <w:rFonts w:ascii="Calibri" w:hAnsi="Calibri"/>
          <w:sz w:val="22"/>
          <w:szCs w:val="22"/>
        </w:rPr>
      </w:pPr>
    </w:p>
    <w:p w:rsidR="000A0F25" w:rsidRPr="005E69C8" w:rsidRDefault="000A0F25" w:rsidP="000A0F25">
      <w:pPr>
        <w:rPr>
          <w:rStyle w:val="Strong"/>
          <w:rFonts w:asciiTheme="majorHAnsi" w:hAnsiTheme="majorHAnsi"/>
        </w:rPr>
      </w:pPr>
      <w:bookmarkStart w:id="185" w:name="_Toc157338559"/>
      <w:bookmarkStart w:id="186" w:name="_Toc230753973"/>
      <w:r w:rsidRPr="005E69C8">
        <w:rPr>
          <w:rStyle w:val="Strong"/>
          <w:rFonts w:asciiTheme="majorHAnsi" w:hAnsiTheme="majorHAnsi"/>
        </w:rPr>
        <w:t>Implementation Arrangements</w:t>
      </w:r>
      <w:bookmarkEnd w:id="185"/>
      <w:bookmarkEnd w:id="186"/>
    </w:p>
    <w:p w:rsidR="000A0F25" w:rsidRPr="000126EE" w:rsidRDefault="000A0F25" w:rsidP="000A0F25">
      <w:pPr>
        <w:jc w:val="both"/>
        <w:rPr>
          <w:rFonts w:ascii="Calibri" w:hAnsi="Calibri"/>
          <w:szCs w:val="22"/>
        </w:rPr>
      </w:pPr>
      <w:r w:rsidRPr="008B7E9A">
        <w:rPr>
          <w:rFonts w:ascii="Calibri" w:hAnsi="Calibri"/>
          <w:szCs w:val="22"/>
        </w:rPr>
        <w:t>The Evaluator will work under the supervision of the Regional UNDP/GEF RTA in Bratislava responsible for the Prespa project and the Head of Energy and Environment Unit in UNDP Skopje.  All p</w:t>
      </w:r>
      <w:r w:rsidRPr="000126EE">
        <w:rPr>
          <w:rFonts w:ascii="Calibri" w:hAnsi="Calibri"/>
          <w:szCs w:val="22"/>
        </w:rPr>
        <w:t>ractical support for the final review, including facilitation of travel, accommodation, scheduling of activities (as agreed in the work plan), and supporting documents will be arranged and provided by the project management unit and UNDP COs.</w:t>
      </w:r>
    </w:p>
    <w:p w:rsidR="000A0F25" w:rsidRPr="00B71D27" w:rsidRDefault="000A0F25" w:rsidP="000A0F25">
      <w:pPr>
        <w:rPr>
          <w:rFonts w:ascii="Calibri" w:hAnsi="Calibri"/>
          <w:szCs w:val="22"/>
        </w:rPr>
      </w:pPr>
    </w:p>
    <w:p w:rsidR="000A0F25" w:rsidRPr="00602E30" w:rsidRDefault="000A0F25" w:rsidP="000A0F25">
      <w:pPr>
        <w:jc w:val="both"/>
        <w:rPr>
          <w:rFonts w:ascii="Calibri" w:hAnsi="Calibri"/>
          <w:szCs w:val="22"/>
        </w:rPr>
      </w:pPr>
      <w:r w:rsidRPr="00595792">
        <w:rPr>
          <w:rFonts w:ascii="Calibri" w:hAnsi="Calibri"/>
          <w:szCs w:val="22"/>
        </w:rPr>
        <w:t>Although UNDP is administratively responsible for the conduction of the TE, UNDP shall not interfere with analysis and reporting, except where</w:t>
      </w:r>
      <w:r w:rsidRPr="00602E30">
        <w:rPr>
          <w:rFonts w:ascii="Calibri" w:hAnsi="Calibri"/>
          <w:szCs w:val="22"/>
        </w:rPr>
        <w:t xml:space="preserve"> requested and at opportunities for comments/feedback. UNDP will share the final version of the final review report with the National Executing Agencies. </w:t>
      </w:r>
    </w:p>
    <w:p w:rsidR="000A0F25" w:rsidRPr="002A69B7" w:rsidRDefault="000A0F25" w:rsidP="000A0F25">
      <w:pPr>
        <w:rPr>
          <w:rFonts w:ascii="Calibri" w:hAnsi="Calibri"/>
          <w:szCs w:val="22"/>
        </w:rPr>
      </w:pPr>
    </w:p>
    <w:p w:rsidR="000A0F25" w:rsidRPr="00C56966" w:rsidRDefault="000A0F25" w:rsidP="000A0F25">
      <w:pPr>
        <w:jc w:val="both"/>
        <w:rPr>
          <w:rFonts w:ascii="Calibri" w:hAnsi="Calibri"/>
          <w:szCs w:val="22"/>
        </w:rPr>
      </w:pPr>
      <w:r w:rsidRPr="002C744B">
        <w:rPr>
          <w:rFonts w:ascii="Calibri" w:hAnsi="Calibri"/>
          <w:szCs w:val="22"/>
        </w:rPr>
        <w:t xml:space="preserve">The Evaluator will be supported </w:t>
      </w:r>
      <w:r w:rsidRPr="00C56966">
        <w:rPr>
          <w:rFonts w:ascii="Calibri" w:hAnsi="Calibri"/>
          <w:szCs w:val="22"/>
        </w:rPr>
        <w:t xml:space="preserve">by National consultants hired separately by UNDP, one for Albania and one for FYR Macedonia. </w:t>
      </w:r>
    </w:p>
    <w:p w:rsidR="000A0F25" w:rsidRPr="002D3949" w:rsidRDefault="000A0F25" w:rsidP="000A0F25">
      <w:pPr>
        <w:rPr>
          <w:rFonts w:ascii="Calibri" w:hAnsi="Calibri"/>
          <w:szCs w:val="22"/>
        </w:rPr>
      </w:pPr>
    </w:p>
    <w:p w:rsidR="000A0F25" w:rsidRPr="000A3C73" w:rsidRDefault="000A0F25" w:rsidP="005D3E98">
      <w:pPr>
        <w:jc w:val="both"/>
        <w:rPr>
          <w:rFonts w:asciiTheme="majorHAnsi" w:hAnsiTheme="majorHAnsi"/>
        </w:rPr>
      </w:pPr>
      <w:r w:rsidRPr="000A3C73">
        <w:rPr>
          <w:rFonts w:ascii="Calibri" w:hAnsi="Calibri" w:cs="Arial"/>
        </w:rPr>
        <w:t>The total duration of the evaluation is expected to be approximately 25</w:t>
      </w:r>
      <w:r w:rsidRPr="000A3C73">
        <w:rPr>
          <w:rFonts w:ascii="Calibri" w:hAnsi="Calibri"/>
        </w:rPr>
        <w:t xml:space="preserve"> days </w:t>
      </w:r>
      <w:r w:rsidRPr="000A3C73">
        <w:rPr>
          <w:rFonts w:ascii="Calibri" w:hAnsi="Calibri" w:cs="Arial"/>
        </w:rPr>
        <w:t>in May/June 2012</w:t>
      </w:r>
    </w:p>
    <w:p w:rsidR="00FF608B" w:rsidRPr="000A3C73" w:rsidRDefault="00FF608B" w:rsidP="006E436A">
      <w:pPr>
        <w:pStyle w:val="BodyText"/>
        <w:numPr>
          <w:ilvl w:val="0"/>
          <w:numId w:val="0"/>
        </w:numPr>
        <w:rPr>
          <w:b/>
        </w:rPr>
      </w:pPr>
      <w:r w:rsidRPr="000A3C73">
        <w:br w:type="page"/>
      </w:r>
      <w:r w:rsidRPr="000A3C73">
        <w:rPr>
          <w:b/>
        </w:rPr>
        <w:t>Annex 2</w:t>
      </w:r>
      <w:r w:rsidR="00E05B76" w:rsidRPr="000A3C73">
        <w:rPr>
          <w:b/>
        </w:rPr>
        <w:t xml:space="preserve">. </w:t>
      </w:r>
      <w:r w:rsidR="00144091" w:rsidRPr="000A3C73">
        <w:rPr>
          <w:b/>
        </w:rPr>
        <w:t>GEF Operational Principles</w:t>
      </w:r>
    </w:p>
    <w:p w:rsidR="00FF608B" w:rsidRPr="000A3C73" w:rsidRDefault="00FF608B" w:rsidP="00FF608B">
      <w:pPr>
        <w:pStyle w:val="BodyText"/>
        <w:numPr>
          <w:ilvl w:val="0"/>
          <w:numId w:val="0"/>
        </w:numPr>
        <w:rPr>
          <w:rFonts w:asciiTheme="majorHAnsi" w:hAnsiTheme="majorHAnsi"/>
        </w:rPr>
      </w:pPr>
    </w:p>
    <w:p w:rsidR="009B687F" w:rsidRPr="000A3C73" w:rsidRDefault="009B687F" w:rsidP="0094568C">
      <w:pPr>
        <w:rPr>
          <w:rFonts w:asciiTheme="majorHAnsi" w:hAnsiTheme="majorHAnsi"/>
          <w:b/>
        </w:rPr>
      </w:pPr>
      <w:r w:rsidRPr="000A3C73">
        <w:rPr>
          <w:rFonts w:asciiTheme="majorHAnsi" w:hAnsiTheme="majorHAnsi"/>
          <w:b/>
        </w:rPr>
        <w:t>http://www.gefweb.org/public/opstrat/ch1.htm</w:t>
      </w:r>
    </w:p>
    <w:p w:rsidR="009B687F" w:rsidRPr="000A3C73" w:rsidRDefault="009B687F" w:rsidP="0094568C">
      <w:pPr>
        <w:rPr>
          <w:rFonts w:asciiTheme="majorHAnsi" w:hAnsiTheme="majorHAnsi"/>
        </w:rPr>
      </w:pPr>
    </w:p>
    <w:p w:rsidR="009B687F" w:rsidRPr="000A3C73" w:rsidRDefault="009B687F" w:rsidP="0094568C">
      <w:pPr>
        <w:jc w:val="center"/>
        <w:rPr>
          <w:rFonts w:asciiTheme="majorHAnsi" w:hAnsiTheme="majorHAnsi"/>
          <w:b/>
        </w:rPr>
      </w:pPr>
      <w:r w:rsidRPr="000A3C73">
        <w:rPr>
          <w:rFonts w:asciiTheme="majorHAnsi" w:hAnsiTheme="majorHAnsi"/>
          <w:b/>
        </w:rPr>
        <w:t xml:space="preserve">TEN OPERATIONAL PRINCIPLES FOR DEVELOPMENT </w:t>
      </w:r>
    </w:p>
    <w:p w:rsidR="009B687F" w:rsidRPr="000A3C73" w:rsidRDefault="009B687F" w:rsidP="0094568C">
      <w:pPr>
        <w:jc w:val="center"/>
        <w:rPr>
          <w:rFonts w:asciiTheme="majorHAnsi" w:hAnsiTheme="majorHAnsi"/>
          <w:b/>
        </w:rPr>
      </w:pPr>
      <w:r w:rsidRPr="000A3C73">
        <w:rPr>
          <w:rFonts w:asciiTheme="majorHAnsi" w:hAnsiTheme="majorHAnsi"/>
          <w:b/>
        </w:rPr>
        <w:t>AND IMPLEMENTATIONOF THE GEF'S WORK PROGRAM</w:t>
      </w:r>
    </w:p>
    <w:p w:rsidR="009B687F" w:rsidRPr="000A3C73" w:rsidRDefault="009B687F" w:rsidP="0094568C">
      <w:pPr>
        <w:rPr>
          <w:rFonts w:asciiTheme="majorHAnsi" w:hAnsiTheme="majorHAnsi"/>
        </w:rPr>
      </w:pPr>
    </w:p>
    <w:p w:rsidR="009B687F" w:rsidRPr="000A3C73" w:rsidRDefault="009B687F" w:rsidP="0094568C">
      <w:pPr>
        <w:rPr>
          <w:rFonts w:asciiTheme="majorHAnsi" w:hAnsiTheme="majorHAnsi"/>
        </w:rPr>
      </w:pPr>
      <w:r w:rsidRPr="000A3C73">
        <w:rPr>
          <w:rFonts w:asciiTheme="majorHAnsi" w:hAnsiTheme="majorHAnsi"/>
        </w:rPr>
        <w:t xml:space="preserve">1. For purposes of the financial mechanisms for the implementation of the Convention on Biological Diversity and the United Nations Framework Convention on Climate Change, the GEF will </w:t>
      </w:r>
      <w:r w:rsidRPr="000A3C73">
        <w:rPr>
          <w:rFonts w:asciiTheme="majorHAnsi" w:hAnsiTheme="majorHAnsi"/>
          <w:b/>
        </w:rPr>
        <w:t>function under the guidance of, and be accountable to, the Conference of the Parties</w:t>
      </w:r>
      <w:r w:rsidRPr="000A3C73">
        <w:rPr>
          <w:rFonts w:asciiTheme="majorHAnsi" w:hAnsiTheme="majorHAnsi"/>
        </w:rPr>
        <w:t xml:space="preserve"> (COPs).  For purposes of financing activities in the focal area of ozone layer depletion, GEF operational policies will be consistent with those of the Montreal Protocol on Substances that Deplete the Ozone Layer and its amendments.</w:t>
      </w:r>
    </w:p>
    <w:p w:rsidR="009B687F" w:rsidRPr="000A3C73" w:rsidRDefault="009B687F" w:rsidP="0094568C">
      <w:pPr>
        <w:rPr>
          <w:rFonts w:asciiTheme="majorHAnsi" w:hAnsiTheme="majorHAnsi"/>
        </w:rPr>
      </w:pPr>
    </w:p>
    <w:p w:rsidR="009B687F" w:rsidRPr="000A3C73" w:rsidRDefault="009B687F" w:rsidP="0094568C">
      <w:pPr>
        <w:rPr>
          <w:rFonts w:asciiTheme="majorHAnsi" w:hAnsiTheme="majorHAnsi"/>
        </w:rPr>
      </w:pPr>
      <w:r w:rsidRPr="000A3C73">
        <w:rPr>
          <w:rFonts w:asciiTheme="majorHAnsi" w:hAnsiTheme="majorHAnsi"/>
        </w:rPr>
        <w:t xml:space="preserve">2. The GEF will provide new, and additional, grant and concessional funding to meet the agreed </w:t>
      </w:r>
      <w:r w:rsidRPr="000A3C73">
        <w:rPr>
          <w:rFonts w:asciiTheme="majorHAnsi" w:hAnsiTheme="majorHAnsi"/>
          <w:b/>
        </w:rPr>
        <w:t>incremental costs</w:t>
      </w:r>
      <w:r w:rsidRPr="000A3C73">
        <w:rPr>
          <w:rFonts w:asciiTheme="majorHAnsi" w:hAnsiTheme="majorHAnsi"/>
        </w:rPr>
        <w:t xml:space="preserve"> of measures to achieve agreed global environmental benefits.</w:t>
      </w:r>
    </w:p>
    <w:p w:rsidR="009B687F" w:rsidRPr="000A3C73" w:rsidRDefault="009B687F" w:rsidP="0094568C">
      <w:pPr>
        <w:rPr>
          <w:rFonts w:asciiTheme="majorHAnsi" w:hAnsiTheme="majorHAnsi"/>
        </w:rPr>
      </w:pPr>
    </w:p>
    <w:p w:rsidR="009B687F" w:rsidRPr="000A3C73" w:rsidRDefault="009B687F" w:rsidP="0094568C">
      <w:pPr>
        <w:rPr>
          <w:rFonts w:asciiTheme="majorHAnsi" w:hAnsiTheme="majorHAnsi"/>
        </w:rPr>
      </w:pPr>
      <w:r w:rsidRPr="000A3C73">
        <w:rPr>
          <w:rFonts w:asciiTheme="majorHAnsi" w:hAnsiTheme="majorHAnsi"/>
        </w:rPr>
        <w:t xml:space="preserve">3. The GEF will ensure the </w:t>
      </w:r>
      <w:r w:rsidRPr="000A3C73">
        <w:rPr>
          <w:rFonts w:asciiTheme="majorHAnsi" w:hAnsiTheme="majorHAnsi"/>
          <w:b/>
        </w:rPr>
        <w:t>cost-effectiveness</w:t>
      </w:r>
      <w:r w:rsidRPr="000A3C73">
        <w:rPr>
          <w:rFonts w:asciiTheme="majorHAnsi" w:hAnsiTheme="majorHAnsi"/>
        </w:rPr>
        <w:t xml:space="preserve"> of its activities to maximize global environmental benefits.</w:t>
      </w:r>
    </w:p>
    <w:p w:rsidR="009B687F" w:rsidRPr="000A3C73" w:rsidRDefault="009B687F" w:rsidP="0094568C">
      <w:pPr>
        <w:rPr>
          <w:rFonts w:asciiTheme="majorHAnsi" w:hAnsiTheme="majorHAnsi"/>
        </w:rPr>
      </w:pPr>
    </w:p>
    <w:p w:rsidR="009B687F" w:rsidRPr="000A3C73" w:rsidRDefault="009B687F" w:rsidP="0094568C">
      <w:pPr>
        <w:rPr>
          <w:rFonts w:asciiTheme="majorHAnsi" w:hAnsiTheme="majorHAnsi"/>
        </w:rPr>
      </w:pPr>
      <w:r w:rsidRPr="000A3C73">
        <w:rPr>
          <w:rFonts w:asciiTheme="majorHAnsi" w:hAnsiTheme="majorHAnsi"/>
        </w:rPr>
        <w:t xml:space="preserve">4. The GEF will fund projects that are </w:t>
      </w:r>
      <w:r w:rsidRPr="000A3C73">
        <w:rPr>
          <w:rFonts w:asciiTheme="majorHAnsi" w:hAnsiTheme="majorHAnsi"/>
          <w:b/>
        </w:rPr>
        <w:t>country-driven</w:t>
      </w:r>
      <w:r w:rsidRPr="000A3C73">
        <w:rPr>
          <w:rFonts w:asciiTheme="majorHAnsi" w:hAnsiTheme="majorHAnsi"/>
        </w:rPr>
        <w:t xml:space="preserve"> and based on national priorities designed to support sustainable development, as identified within the context of national programs.</w:t>
      </w:r>
    </w:p>
    <w:p w:rsidR="009B687F" w:rsidRPr="000A3C73" w:rsidRDefault="009B687F" w:rsidP="0094568C">
      <w:pPr>
        <w:rPr>
          <w:rFonts w:asciiTheme="majorHAnsi" w:hAnsiTheme="majorHAnsi"/>
        </w:rPr>
      </w:pPr>
    </w:p>
    <w:p w:rsidR="009B687F" w:rsidRPr="000A3C73" w:rsidRDefault="009B687F" w:rsidP="0094568C">
      <w:pPr>
        <w:rPr>
          <w:rFonts w:asciiTheme="majorHAnsi" w:hAnsiTheme="majorHAnsi"/>
        </w:rPr>
      </w:pPr>
      <w:r w:rsidRPr="000A3C73">
        <w:rPr>
          <w:rFonts w:asciiTheme="majorHAnsi" w:hAnsiTheme="majorHAnsi"/>
        </w:rPr>
        <w:t xml:space="preserve">5. The GEF will maintain sufficient </w:t>
      </w:r>
      <w:r w:rsidRPr="000A3C73">
        <w:rPr>
          <w:rFonts w:asciiTheme="majorHAnsi" w:hAnsiTheme="majorHAnsi"/>
          <w:b/>
        </w:rPr>
        <w:t>flexibility</w:t>
      </w:r>
      <w:r w:rsidRPr="000A3C73">
        <w:rPr>
          <w:rFonts w:asciiTheme="majorHAnsi" w:hAnsiTheme="majorHAnsi"/>
        </w:rPr>
        <w:t xml:space="preserve"> to respond to changing circumstances, including evolving guidance of the Conference of the Parties and experience gained from monitoring and evaluation activities.</w:t>
      </w:r>
    </w:p>
    <w:p w:rsidR="009B687F" w:rsidRPr="000A3C73" w:rsidRDefault="009B687F" w:rsidP="0094568C">
      <w:pPr>
        <w:rPr>
          <w:rFonts w:asciiTheme="majorHAnsi" w:hAnsiTheme="majorHAnsi"/>
        </w:rPr>
      </w:pPr>
    </w:p>
    <w:p w:rsidR="009B687F" w:rsidRPr="000A3C73" w:rsidRDefault="009B687F" w:rsidP="0094568C">
      <w:pPr>
        <w:rPr>
          <w:rFonts w:asciiTheme="majorHAnsi" w:hAnsiTheme="majorHAnsi"/>
        </w:rPr>
      </w:pPr>
      <w:r w:rsidRPr="000A3C73">
        <w:rPr>
          <w:rFonts w:asciiTheme="majorHAnsi" w:hAnsiTheme="majorHAnsi"/>
        </w:rPr>
        <w:t xml:space="preserve">6. GEF projects will provide for </w:t>
      </w:r>
      <w:r w:rsidRPr="000A3C73">
        <w:rPr>
          <w:rFonts w:asciiTheme="majorHAnsi" w:hAnsiTheme="majorHAnsi"/>
          <w:b/>
        </w:rPr>
        <w:t>full disclosure</w:t>
      </w:r>
      <w:r w:rsidRPr="000A3C73">
        <w:rPr>
          <w:rFonts w:asciiTheme="majorHAnsi" w:hAnsiTheme="majorHAnsi"/>
        </w:rPr>
        <w:t xml:space="preserve"> of all non-confidential information.</w:t>
      </w:r>
    </w:p>
    <w:p w:rsidR="009B687F" w:rsidRPr="000A3C73" w:rsidRDefault="009B687F" w:rsidP="0094568C">
      <w:pPr>
        <w:rPr>
          <w:rFonts w:asciiTheme="majorHAnsi" w:hAnsiTheme="majorHAnsi"/>
        </w:rPr>
      </w:pPr>
    </w:p>
    <w:p w:rsidR="009B687F" w:rsidRPr="000A3C73" w:rsidRDefault="009B687F" w:rsidP="0094568C">
      <w:pPr>
        <w:rPr>
          <w:rFonts w:asciiTheme="majorHAnsi" w:hAnsiTheme="majorHAnsi"/>
        </w:rPr>
      </w:pPr>
      <w:r w:rsidRPr="000A3C73">
        <w:rPr>
          <w:rFonts w:asciiTheme="majorHAnsi" w:hAnsiTheme="majorHAnsi"/>
        </w:rPr>
        <w:t xml:space="preserve">7. GEF projects will provide for consultation with, and </w:t>
      </w:r>
      <w:r w:rsidRPr="000A3C73">
        <w:rPr>
          <w:rFonts w:asciiTheme="majorHAnsi" w:hAnsiTheme="majorHAnsi"/>
          <w:b/>
        </w:rPr>
        <w:t>participation</w:t>
      </w:r>
      <w:r w:rsidRPr="000A3C73">
        <w:rPr>
          <w:rFonts w:asciiTheme="majorHAnsi" w:hAnsiTheme="majorHAnsi"/>
        </w:rPr>
        <w:t xml:space="preserve"> as appropriate of, the beneficiaries and affected groups of people.</w:t>
      </w:r>
    </w:p>
    <w:p w:rsidR="009B687F" w:rsidRPr="000A3C73" w:rsidRDefault="009B687F" w:rsidP="0094568C">
      <w:pPr>
        <w:rPr>
          <w:rFonts w:asciiTheme="majorHAnsi" w:hAnsiTheme="majorHAnsi"/>
        </w:rPr>
      </w:pPr>
    </w:p>
    <w:p w:rsidR="009B687F" w:rsidRPr="000A3C73" w:rsidRDefault="009B687F" w:rsidP="0094568C">
      <w:pPr>
        <w:rPr>
          <w:rFonts w:asciiTheme="majorHAnsi" w:hAnsiTheme="majorHAnsi"/>
        </w:rPr>
      </w:pPr>
      <w:r w:rsidRPr="000A3C73">
        <w:rPr>
          <w:rFonts w:asciiTheme="majorHAnsi" w:hAnsiTheme="majorHAnsi"/>
        </w:rPr>
        <w:t xml:space="preserve">8. GEF projects will conform to the </w:t>
      </w:r>
      <w:r w:rsidRPr="000A3C73">
        <w:rPr>
          <w:rFonts w:asciiTheme="majorHAnsi" w:hAnsiTheme="majorHAnsi"/>
          <w:b/>
        </w:rPr>
        <w:t>eligibility</w:t>
      </w:r>
      <w:r w:rsidRPr="000A3C73">
        <w:rPr>
          <w:rFonts w:asciiTheme="majorHAnsi" w:hAnsiTheme="majorHAnsi"/>
        </w:rPr>
        <w:t xml:space="preserve"> requirements set forth in paragraph 9 of the GEF Instrument.</w:t>
      </w:r>
    </w:p>
    <w:p w:rsidR="009B687F" w:rsidRPr="000A3C73" w:rsidRDefault="009B687F" w:rsidP="0094568C">
      <w:pPr>
        <w:rPr>
          <w:rFonts w:asciiTheme="majorHAnsi" w:hAnsiTheme="majorHAnsi"/>
        </w:rPr>
      </w:pPr>
    </w:p>
    <w:p w:rsidR="009B687F" w:rsidRPr="000A3C73" w:rsidRDefault="009B687F" w:rsidP="0094568C">
      <w:pPr>
        <w:rPr>
          <w:rFonts w:asciiTheme="majorHAnsi" w:hAnsiTheme="majorHAnsi"/>
        </w:rPr>
      </w:pPr>
      <w:r w:rsidRPr="000A3C73">
        <w:rPr>
          <w:rFonts w:asciiTheme="majorHAnsi" w:hAnsiTheme="majorHAnsi"/>
        </w:rPr>
        <w:t xml:space="preserve">9. In seeking to maximize global environmental benefits, the GEF will emphasize its </w:t>
      </w:r>
      <w:r w:rsidRPr="000A3C73">
        <w:rPr>
          <w:rFonts w:asciiTheme="majorHAnsi" w:hAnsiTheme="majorHAnsi"/>
          <w:b/>
        </w:rPr>
        <w:t>catalytic role</w:t>
      </w:r>
      <w:r w:rsidRPr="000A3C73">
        <w:rPr>
          <w:rFonts w:asciiTheme="majorHAnsi" w:hAnsiTheme="majorHAnsi"/>
        </w:rPr>
        <w:t xml:space="preserve"> and leverage additional financing from other sources.</w:t>
      </w:r>
    </w:p>
    <w:p w:rsidR="009B687F" w:rsidRPr="000A3C73" w:rsidRDefault="009B687F" w:rsidP="0094568C">
      <w:pPr>
        <w:rPr>
          <w:rFonts w:asciiTheme="majorHAnsi" w:hAnsiTheme="majorHAnsi"/>
        </w:rPr>
      </w:pPr>
    </w:p>
    <w:p w:rsidR="009B687F" w:rsidRPr="000A3C73" w:rsidRDefault="009B687F" w:rsidP="0094568C">
      <w:pPr>
        <w:rPr>
          <w:rFonts w:asciiTheme="majorHAnsi" w:hAnsiTheme="majorHAnsi"/>
        </w:rPr>
      </w:pPr>
      <w:r w:rsidRPr="000A3C73">
        <w:rPr>
          <w:rFonts w:asciiTheme="majorHAnsi" w:hAnsiTheme="majorHAnsi"/>
        </w:rPr>
        <w:t xml:space="preserve">10. The GEF will ensure that its programs and projects are </w:t>
      </w:r>
      <w:r w:rsidRPr="000A3C73">
        <w:rPr>
          <w:rFonts w:asciiTheme="majorHAnsi" w:hAnsiTheme="majorHAnsi"/>
          <w:b/>
        </w:rPr>
        <w:t>monitored and evaluated</w:t>
      </w:r>
      <w:r w:rsidRPr="000A3C73">
        <w:rPr>
          <w:rFonts w:asciiTheme="majorHAnsi" w:hAnsiTheme="majorHAnsi"/>
        </w:rPr>
        <w:t xml:space="preserve"> on a regular basis.</w:t>
      </w:r>
    </w:p>
    <w:p w:rsidR="00FF608B" w:rsidRPr="000A3C73" w:rsidRDefault="00FF608B" w:rsidP="00144091">
      <w:pPr>
        <w:rPr>
          <w:rFonts w:asciiTheme="majorHAnsi" w:hAnsiTheme="majorHAnsi"/>
        </w:rPr>
      </w:pPr>
    </w:p>
    <w:p w:rsidR="00FF608B" w:rsidRPr="000A3C73" w:rsidRDefault="00FF608B" w:rsidP="00FF608B">
      <w:pPr>
        <w:pStyle w:val="BodyText"/>
        <w:numPr>
          <w:ilvl w:val="0"/>
          <w:numId w:val="0"/>
        </w:numPr>
      </w:pPr>
    </w:p>
    <w:p w:rsidR="00FF608B" w:rsidRPr="000A3C73" w:rsidRDefault="00FF608B">
      <w:pPr>
        <w:sectPr w:rsidR="00FF608B" w:rsidRPr="000A3C73">
          <w:pgSz w:w="12240" w:h="15840"/>
          <w:pgMar w:top="1440" w:right="1440" w:bottom="1440" w:left="1440" w:header="720" w:footer="720" w:gutter="0"/>
          <w:cols w:space="720"/>
        </w:sectPr>
      </w:pPr>
    </w:p>
    <w:p w:rsidR="00836015" w:rsidRPr="000A3C73" w:rsidRDefault="00836015" w:rsidP="00FF608B">
      <w:pPr>
        <w:pStyle w:val="BodyText"/>
        <w:numPr>
          <w:ilvl w:val="0"/>
          <w:numId w:val="0"/>
        </w:numPr>
        <w:rPr>
          <w:b/>
        </w:rPr>
      </w:pPr>
      <w:r w:rsidRPr="000A3C73">
        <w:rPr>
          <w:b/>
        </w:rPr>
        <w:t xml:space="preserve">Annex 3: </w:t>
      </w:r>
      <w:r w:rsidR="00355BFF" w:rsidRPr="000A3C73">
        <w:rPr>
          <w:b/>
        </w:rPr>
        <w:t>Status of Objective and Outcome Indicators</w:t>
      </w:r>
      <w:r w:rsidR="00B26C0C" w:rsidRPr="000A3C73">
        <w:rPr>
          <w:b/>
        </w:rPr>
        <w:t xml:space="preserve"> Target Delivery</w:t>
      </w:r>
      <w:r w:rsidR="00651A7B">
        <w:rPr>
          <w:b/>
        </w:rPr>
        <w:t xml:space="preserve"> (Source: 2012 PIR – final project PIR)</w:t>
      </w:r>
    </w:p>
    <w:p w:rsidR="00531523" w:rsidRPr="000A3C73" w:rsidRDefault="00531523" w:rsidP="00FF608B">
      <w:pPr>
        <w:pStyle w:val="BodyText"/>
        <w:numPr>
          <w:ilvl w:val="0"/>
          <w:numId w:val="0"/>
        </w:numPr>
        <w:rPr>
          <w:b/>
        </w:rPr>
      </w:pPr>
    </w:p>
    <w:tbl>
      <w:tblPr>
        <w:tblW w:w="143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0"/>
        <w:gridCol w:w="1530"/>
        <w:gridCol w:w="1530"/>
        <w:gridCol w:w="2520"/>
        <w:gridCol w:w="7380"/>
      </w:tblGrid>
      <w:tr w:rsidR="00E660DB" w:rsidRPr="0089284E" w:rsidTr="0089284E">
        <w:trPr>
          <w:trHeight w:val="280"/>
          <w:tblHeader/>
        </w:trPr>
        <w:tc>
          <w:tcPr>
            <w:tcW w:w="1350" w:type="dxa"/>
            <w:shd w:val="clear" w:color="auto" w:fill="D9D9D9"/>
            <w:noWrap/>
            <w:vAlign w:val="bottom"/>
            <w:hideMark/>
          </w:tcPr>
          <w:p w:rsidR="00E660DB" w:rsidRPr="00981CE9" w:rsidRDefault="00E660DB" w:rsidP="00355DB4">
            <w:pPr>
              <w:rPr>
                <w:rFonts w:asciiTheme="majorHAnsi" w:hAnsiTheme="majorHAnsi"/>
                <w:b/>
                <w:bCs/>
                <w:color w:val="000000"/>
                <w:sz w:val="16"/>
                <w:szCs w:val="16"/>
              </w:rPr>
            </w:pPr>
            <w:r w:rsidRPr="00981CE9">
              <w:rPr>
                <w:rFonts w:asciiTheme="majorHAnsi" w:hAnsiTheme="majorHAnsi"/>
                <w:b/>
                <w:bCs/>
                <w:color w:val="000000"/>
                <w:sz w:val="16"/>
                <w:szCs w:val="16"/>
              </w:rPr>
              <w:t>Description</w:t>
            </w:r>
          </w:p>
        </w:tc>
        <w:tc>
          <w:tcPr>
            <w:tcW w:w="1530" w:type="dxa"/>
            <w:shd w:val="clear" w:color="auto" w:fill="D9D9D9"/>
            <w:noWrap/>
            <w:vAlign w:val="bottom"/>
            <w:hideMark/>
          </w:tcPr>
          <w:p w:rsidR="00E660DB" w:rsidRPr="004F4FCE" w:rsidRDefault="00E660DB" w:rsidP="00355DB4">
            <w:pPr>
              <w:rPr>
                <w:rFonts w:asciiTheme="majorHAnsi" w:hAnsiTheme="majorHAnsi"/>
                <w:b/>
                <w:bCs/>
                <w:color w:val="000000"/>
                <w:sz w:val="16"/>
                <w:szCs w:val="16"/>
              </w:rPr>
            </w:pPr>
            <w:r w:rsidRPr="00981CE9">
              <w:rPr>
                <w:rFonts w:asciiTheme="majorHAnsi" w:hAnsiTheme="majorHAnsi"/>
                <w:b/>
                <w:bCs/>
                <w:color w:val="000000"/>
                <w:sz w:val="16"/>
                <w:szCs w:val="16"/>
              </w:rPr>
              <w:t>Description of Indicator</w:t>
            </w:r>
          </w:p>
        </w:tc>
        <w:tc>
          <w:tcPr>
            <w:tcW w:w="1530" w:type="dxa"/>
            <w:shd w:val="clear" w:color="auto" w:fill="D9D9D9"/>
            <w:noWrap/>
            <w:vAlign w:val="bottom"/>
            <w:hideMark/>
          </w:tcPr>
          <w:p w:rsidR="00E660DB" w:rsidRPr="00FC1E0C" w:rsidRDefault="00E660DB" w:rsidP="00355DB4">
            <w:pPr>
              <w:rPr>
                <w:rFonts w:asciiTheme="majorHAnsi" w:hAnsiTheme="majorHAnsi"/>
                <w:b/>
                <w:bCs/>
                <w:color w:val="000000"/>
                <w:sz w:val="16"/>
                <w:szCs w:val="16"/>
              </w:rPr>
            </w:pPr>
            <w:r w:rsidRPr="00FC1E0C">
              <w:rPr>
                <w:rFonts w:asciiTheme="majorHAnsi" w:hAnsiTheme="majorHAnsi"/>
                <w:b/>
                <w:bCs/>
                <w:color w:val="000000"/>
                <w:sz w:val="16"/>
                <w:szCs w:val="16"/>
              </w:rPr>
              <w:t>Baseline Level</w:t>
            </w:r>
          </w:p>
        </w:tc>
        <w:tc>
          <w:tcPr>
            <w:tcW w:w="2520" w:type="dxa"/>
            <w:shd w:val="clear" w:color="auto" w:fill="D9D9D9"/>
            <w:noWrap/>
            <w:vAlign w:val="bottom"/>
            <w:hideMark/>
          </w:tcPr>
          <w:p w:rsidR="00E660DB" w:rsidRPr="00E47796" w:rsidRDefault="00E660DB" w:rsidP="00355DB4">
            <w:pPr>
              <w:rPr>
                <w:rFonts w:asciiTheme="majorHAnsi" w:hAnsiTheme="majorHAnsi"/>
                <w:b/>
                <w:bCs/>
                <w:color w:val="000000"/>
                <w:sz w:val="16"/>
                <w:szCs w:val="16"/>
              </w:rPr>
            </w:pPr>
            <w:r w:rsidRPr="00E47796">
              <w:rPr>
                <w:rFonts w:asciiTheme="majorHAnsi" w:hAnsiTheme="majorHAnsi"/>
                <w:b/>
                <w:bCs/>
                <w:color w:val="000000"/>
                <w:sz w:val="16"/>
                <w:szCs w:val="16"/>
              </w:rPr>
              <w:t>Target Level at end of project</w:t>
            </w:r>
          </w:p>
        </w:tc>
        <w:tc>
          <w:tcPr>
            <w:tcW w:w="7380" w:type="dxa"/>
            <w:shd w:val="clear" w:color="auto" w:fill="D9D9D9"/>
            <w:noWrap/>
            <w:vAlign w:val="bottom"/>
            <w:hideMark/>
          </w:tcPr>
          <w:p w:rsidR="00E660DB" w:rsidRPr="00522AD6" w:rsidRDefault="00C416AE" w:rsidP="00355DB4">
            <w:pPr>
              <w:rPr>
                <w:rFonts w:asciiTheme="majorHAnsi" w:hAnsiTheme="majorHAnsi"/>
                <w:b/>
                <w:bCs/>
                <w:color w:val="000000"/>
                <w:sz w:val="16"/>
                <w:szCs w:val="16"/>
              </w:rPr>
            </w:pPr>
            <w:r w:rsidRPr="00522AD6">
              <w:rPr>
                <w:rFonts w:asciiTheme="majorHAnsi" w:hAnsiTheme="majorHAnsi"/>
                <w:b/>
                <w:bCs/>
                <w:color w:val="000000"/>
                <w:sz w:val="16"/>
                <w:szCs w:val="16"/>
              </w:rPr>
              <w:t xml:space="preserve">Self-reported </w:t>
            </w:r>
            <w:r w:rsidR="00E660DB" w:rsidRPr="00522AD6">
              <w:rPr>
                <w:rFonts w:asciiTheme="majorHAnsi" w:hAnsiTheme="majorHAnsi"/>
                <w:b/>
                <w:bCs/>
                <w:color w:val="000000"/>
                <w:sz w:val="16"/>
                <w:szCs w:val="16"/>
              </w:rPr>
              <w:t>Level at 30 June 2012</w:t>
            </w:r>
          </w:p>
        </w:tc>
      </w:tr>
      <w:tr w:rsidR="00E660DB" w:rsidRPr="0089284E" w:rsidTr="0089284E">
        <w:trPr>
          <w:trHeight w:val="2933"/>
        </w:trPr>
        <w:tc>
          <w:tcPr>
            <w:tcW w:w="1350" w:type="dxa"/>
            <w:vMerge w:val="restart"/>
            <w:shd w:val="clear" w:color="auto" w:fill="auto"/>
            <w:hideMark/>
          </w:tcPr>
          <w:p w:rsidR="00E660DB" w:rsidRPr="00FC1E0C" w:rsidRDefault="00E660DB" w:rsidP="00355DB4">
            <w:pPr>
              <w:rPr>
                <w:rFonts w:asciiTheme="majorHAnsi" w:hAnsiTheme="majorHAnsi"/>
                <w:color w:val="000000"/>
                <w:sz w:val="16"/>
                <w:szCs w:val="16"/>
              </w:rPr>
            </w:pPr>
            <w:r w:rsidRPr="00981CE9">
              <w:rPr>
                <w:rFonts w:asciiTheme="majorHAnsi" w:hAnsiTheme="majorHAnsi"/>
                <w:color w:val="000000"/>
                <w:sz w:val="16"/>
                <w:szCs w:val="16"/>
              </w:rPr>
              <w:t>Objective: To catalyze the adoption of integrated ecosystem management (IEM) in the trans-boundary Prespa Lakes Basin of FYR Macedonia, Albania, and Greece to conserve globally significant biodiversity, mitigate pollution of the trans- boundary lakes, and provide a sust</w:t>
            </w:r>
            <w:r w:rsidRPr="004F4FCE">
              <w:rPr>
                <w:rFonts w:asciiTheme="majorHAnsi" w:hAnsiTheme="majorHAnsi"/>
                <w:color w:val="000000"/>
                <w:sz w:val="16"/>
                <w:szCs w:val="16"/>
              </w:rPr>
              <w:t>ainable basis for the Basin’s further social and economic development</w:t>
            </w:r>
          </w:p>
          <w:p w:rsidR="00E660DB" w:rsidRPr="00522AD6" w:rsidRDefault="00E660DB" w:rsidP="00355DB4">
            <w:pPr>
              <w:rPr>
                <w:rFonts w:asciiTheme="majorHAnsi" w:hAnsiTheme="majorHAnsi"/>
                <w:color w:val="000000"/>
                <w:sz w:val="16"/>
                <w:szCs w:val="16"/>
              </w:rPr>
            </w:pPr>
            <w:r w:rsidRPr="00E47796">
              <w:rPr>
                <w:rFonts w:asciiTheme="majorHAnsi" w:hAnsiTheme="majorHAnsi"/>
                <w:color w:val="000000"/>
                <w:sz w:val="16"/>
                <w:szCs w:val="16"/>
              </w:rPr>
              <w:t> </w:t>
            </w:r>
          </w:p>
          <w:p w:rsidR="00E660DB" w:rsidRPr="00C24A6A" w:rsidRDefault="00E660DB" w:rsidP="00355DB4">
            <w:pPr>
              <w:rPr>
                <w:rFonts w:asciiTheme="majorHAnsi" w:hAnsiTheme="majorHAnsi"/>
                <w:color w:val="000000"/>
                <w:sz w:val="16"/>
                <w:szCs w:val="16"/>
              </w:rPr>
            </w:pPr>
            <w:r w:rsidRPr="00C24A6A">
              <w:rPr>
                <w:rFonts w:asciiTheme="majorHAnsi" w:hAnsiTheme="majorHAnsi"/>
                <w:color w:val="000000"/>
                <w:sz w:val="16"/>
                <w:szCs w:val="16"/>
              </w:rPr>
              <w:t> </w:t>
            </w:r>
          </w:p>
          <w:p w:rsidR="00E660DB" w:rsidRPr="004B7788" w:rsidRDefault="00E660DB" w:rsidP="00355DB4">
            <w:pPr>
              <w:rPr>
                <w:rFonts w:asciiTheme="majorHAnsi" w:hAnsiTheme="majorHAnsi"/>
                <w:color w:val="000000"/>
                <w:sz w:val="16"/>
                <w:szCs w:val="16"/>
              </w:rPr>
            </w:pPr>
            <w:r w:rsidRPr="004B7788">
              <w:rPr>
                <w:rFonts w:asciiTheme="majorHAnsi" w:hAnsiTheme="majorHAnsi"/>
                <w:color w:val="000000"/>
                <w:sz w:val="16"/>
                <w:szCs w:val="16"/>
              </w:rPr>
              <w:t> </w:t>
            </w:r>
          </w:p>
        </w:tc>
        <w:tc>
          <w:tcPr>
            <w:tcW w:w="1530" w:type="dxa"/>
            <w:shd w:val="clear" w:color="auto" w:fill="auto"/>
            <w:hideMark/>
          </w:tcPr>
          <w:p w:rsidR="00E660DB" w:rsidRPr="00C1010D" w:rsidRDefault="00E660DB" w:rsidP="00355DB4">
            <w:pPr>
              <w:rPr>
                <w:rFonts w:asciiTheme="majorHAnsi" w:hAnsiTheme="majorHAnsi"/>
                <w:color w:val="000000"/>
                <w:sz w:val="16"/>
                <w:szCs w:val="16"/>
              </w:rPr>
            </w:pPr>
            <w:r w:rsidRPr="00C1010D">
              <w:rPr>
                <w:rFonts w:asciiTheme="majorHAnsi" w:hAnsiTheme="majorHAnsi"/>
                <w:color w:val="000000"/>
                <w:sz w:val="16"/>
                <w:szCs w:val="16"/>
              </w:rPr>
              <w:t>Demonstration of IEM approach</w:t>
            </w:r>
          </w:p>
        </w:tc>
        <w:tc>
          <w:tcPr>
            <w:tcW w:w="1530" w:type="dxa"/>
            <w:shd w:val="clear" w:color="auto" w:fill="auto"/>
            <w:hideMark/>
          </w:tcPr>
          <w:p w:rsidR="00E660DB" w:rsidRPr="00575C91" w:rsidRDefault="00E660DB" w:rsidP="00355DB4">
            <w:pPr>
              <w:rPr>
                <w:rFonts w:asciiTheme="majorHAnsi" w:hAnsiTheme="majorHAnsi"/>
                <w:color w:val="000000"/>
                <w:sz w:val="16"/>
                <w:szCs w:val="16"/>
              </w:rPr>
            </w:pPr>
            <w:r w:rsidRPr="00575C91">
              <w:rPr>
                <w:rFonts w:asciiTheme="majorHAnsi" w:hAnsiTheme="majorHAnsi"/>
                <w:color w:val="000000"/>
                <w:sz w:val="16"/>
                <w:szCs w:val="16"/>
              </w:rPr>
              <w:t>None</w:t>
            </w:r>
          </w:p>
        </w:tc>
        <w:tc>
          <w:tcPr>
            <w:tcW w:w="2520" w:type="dxa"/>
            <w:shd w:val="clear" w:color="auto" w:fill="auto"/>
            <w:hideMark/>
          </w:tcPr>
          <w:p w:rsidR="00E660DB" w:rsidRPr="00DE1184" w:rsidRDefault="00E660DB" w:rsidP="00355DB4">
            <w:pPr>
              <w:rPr>
                <w:rFonts w:asciiTheme="majorHAnsi" w:hAnsiTheme="majorHAnsi"/>
                <w:color w:val="000000"/>
                <w:sz w:val="16"/>
                <w:szCs w:val="16"/>
              </w:rPr>
            </w:pPr>
            <w:r w:rsidRPr="0097745A">
              <w:rPr>
                <w:rFonts w:asciiTheme="majorHAnsi" w:hAnsiTheme="majorHAnsi"/>
                <w:color w:val="000000"/>
                <w:sz w:val="16"/>
                <w:szCs w:val="16"/>
              </w:rPr>
              <w:t>At least 5 visible demonstrations in AL, MK and GR* in key sectors related directly to conservation of significant biodiversity and trans-boundary wat</w:t>
            </w:r>
            <w:r w:rsidRPr="00DE1184">
              <w:rPr>
                <w:rFonts w:asciiTheme="majorHAnsi" w:hAnsiTheme="majorHAnsi"/>
                <w:color w:val="000000"/>
                <w:sz w:val="16"/>
                <w:szCs w:val="16"/>
              </w:rPr>
              <w:t>ers</w:t>
            </w:r>
          </w:p>
        </w:tc>
        <w:tc>
          <w:tcPr>
            <w:tcW w:w="7380" w:type="dxa"/>
            <w:shd w:val="clear" w:color="auto" w:fill="auto"/>
            <w:hideMark/>
          </w:tcPr>
          <w:p w:rsidR="00E660DB" w:rsidRPr="00356565" w:rsidRDefault="00E660DB" w:rsidP="00355DB4">
            <w:pPr>
              <w:rPr>
                <w:rFonts w:asciiTheme="majorHAnsi" w:hAnsiTheme="majorHAnsi"/>
                <w:color w:val="000000"/>
                <w:sz w:val="16"/>
                <w:szCs w:val="16"/>
              </w:rPr>
            </w:pPr>
            <w:r w:rsidRPr="00747F99">
              <w:rPr>
                <w:rFonts w:asciiTheme="majorHAnsi" w:hAnsiTheme="majorHAnsi"/>
                <w:color w:val="000000"/>
                <w:sz w:val="16"/>
                <w:szCs w:val="16"/>
              </w:rPr>
              <w:t>1. The adjustment of the Transboundary Monitoring System was completed by end of June 2012, including the reports from the piloting phase. (TB)</w:t>
            </w:r>
            <w:r w:rsidRPr="00747F99">
              <w:rPr>
                <w:rFonts w:asciiTheme="majorHAnsi" w:hAnsiTheme="majorHAnsi"/>
                <w:color w:val="000000"/>
                <w:sz w:val="16"/>
                <w:szCs w:val="16"/>
              </w:rPr>
              <w:br/>
              <w:t>2. Pilot monitoring activities are successfully implemented in AL Prespa. Park administration capacity stren</w:t>
            </w:r>
            <w:r w:rsidRPr="00F901DA">
              <w:rPr>
                <w:rFonts w:asciiTheme="majorHAnsi" w:hAnsiTheme="majorHAnsi"/>
                <w:color w:val="000000"/>
                <w:sz w:val="16"/>
                <w:szCs w:val="16"/>
              </w:rPr>
              <w:t>gthened (AL).</w:t>
            </w:r>
            <w:r w:rsidRPr="00F901DA">
              <w:rPr>
                <w:rFonts w:asciiTheme="majorHAnsi" w:hAnsiTheme="majorHAnsi"/>
                <w:color w:val="000000"/>
                <w:sz w:val="16"/>
                <w:szCs w:val="16"/>
              </w:rPr>
              <w:br/>
              <w:t>3. Instructional set up in the agriculture sector is strengthened with 4 associations receiving support and assistance. (AL)</w:t>
            </w:r>
            <w:r w:rsidRPr="00F901DA">
              <w:rPr>
                <w:rFonts w:asciiTheme="majorHAnsi" w:hAnsiTheme="majorHAnsi"/>
                <w:color w:val="000000"/>
                <w:sz w:val="16"/>
                <w:szCs w:val="16"/>
              </w:rPr>
              <w:br/>
              <w:t>4. Newly shaped Information and Local Initiative Centre (I</w:t>
            </w:r>
            <w:r w:rsidRPr="00B15342">
              <w:rPr>
                <w:rFonts w:asciiTheme="majorHAnsi" w:hAnsiTheme="majorHAnsi"/>
                <w:color w:val="000000"/>
                <w:sz w:val="16"/>
                <w:szCs w:val="16"/>
              </w:rPr>
              <w:t>LIC) in Gorrica is established and operational. (AL)</w:t>
            </w:r>
            <w:r w:rsidRPr="00B15342">
              <w:rPr>
                <w:rFonts w:asciiTheme="majorHAnsi" w:hAnsiTheme="majorHAnsi"/>
                <w:color w:val="000000"/>
                <w:sz w:val="16"/>
                <w:szCs w:val="16"/>
              </w:rPr>
              <w:br/>
              <w:t>5. Equipment and logistic for environment monitoring and communication for the Prespa National Park are fully functional and serving the purpose. (AL)</w:t>
            </w:r>
            <w:r w:rsidRPr="00B15342">
              <w:rPr>
                <w:rFonts w:asciiTheme="majorHAnsi" w:hAnsiTheme="majorHAnsi"/>
                <w:color w:val="000000"/>
                <w:sz w:val="16"/>
                <w:szCs w:val="16"/>
              </w:rPr>
              <w:br/>
              <w:t>6. The monthly project electronic newsletter is deve</w:t>
            </w:r>
            <w:r w:rsidRPr="00651359">
              <w:rPr>
                <w:rFonts w:asciiTheme="majorHAnsi" w:hAnsiTheme="majorHAnsi"/>
                <w:color w:val="000000"/>
                <w:sz w:val="16"/>
                <w:szCs w:val="16"/>
              </w:rPr>
              <w:t>loped and distributed widely nationally and regionally (AL)</w:t>
            </w:r>
            <w:r w:rsidRPr="00651359">
              <w:rPr>
                <w:rFonts w:asciiTheme="majorHAnsi" w:hAnsiTheme="majorHAnsi"/>
                <w:color w:val="000000"/>
                <w:sz w:val="16"/>
                <w:szCs w:val="16"/>
              </w:rPr>
              <w:br/>
              <w:t>7. Accomplishment of assessment of spatial and urban Plan for Prespa AL and ToR for Master planning (AL) 8. Conservation plans for priority species and habitats in Prespa (Brown Bear, Mountain Tea</w:t>
            </w:r>
            <w:r w:rsidRPr="00EF0459">
              <w:rPr>
                <w:rFonts w:asciiTheme="majorHAnsi" w:hAnsiTheme="majorHAnsi"/>
                <w:color w:val="000000"/>
                <w:sz w:val="16"/>
                <w:szCs w:val="16"/>
              </w:rPr>
              <w:t>, Caves/Bats, Reedbeds, Juniper Forests and Prespa Barbel under the Transboundary Fisheries Management Plan) were completed.  9. Transboundary Fish and Fishery Management Plan completed (TB); 10. Integrated</w:t>
            </w:r>
            <w:r w:rsidRPr="00356565">
              <w:rPr>
                <w:rFonts w:asciiTheme="majorHAnsi" w:hAnsiTheme="majorHAnsi"/>
                <w:color w:val="000000"/>
                <w:sz w:val="16"/>
                <w:szCs w:val="16"/>
              </w:rPr>
              <w:t xml:space="preserve"> Watershed Management Plan for the Macedonian part of the Prespa watershed developed; </w:t>
            </w:r>
          </w:p>
        </w:tc>
      </w:tr>
      <w:tr w:rsidR="00E660DB" w:rsidRPr="0089284E" w:rsidTr="0089284E">
        <w:trPr>
          <w:trHeight w:val="710"/>
        </w:trPr>
        <w:tc>
          <w:tcPr>
            <w:tcW w:w="1350" w:type="dxa"/>
            <w:vMerge/>
            <w:shd w:val="clear" w:color="auto" w:fill="auto"/>
            <w:hideMark/>
          </w:tcPr>
          <w:p w:rsidR="00E660DB" w:rsidRPr="0089284E" w:rsidRDefault="00E660DB" w:rsidP="00355DB4">
            <w:pPr>
              <w:rPr>
                <w:rFonts w:asciiTheme="majorHAnsi" w:hAnsiTheme="majorHAnsi"/>
                <w:color w:val="000000"/>
                <w:sz w:val="16"/>
                <w:szCs w:val="16"/>
              </w:rPr>
            </w:pP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 xml:space="preserve">Financial resources for IEM approach made available </w:t>
            </w: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Not available from public funds Not trained</w:t>
            </w:r>
          </w:p>
        </w:tc>
        <w:tc>
          <w:tcPr>
            <w:tcW w:w="252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 xml:space="preserve">US$2 million for IEM by end of project </w:t>
            </w:r>
          </w:p>
        </w:tc>
        <w:tc>
          <w:tcPr>
            <w:tcW w:w="738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 xml:space="preserve">1. The </w:t>
            </w:r>
            <w:r w:rsidR="00355DB4" w:rsidRPr="0089284E">
              <w:rPr>
                <w:rFonts w:asciiTheme="majorHAnsi" w:hAnsiTheme="majorHAnsi"/>
                <w:color w:val="000000"/>
                <w:sz w:val="16"/>
                <w:szCs w:val="16"/>
              </w:rPr>
              <w:t>amount</w:t>
            </w:r>
            <w:r w:rsidRPr="0089284E">
              <w:rPr>
                <w:rFonts w:asciiTheme="majorHAnsi" w:hAnsiTheme="majorHAnsi"/>
                <w:color w:val="000000"/>
                <w:sz w:val="16"/>
                <w:szCs w:val="16"/>
              </w:rPr>
              <w:t xml:space="preserve"> of 1,325,243 USD is disbursed (consultancies, trainings, awareness, actions, equipment, monitoring, etc.) (AL)                                                                                                                                                                    2. The project has disbursed 1.539.181 USD  by end of June 2012  (consultancies, trainings, awareness, actions, monitoring, etc.)(TB)                                                                                                                 3. The amount disbursed for IEM approach so far are 1.469.253 USD</w:t>
            </w:r>
          </w:p>
        </w:tc>
      </w:tr>
      <w:tr w:rsidR="00E660DB" w:rsidRPr="0089284E" w:rsidTr="0089284E">
        <w:trPr>
          <w:trHeight w:val="1484"/>
        </w:trPr>
        <w:tc>
          <w:tcPr>
            <w:tcW w:w="1350" w:type="dxa"/>
            <w:vMerge/>
            <w:shd w:val="clear" w:color="auto" w:fill="auto"/>
            <w:hideMark/>
          </w:tcPr>
          <w:p w:rsidR="00E660DB" w:rsidRPr="0089284E" w:rsidRDefault="00E660DB" w:rsidP="00355DB4">
            <w:pPr>
              <w:rPr>
                <w:rFonts w:asciiTheme="majorHAnsi" w:hAnsiTheme="majorHAnsi"/>
                <w:color w:val="000000"/>
                <w:sz w:val="16"/>
                <w:szCs w:val="16"/>
              </w:rPr>
            </w:pP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 </w:t>
            </w: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0</w:t>
            </w:r>
          </w:p>
        </w:tc>
        <w:tc>
          <w:tcPr>
            <w:tcW w:w="252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Key local stakeholders trained</w:t>
            </w:r>
          </w:p>
        </w:tc>
        <w:tc>
          <w:tcPr>
            <w:tcW w:w="738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1. 55 participants (Park Administration, NGOs, local administration, local experts) trained on conservation and ecosystem monitoring. (AL)</w:t>
            </w:r>
            <w:r w:rsidRPr="0089284E">
              <w:rPr>
                <w:rFonts w:asciiTheme="majorHAnsi" w:hAnsiTheme="majorHAnsi"/>
                <w:color w:val="000000"/>
                <w:sz w:val="16"/>
                <w:szCs w:val="16"/>
              </w:rPr>
              <w:br/>
              <w:t xml:space="preserve">2. Assistance to farmer groups on prognoses and early warning system. (AL) </w:t>
            </w:r>
            <w:r w:rsidRPr="0089284E">
              <w:rPr>
                <w:rFonts w:asciiTheme="majorHAnsi" w:hAnsiTheme="majorHAnsi"/>
                <w:color w:val="000000"/>
                <w:sz w:val="16"/>
                <w:szCs w:val="16"/>
              </w:rPr>
              <w:br/>
              <w:t xml:space="preserve">3. 25 PNP and farmer NGOs participants trained on monitoring issues and prognosis and early warning (Agromet) (AL)                                                                                                                                      4. Over 60 tea gatherers in Prespa in Macedonia, Albania and Greece were trained on sustainable </w:t>
            </w:r>
            <w:r w:rsidR="00355DB4" w:rsidRPr="0089284E">
              <w:rPr>
                <w:rFonts w:asciiTheme="majorHAnsi" w:hAnsiTheme="majorHAnsi"/>
                <w:color w:val="000000"/>
                <w:sz w:val="16"/>
                <w:szCs w:val="16"/>
              </w:rPr>
              <w:t>techniques</w:t>
            </w:r>
            <w:r w:rsidRPr="0089284E">
              <w:rPr>
                <w:rFonts w:asciiTheme="majorHAnsi" w:hAnsiTheme="majorHAnsi"/>
                <w:color w:val="000000"/>
                <w:sz w:val="16"/>
                <w:szCs w:val="16"/>
              </w:rPr>
              <w:t xml:space="preserve"> on tea gathering and conservation of the mountain tea - Sideritis Raeseri . (TB)                                                                                                               5. Over 60 stakeholders from Prespa including primary and high school teachers introduced to pririty species and habitats and conservation efforts (TB).</w:t>
            </w:r>
          </w:p>
        </w:tc>
      </w:tr>
      <w:tr w:rsidR="00E660DB" w:rsidRPr="0089284E" w:rsidTr="0089284E">
        <w:trPr>
          <w:trHeight w:val="1124"/>
        </w:trPr>
        <w:tc>
          <w:tcPr>
            <w:tcW w:w="1350" w:type="dxa"/>
            <w:vMerge/>
            <w:shd w:val="clear" w:color="auto" w:fill="auto"/>
            <w:hideMark/>
          </w:tcPr>
          <w:p w:rsidR="00E660DB" w:rsidRPr="0089284E" w:rsidRDefault="00E660DB" w:rsidP="00355DB4">
            <w:pPr>
              <w:rPr>
                <w:rFonts w:asciiTheme="majorHAnsi" w:hAnsiTheme="majorHAnsi"/>
                <w:color w:val="000000"/>
                <w:sz w:val="16"/>
                <w:szCs w:val="16"/>
              </w:rPr>
            </w:pP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Management tools for</w:t>
            </w:r>
            <w:r w:rsidRPr="0089284E">
              <w:rPr>
                <w:rFonts w:asciiTheme="majorHAnsi" w:hAnsiTheme="majorHAnsi"/>
                <w:color w:val="000000"/>
                <w:sz w:val="16"/>
                <w:szCs w:val="16"/>
              </w:rPr>
              <w:br/>
              <w:t>IEM approach</w:t>
            </w: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Not defined</w:t>
            </w:r>
          </w:p>
        </w:tc>
        <w:tc>
          <w:tcPr>
            <w:tcW w:w="252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Incentives,</w:t>
            </w:r>
            <w:r w:rsidRPr="0089284E">
              <w:rPr>
                <w:rFonts w:asciiTheme="majorHAnsi" w:hAnsiTheme="majorHAnsi"/>
                <w:color w:val="000000"/>
                <w:sz w:val="16"/>
                <w:szCs w:val="16"/>
              </w:rPr>
              <w:br/>
              <w:t>information, communication provided</w:t>
            </w:r>
          </w:p>
        </w:tc>
        <w:tc>
          <w:tcPr>
            <w:tcW w:w="738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 xml:space="preserve">1. Prespa Park Management Committee functional and performing planning and management tasks; 2 meetings held during reporting period. (AL) </w:t>
            </w:r>
            <w:r w:rsidRPr="0089284E">
              <w:rPr>
                <w:rFonts w:asciiTheme="majorHAnsi" w:hAnsiTheme="majorHAnsi"/>
                <w:color w:val="000000"/>
                <w:sz w:val="16"/>
                <w:szCs w:val="16"/>
              </w:rPr>
              <w:br/>
              <w:t xml:space="preserve">2.  Fisherman and farmer associations are assisted progressively and trainings provided. (AL)  </w:t>
            </w:r>
            <w:r w:rsidRPr="0089284E">
              <w:rPr>
                <w:rFonts w:asciiTheme="majorHAnsi" w:hAnsiTheme="majorHAnsi"/>
                <w:color w:val="000000"/>
                <w:sz w:val="16"/>
                <w:szCs w:val="16"/>
              </w:rPr>
              <w:br/>
              <w:t>3.  Joint activities are accomplished with KfW /OBF at the Prespa Park.(AL)</w:t>
            </w:r>
            <w:r w:rsidRPr="0089284E">
              <w:rPr>
                <w:rFonts w:asciiTheme="majorHAnsi" w:hAnsiTheme="majorHAnsi"/>
                <w:color w:val="000000"/>
                <w:sz w:val="16"/>
                <w:szCs w:val="16"/>
              </w:rPr>
              <w:br/>
              <w:t xml:space="preserve">4.  Celebration of wetland day, 2 February (AL)                                  5.   Reports from piloted parts of the Transboundary Monitoring System leading to adjustment of the system  and an  Adjustment Study were completed in this period. (TB)                                                                                                                                                                                         6.  Subsidiary legislation (decree) regulating the work of the national River Basin Management Councils, supported by the project is in the final stages of approval by the Government. (MK) ; Management Plan for "Ezerani" protected area  completed                                                                                                                                                                                                                                                                        </w:t>
            </w:r>
          </w:p>
        </w:tc>
      </w:tr>
      <w:tr w:rsidR="00E660DB" w:rsidRPr="0089284E" w:rsidTr="0089284E">
        <w:trPr>
          <w:trHeight w:val="2582"/>
        </w:trPr>
        <w:tc>
          <w:tcPr>
            <w:tcW w:w="1350" w:type="dxa"/>
            <w:vMerge w:val="restart"/>
            <w:shd w:val="clear" w:color="auto" w:fill="auto"/>
            <w:hideMark/>
          </w:tcPr>
          <w:p w:rsidR="00E660DB" w:rsidRPr="00FC1E0C" w:rsidRDefault="00E660DB" w:rsidP="00355DB4">
            <w:pPr>
              <w:rPr>
                <w:rFonts w:asciiTheme="majorHAnsi" w:hAnsiTheme="majorHAnsi"/>
                <w:color w:val="000000"/>
                <w:sz w:val="16"/>
                <w:szCs w:val="16"/>
              </w:rPr>
            </w:pPr>
            <w:r w:rsidRPr="00981CE9">
              <w:rPr>
                <w:rFonts w:asciiTheme="majorHAnsi" w:hAnsiTheme="majorHAnsi"/>
                <w:color w:val="000000"/>
                <w:sz w:val="16"/>
                <w:szCs w:val="16"/>
              </w:rPr>
              <w:t xml:space="preserve">Outcome 1: Stakeholders strengthen legal and regulatory enabling environment and establish land and water use management basis for maintaining and restoring </w:t>
            </w:r>
            <w:r w:rsidRPr="004F4FCE">
              <w:rPr>
                <w:rFonts w:asciiTheme="majorHAnsi" w:hAnsiTheme="majorHAnsi"/>
                <w:color w:val="000000"/>
                <w:sz w:val="16"/>
                <w:szCs w:val="16"/>
              </w:rPr>
              <w:t>ecosystem health in the Prespa lakes</w:t>
            </w:r>
          </w:p>
          <w:p w:rsidR="00E660DB" w:rsidRPr="00522AD6" w:rsidRDefault="00E660DB" w:rsidP="00355DB4">
            <w:pPr>
              <w:rPr>
                <w:rFonts w:asciiTheme="majorHAnsi" w:hAnsiTheme="majorHAnsi"/>
                <w:color w:val="000000"/>
                <w:sz w:val="16"/>
                <w:szCs w:val="16"/>
              </w:rPr>
            </w:pPr>
            <w:r w:rsidRPr="00E47796">
              <w:rPr>
                <w:rFonts w:asciiTheme="majorHAnsi" w:hAnsiTheme="majorHAnsi"/>
                <w:color w:val="000000"/>
                <w:sz w:val="16"/>
                <w:szCs w:val="16"/>
              </w:rPr>
              <w:t> </w:t>
            </w:r>
          </w:p>
          <w:p w:rsidR="00E660DB" w:rsidRPr="00C24A6A" w:rsidRDefault="00E660DB" w:rsidP="00355DB4">
            <w:pPr>
              <w:rPr>
                <w:rFonts w:asciiTheme="majorHAnsi" w:hAnsiTheme="majorHAnsi"/>
                <w:color w:val="000000"/>
                <w:sz w:val="16"/>
                <w:szCs w:val="16"/>
              </w:rPr>
            </w:pPr>
            <w:r w:rsidRPr="00C24A6A">
              <w:rPr>
                <w:rFonts w:asciiTheme="majorHAnsi" w:hAnsiTheme="majorHAnsi"/>
                <w:color w:val="000000"/>
                <w:sz w:val="16"/>
                <w:szCs w:val="16"/>
              </w:rPr>
              <w:t> </w:t>
            </w:r>
          </w:p>
          <w:p w:rsidR="00E660DB" w:rsidRPr="004B7788" w:rsidRDefault="00E660DB" w:rsidP="00355DB4">
            <w:pPr>
              <w:rPr>
                <w:rFonts w:asciiTheme="majorHAnsi" w:hAnsiTheme="majorHAnsi"/>
                <w:color w:val="000000"/>
                <w:sz w:val="16"/>
                <w:szCs w:val="16"/>
              </w:rPr>
            </w:pPr>
            <w:r w:rsidRPr="004B7788">
              <w:rPr>
                <w:rFonts w:asciiTheme="majorHAnsi" w:hAnsiTheme="majorHAnsi"/>
                <w:color w:val="000000"/>
                <w:sz w:val="16"/>
                <w:szCs w:val="16"/>
              </w:rPr>
              <w:t> </w:t>
            </w:r>
          </w:p>
          <w:p w:rsidR="00E660DB" w:rsidRPr="00C1010D" w:rsidRDefault="00E660DB" w:rsidP="00355DB4">
            <w:pPr>
              <w:rPr>
                <w:rFonts w:asciiTheme="majorHAnsi" w:hAnsiTheme="majorHAnsi"/>
                <w:color w:val="000000"/>
                <w:sz w:val="16"/>
                <w:szCs w:val="16"/>
              </w:rPr>
            </w:pPr>
            <w:r w:rsidRPr="00C1010D">
              <w:rPr>
                <w:rFonts w:asciiTheme="majorHAnsi" w:hAnsiTheme="majorHAnsi"/>
                <w:color w:val="000000"/>
                <w:sz w:val="16"/>
                <w:szCs w:val="16"/>
              </w:rPr>
              <w:t> </w:t>
            </w:r>
          </w:p>
          <w:p w:rsidR="00E660DB" w:rsidRPr="00575C91" w:rsidRDefault="00E660DB" w:rsidP="00355DB4">
            <w:pPr>
              <w:rPr>
                <w:rFonts w:asciiTheme="majorHAnsi" w:hAnsiTheme="majorHAnsi"/>
                <w:color w:val="000000"/>
                <w:sz w:val="16"/>
                <w:szCs w:val="16"/>
              </w:rPr>
            </w:pPr>
            <w:r w:rsidRPr="00575C91">
              <w:rPr>
                <w:rFonts w:asciiTheme="majorHAnsi" w:hAnsiTheme="majorHAnsi"/>
                <w:color w:val="000000"/>
                <w:sz w:val="16"/>
                <w:szCs w:val="16"/>
              </w:rPr>
              <w:t> </w:t>
            </w:r>
          </w:p>
        </w:tc>
        <w:tc>
          <w:tcPr>
            <w:tcW w:w="1530" w:type="dxa"/>
            <w:shd w:val="clear" w:color="auto" w:fill="auto"/>
            <w:hideMark/>
          </w:tcPr>
          <w:p w:rsidR="00E660DB" w:rsidRPr="00DE1184" w:rsidRDefault="00E660DB" w:rsidP="00355DB4">
            <w:pPr>
              <w:rPr>
                <w:rFonts w:asciiTheme="majorHAnsi" w:hAnsiTheme="majorHAnsi"/>
                <w:color w:val="000000"/>
                <w:sz w:val="16"/>
                <w:szCs w:val="16"/>
              </w:rPr>
            </w:pPr>
            <w:r w:rsidRPr="0097745A">
              <w:rPr>
                <w:rFonts w:asciiTheme="majorHAnsi" w:hAnsiTheme="majorHAnsi"/>
                <w:color w:val="000000"/>
                <w:sz w:val="16"/>
                <w:szCs w:val="16"/>
              </w:rPr>
              <w:t>Main sectoral laws incorporate ecosystem health objectives/priorities; strengthened regulations for wa</w:t>
            </w:r>
            <w:r w:rsidRPr="00DE1184">
              <w:rPr>
                <w:rFonts w:asciiTheme="majorHAnsi" w:hAnsiTheme="majorHAnsi"/>
                <w:color w:val="000000"/>
                <w:sz w:val="16"/>
                <w:szCs w:val="16"/>
              </w:rPr>
              <w:t>ter, spatial planning and environmental management at local level.</w:t>
            </w:r>
          </w:p>
        </w:tc>
        <w:tc>
          <w:tcPr>
            <w:tcW w:w="1530" w:type="dxa"/>
            <w:shd w:val="clear" w:color="auto" w:fill="auto"/>
            <w:hideMark/>
          </w:tcPr>
          <w:p w:rsidR="00E660DB" w:rsidRPr="00747F99" w:rsidRDefault="00E660DB" w:rsidP="00355DB4">
            <w:pPr>
              <w:rPr>
                <w:rFonts w:asciiTheme="majorHAnsi" w:hAnsiTheme="majorHAnsi"/>
                <w:color w:val="000000"/>
                <w:sz w:val="16"/>
                <w:szCs w:val="16"/>
              </w:rPr>
            </w:pPr>
            <w:r w:rsidRPr="00747F99">
              <w:rPr>
                <w:rFonts w:asciiTheme="majorHAnsi" w:hAnsiTheme="majorHAnsi"/>
                <w:color w:val="000000"/>
                <w:sz w:val="16"/>
                <w:szCs w:val="16"/>
              </w:rPr>
              <w:t>Water, Ag,</w:t>
            </w:r>
            <w:r w:rsidRPr="00747F99">
              <w:rPr>
                <w:rFonts w:asciiTheme="majorHAnsi" w:hAnsiTheme="majorHAnsi"/>
                <w:color w:val="000000"/>
                <w:sz w:val="16"/>
                <w:szCs w:val="16"/>
              </w:rPr>
              <w:br/>
              <w:t>Forest, Fishery Law do not prioritize ecosystem health</w:t>
            </w:r>
          </w:p>
        </w:tc>
        <w:tc>
          <w:tcPr>
            <w:tcW w:w="2520" w:type="dxa"/>
            <w:shd w:val="clear" w:color="auto" w:fill="auto"/>
            <w:hideMark/>
          </w:tcPr>
          <w:p w:rsidR="00E660DB" w:rsidRPr="00651359" w:rsidRDefault="00E660DB" w:rsidP="00355DB4">
            <w:pPr>
              <w:rPr>
                <w:rFonts w:asciiTheme="majorHAnsi" w:hAnsiTheme="majorHAnsi"/>
                <w:color w:val="000000"/>
                <w:sz w:val="16"/>
                <w:szCs w:val="16"/>
              </w:rPr>
            </w:pPr>
            <w:r w:rsidRPr="00F901DA">
              <w:rPr>
                <w:rFonts w:asciiTheme="majorHAnsi" w:hAnsiTheme="majorHAnsi"/>
                <w:color w:val="000000"/>
                <w:sz w:val="16"/>
                <w:szCs w:val="16"/>
              </w:rPr>
              <w:t>In-stream flows for fish become priority use of water;</w:t>
            </w:r>
            <w:r w:rsidRPr="00F901DA">
              <w:rPr>
                <w:rFonts w:asciiTheme="majorHAnsi" w:hAnsiTheme="majorHAnsi"/>
                <w:color w:val="000000"/>
                <w:sz w:val="16"/>
                <w:szCs w:val="16"/>
              </w:rPr>
              <w:br/>
            </w:r>
            <w:r w:rsidRPr="00F901DA">
              <w:rPr>
                <w:rFonts w:asciiTheme="majorHAnsi" w:hAnsiTheme="majorHAnsi"/>
                <w:color w:val="000000"/>
                <w:sz w:val="16"/>
                <w:szCs w:val="16"/>
              </w:rPr>
              <w:br/>
              <w:t>Ag/pesti</w:t>
            </w:r>
            <w:r w:rsidRPr="00B15342">
              <w:rPr>
                <w:rFonts w:asciiTheme="majorHAnsi" w:hAnsiTheme="majorHAnsi"/>
                <w:color w:val="000000"/>
                <w:sz w:val="16"/>
                <w:szCs w:val="16"/>
              </w:rPr>
              <w:t>cide certification criteria strengthened for aquatic ecosystem health;</w:t>
            </w:r>
            <w:r w:rsidRPr="00B15342">
              <w:rPr>
                <w:rFonts w:asciiTheme="majorHAnsi" w:hAnsiTheme="majorHAnsi"/>
                <w:color w:val="000000"/>
                <w:sz w:val="16"/>
                <w:szCs w:val="16"/>
              </w:rPr>
              <w:br/>
            </w:r>
            <w:r w:rsidRPr="00B15342">
              <w:rPr>
                <w:rFonts w:asciiTheme="majorHAnsi" w:hAnsiTheme="majorHAnsi"/>
                <w:color w:val="000000"/>
                <w:sz w:val="16"/>
                <w:szCs w:val="16"/>
              </w:rPr>
              <w:br/>
              <w:t>Forest law incorporates maximizing ecosystem services as priority objective;</w:t>
            </w:r>
            <w:r w:rsidRPr="00B15342">
              <w:rPr>
                <w:rFonts w:asciiTheme="majorHAnsi" w:hAnsiTheme="majorHAnsi"/>
                <w:color w:val="000000"/>
                <w:sz w:val="16"/>
                <w:szCs w:val="16"/>
              </w:rPr>
              <w:br/>
            </w:r>
            <w:r w:rsidRPr="00B15342">
              <w:rPr>
                <w:rFonts w:asciiTheme="majorHAnsi" w:hAnsiTheme="majorHAnsi"/>
                <w:color w:val="000000"/>
                <w:sz w:val="16"/>
                <w:szCs w:val="16"/>
              </w:rPr>
              <w:br/>
              <w:t>Regulations for local water use management, spatial plan enforcement and environmental management</w:t>
            </w:r>
            <w:r w:rsidRPr="00B15342">
              <w:rPr>
                <w:rFonts w:asciiTheme="majorHAnsi" w:hAnsiTheme="majorHAnsi"/>
                <w:color w:val="000000"/>
                <w:sz w:val="16"/>
                <w:szCs w:val="16"/>
              </w:rPr>
              <w:br/>
              <w:t xml:space="preserve">adopted </w:t>
            </w:r>
            <w:r w:rsidRPr="00651359">
              <w:rPr>
                <w:rFonts w:asciiTheme="majorHAnsi" w:hAnsiTheme="majorHAnsi"/>
                <w:color w:val="000000"/>
                <w:sz w:val="16"/>
                <w:szCs w:val="16"/>
              </w:rPr>
              <w:t>by EoY</w:t>
            </w:r>
            <w:r w:rsidRPr="00651359">
              <w:rPr>
                <w:rFonts w:asciiTheme="majorHAnsi" w:hAnsiTheme="majorHAnsi"/>
                <w:color w:val="000000"/>
                <w:sz w:val="16"/>
                <w:szCs w:val="16"/>
              </w:rPr>
              <w:br/>
              <w:t>3.</w:t>
            </w:r>
          </w:p>
        </w:tc>
        <w:tc>
          <w:tcPr>
            <w:tcW w:w="7380" w:type="dxa"/>
            <w:shd w:val="clear" w:color="auto" w:fill="auto"/>
            <w:hideMark/>
          </w:tcPr>
          <w:p w:rsidR="00E660DB" w:rsidRPr="00101FA5" w:rsidRDefault="00E660DB" w:rsidP="00355DB4">
            <w:pPr>
              <w:rPr>
                <w:rFonts w:asciiTheme="majorHAnsi" w:hAnsiTheme="majorHAnsi"/>
                <w:color w:val="000000"/>
                <w:sz w:val="16"/>
                <w:szCs w:val="16"/>
              </w:rPr>
            </w:pPr>
            <w:r w:rsidRPr="00EF0459">
              <w:rPr>
                <w:rFonts w:asciiTheme="majorHAnsi" w:hAnsiTheme="majorHAnsi"/>
                <w:color w:val="000000"/>
                <w:sz w:val="16"/>
                <w:szCs w:val="16"/>
              </w:rPr>
              <w:t>1. The public forest enterprise is adequately operating the nursery, and using the equipment provided by the project and contributes substantially to other project related activities (e.g. watersh</w:t>
            </w:r>
            <w:r w:rsidRPr="00356565">
              <w:rPr>
                <w:rFonts w:asciiTheme="majorHAnsi" w:hAnsiTheme="majorHAnsi"/>
                <w:color w:val="000000"/>
                <w:sz w:val="16"/>
                <w:szCs w:val="16"/>
              </w:rPr>
              <w:t xml:space="preserve">ed management council, consultations on Ezerani protected area and other).(MK)                                                       2. Th Watershed Management Plan for Prespa was completed and </w:t>
            </w:r>
            <w:r w:rsidR="00355DB4" w:rsidRPr="00876331">
              <w:rPr>
                <w:rFonts w:asciiTheme="majorHAnsi" w:hAnsiTheme="majorHAnsi"/>
                <w:color w:val="000000"/>
                <w:sz w:val="16"/>
                <w:szCs w:val="16"/>
              </w:rPr>
              <w:t>submitted</w:t>
            </w:r>
            <w:r w:rsidRPr="00572FEB">
              <w:rPr>
                <w:rFonts w:asciiTheme="majorHAnsi" w:hAnsiTheme="majorHAnsi"/>
                <w:color w:val="000000"/>
                <w:sz w:val="16"/>
                <w:szCs w:val="16"/>
              </w:rPr>
              <w:t xml:space="preserve"> to the national authorities for endorsement followin</w:t>
            </w:r>
            <w:r w:rsidRPr="00CA5215">
              <w:rPr>
                <w:rFonts w:asciiTheme="majorHAnsi" w:hAnsiTheme="majorHAnsi"/>
                <w:color w:val="000000"/>
                <w:sz w:val="16"/>
                <w:szCs w:val="16"/>
              </w:rPr>
              <w:t>g national procedures (MK)                                                                                                                                            3. The bylaw on establishment of watershed management councils was adopted by the Governmn</w:t>
            </w:r>
            <w:r w:rsidRPr="002040E2">
              <w:rPr>
                <w:rFonts w:asciiTheme="majorHAnsi" w:hAnsiTheme="majorHAnsi"/>
                <w:color w:val="000000"/>
                <w:sz w:val="16"/>
                <w:szCs w:val="16"/>
              </w:rPr>
              <w:t xml:space="preserve">ent. The bylaw, which is a result of the work on the Watershed Management plan/Watershed councul will regulating the work of the national River Basin Management councils for other river basins in Macedonia. (MK)                                             </w:t>
            </w:r>
            <w:r w:rsidRPr="009D2056">
              <w:rPr>
                <w:rFonts w:asciiTheme="majorHAnsi" w:hAnsiTheme="majorHAnsi"/>
                <w:color w:val="000000"/>
                <w:sz w:val="16"/>
                <w:szCs w:val="16"/>
              </w:rPr>
              <w:t xml:space="preserve">                                                   4.  The new water law and respective regulatory actions are in progress. The ministry of environment has established the Prespa basin authority (AL)</w:t>
            </w:r>
            <w:r w:rsidRPr="009D2056">
              <w:rPr>
                <w:rFonts w:asciiTheme="majorHAnsi" w:hAnsiTheme="majorHAnsi"/>
                <w:color w:val="000000"/>
                <w:sz w:val="16"/>
                <w:szCs w:val="16"/>
              </w:rPr>
              <w:br/>
              <w:t>5. The Management Plan for Prespa Park is under developm</w:t>
            </w:r>
            <w:r w:rsidRPr="00101FA5">
              <w:rPr>
                <w:rFonts w:asciiTheme="majorHAnsi" w:hAnsiTheme="majorHAnsi"/>
                <w:color w:val="000000"/>
                <w:sz w:val="16"/>
                <w:szCs w:val="16"/>
              </w:rPr>
              <w:t>ent by KfW project with input and support from with information, studies and assessment performed from UNDP project (AL)</w:t>
            </w:r>
            <w:r w:rsidRPr="00101FA5">
              <w:rPr>
                <w:rFonts w:asciiTheme="majorHAnsi" w:hAnsiTheme="majorHAnsi"/>
                <w:color w:val="000000"/>
                <w:sz w:val="16"/>
                <w:szCs w:val="16"/>
              </w:rPr>
              <w:br/>
              <w:t>6.The Management committee is supervising, assisting and coordinating all the projects in the Park. (AL)</w:t>
            </w:r>
          </w:p>
        </w:tc>
      </w:tr>
      <w:tr w:rsidR="00E660DB" w:rsidRPr="0089284E" w:rsidTr="0089284E">
        <w:trPr>
          <w:trHeight w:val="1331"/>
        </w:trPr>
        <w:tc>
          <w:tcPr>
            <w:tcW w:w="1350" w:type="dxa"/>
            <w:vMerge/>
            <w:shd w:val="clear" w:color="auto" w:fill="auto"/>
            <w:hideMark/>
          </w:tcPr>
          <w:p w:rsidR="00E660DB" w:rsidRPr="0089284E" w:rsidRDefault="00E660DB" w:rsidP="00355DB4">
            <w:pPr>
              <w:rPr>
                <w:rFonts w:asciiTheme="majorHAnsi" w:hAnsiTheme="majorHAnsi"/>
                <w:color w:val="000000"/>
                <w:sz w:val="16"/>
                <w:szCs w:val="16"/>
              </w:rPr>
            </w:pP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Replication:</w:t>
            </w:r>
            <w:r w:rsidRPr="0089284E">
              <w:rPr>
                <w:rFonts w:asciiTheme="majorHAnsi" w:hAnsiTheme="majorHAnsi"/>
                <w:color w:val="000000"/>
                <w:sz w:val="16"/>
                <w:szCs w:val="16"/>
              </w:rPr>
              <w:br/>
              <w:t>Watershed planning manual adopted as official manual by MoEPP and MoEFWM for rest of country</w:t>
            </w: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No manual;</w:t>
            </w:r>
            <w:r w:rsidRPr="0089284E">
              <w:rPr>
                <w:rFonts w:asciiTheme="majorHAnsi" w:hAnsiTheme="majorHAnsi"/>
                <w:color w:val="000000"/>
                <w:sz w:val="16"/>
                <w:szCs w:val="16"/>
              </w:rPr>
              <w:br/>
              <w:t>replication not facilitated.</w:t>
            </w:r>
          </w:p>
        </w:tc>
        <w:tc>
          <w:tcPr>
            <w:tcW w:w="252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Manual</w:t>
            </w:r>
            <w:r w:rsidRPr="0089284E">
              <w:rPr>
                <w:rFonts w:asciiTheme="majorHAnsi" w:hAnsiTheme="majorHAnsi"/>
                <w:color w:val="000000"/>
                <w:sz w:val="16"/>
                <w:szCs w:val="16"/>
              </w:rPr>
              <w:br/>
              <w:t>integrated into watershed planning nationwide by EoY 4.</w:t>
            </w:r>
          </w:p>
        </w:tc>
        <w:tc>
          <w:tcPr>
            <w:tcW w:w="738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1. A watershed manual capturing the lessons leaned and practices from the watershed management planning process was completed and disseminated. (MK).                                             2. A consolidated</w:t>
            </w:r>
            <w:r w:rsidR="00355DB4" w:rsidRPr="0089284E">
              <w:rPr>
                <w:rFonts w:asciiTheme="majorHAnsi" w:hAnsiTheme="majorHAnsi"/>
                <w:color w:val="000000"/>
                <w:sz w:val="16"/>
                <w:szCs w:val="16"/>
              </w:rPr>
              <w:t xml:space="preserve"> report was prepared, published</w:t>
            </w:r>
            <w:r w:rsidRPr="0089284E">
              <w:rPr>
                <w:rFonts w:asciiTheme="majorHAnsi" w:hAnsiTheme="majorHAnsi"/>
                <w:color w:val="000000"/>
                <w:sz w:val="16"/>
                <w:szCs w:val="16"/>
              </w:rPr>
              <w:t xml:space="preserve"> and widely </w:t>
            </w:r>
            <w:r w:rsidR="00355DB4" w:rsidRPr="0089284E">
              <w:rPr>
                <w:rFonts w:asciiTheme="majorHAnsi" w:hAnsiTheme="majorHAnsi"/>
                <w:color w:val="000000"/>
                <w:sz w:val="16"/>
                <w:szCs w:val="16"/>
              </w:rPr>
              <w:t>disseminated</w:t>
            </w:r>
            <w:r w:rsidRPr="0089284E">
              <w:rPr>
                <w:rFonts w:asciiTheme="majorHAnsi" w:hAnsiTheme="majorHAnsi"/>
                <w:color w:val="000000"/>
                <w:sz w:val="16"/>
                <w:szCs w:val="16"/>
              </w:rPr>
              <w:t xml:space="preserve"> to project stakeholders and other institutions. (AL)</w:t>
            </w:r>
          </w:p>
        </w:tc>
      </w:tr>
      <w:tr w:rsidR="00E660DB" w:rsidRPr="0089284E" w:rsidTr="0089284E">
        <w:trPr>
          <w:trHeight w:val="296"/>
        </w:trPr>
        <w:tc>
          <w:tcPr>
            <w:tcW w:w="1350" w:type="dxa"/>
            <w:vMerge/>
            <w:shd w:val="clear" w:color="auto" w:fill="auto"/>
            <w:hideMark/>
          </w:tcPr>
          <w:p w:rsidR="00E660DB" w:rsidRPr="0089284E" w:rsidRDefault="00E660DB" w:rsidP="00355DB4">
            <w:pPr>
              <w:rPr>
                <w:rFonts w:asciiTheme="majorHAnsi" w:hAnsiTheme="majorHAnsi"/>
                <w:color w:val="000000"/>
                <w:sz w:val="16"/>
                <w:szCs w:val="16"/>
              </w:rPr>
            </w:pP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Spatial plan (MK, GR)/LEAP (AL) incorporate ecosystem management objectives in detail</w:t>
            </w: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No LEAP in place;</w:t>
            </w:r>
            <w:r w:rsidRPr="0089284E">
              <w:rPr>
                <w:rFonts w:asciiTheme="majorHAnsi" w:hAnsiTheme="majorHAnsi"/>
                <w:color w:val="000000"/>
                <w:sz w:val="16"/>
                <w:szCs w:val="16"/>
              </w:rPr>
              <w:br/>
              <w:t>Spatial plan</w:t>
            </w:r>
            <w:r w:rsidRPr="0089284E">
              <w:rPr>
                <w:rFonts w:asciiTheme="majorHAnsi" w:hAnsiTheme="majorHAnsi"/>
                <w:color w:val="000000"/>
                <w:sz w:val="16"/>
                <w:szCs w:val="16"/>
              </w:rPr>
              <w:br/>
              <w:t>in MK ad GR</w:t>
            </w:r>
            <w:r w:rsidRPr="0089284E">
              <w:rPr>
                <w:rFonts w:asciiTheme="majorHAnsi" w:hAnsiTheme="majorHAnsi"/>
                <w:color w:val="000000"/>
                <w:sz w:val="16"/>
                <w:szCs w:val="16"/>
              </w:rPr>
              <w:br/>
              <w:t>under way</w:t>
            </w:r>
          </w:p>
        </w:tc>
        <w:tc>
          <w:tcPr>
            <w:tcW w:w="252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Spatial plans completed in MK ad GR by EoY 2 and approved by EoY3</w:t>
            </w:r>
          </w:p>
        </w:tc>
        <w:tc>
          <w:tcPr>
            <w:tcW w:w="738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1. The spatial planning assessment is duly taken into account durign the management planing process as well as during the tourism strategy development. (AL)                                                                  2. The activities related to spatial plan were completed and reported earlier. It should be noted that the Watershed Management Plan also provides a very strong legal basis for establishment of an integrated land- and water-use management at watershed scale. This aspect has been accepted by all key stakeholders. (MK)</w:t>
            </w:r>
          </w:p>
        </w:tc>
      </w:tr>
      <w:tr w:rsidR="00E660DB" w:rsidRPr="0089284E" w:rsidTr="0089284E">
        <w:trPr>
          <w:trHeight w:val="170"/>
        </w:trPr>
        <w:tc>
          <w:tcPr>
            <w:tcW w:w="1350" w:type="dxa"/>
            <w:vMerge/>
            <w:shd w:val="clear" w:color="auto" w:fill="auto"/>
            <w:hideMark/>
          </w:tcPr>
          <w:p w:rsidR="00E660DB" w:rsidRPr="0089284E" w:rsidRDefault="00E660DB" w:rsidP="00355DB4">
            <w:pPr>
              <w:rPr>
                <w:rFonts w:asciiTheme="majorHAnsi" w:hAnsiTheme="majorHAnsi"/>
                <w:color w:val="000000"/>
                <w:sz w:val="16"/>
                <w:szCs w:val="16"/>
              </w:rPr>
            </w:pP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Strengthened local</w:t>
            </w:r>
            <w:r w:rsidRPr="0089284E">
              <w:rPr>
                <w:rFonts w:asciiTheme="majorHAnsi" w:hAnsiTheme="majorHAnsi"/>
                <w:color w:val="000000"/>
                <w:sz w:val="16"/>
                <w:szCs w:val="16"/>
              </w:rPr>
              <w:br/>
              <w:t>management of important riparian habitat of both lakes in AL, MK and</w:t>
            </w:r>
            <w:r w:rsidRPr="0089284E">
              <w:rPr>
                <w:rFonts w:asciiTheme="majorHAnsi" w:hAnsiTheme="majorHAnsi"/>
                <w:color w:val="000000"/>
                <w:sz w:val="16"/>
                <w:szCs w:val="16"/>
              </w:rPr>
              <w:br/>
              <w:t>GR*.</w:t>
            </w: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No</w:t>
            </w:r>
            <w:r w:rsidRPr="0089284E">
              <w:rPr>
                <w:rFonts w:asciiTheme="majorHAnsi" w:hAnsiTheme="majorHAnsi"/>
                <w:color w:val="000000"/>
                <w:sz w:val="16"/>
                <w:szCs w:val="16"/>
              </w:rPr>
              <w:br/>
              <w:t>conservation n or management t of shoreline habitat in AL and</w:t>
            </w:r>
            <w:r w:rsidRPr="0089284E">
              <w:rPr>
                <w:rFonts w:asciiTheme="majorHAnsi" w:hAnsiTheme="majorHAnsi"/>
                <w:color w:val="000000"/>
                <w:sz w:val="16"/>
                <w:szCs w:val="16"/>
              </w:rPr>
              <w:br/>
              <w:t>MK;</w:t>
            </w:r>
            <w:r w:rsidRPr="0089284E">
              <w:rPr>
                <w:rFonts w:asciiTheme="majorHAnsi" w:hAnsiTheme="majorHAnsi"/>
                <w:color w:val="000000"/>
                <w:sz w:val="16"/>
                <w:szCs w:val="16"/>
              </w:rPr>
              <w:br/>
            </w:r>
            <w:r w:rsidRPr="0089284E">
              <w:rPr>
                <w:rFonts w:asciiTheme="majorHAnsi" w:hAnsiTheme="majorHAnsi"/>
                <w:color w:val="000000"/>
                <w:sz w:val="16"/>
                <w:szCs w:val="16"/>
              </w:rPr>
              <w:br/>
              <w:t>Active conservation n management t of wetland habitats in Lake Micro Prespa, GR*.</w:t>
            </w:r>
          </w:p>
        </w:tc>
        <w:tc>
          <w:tcPr>
            <w:tcW w:w="252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Approved</w:t>
            </w:r>
            <w:r w:rsidRPr="0089284E">
              <w:rPr>
                <w:rFonts w:asciiTheme="majorHAnsi" w:hAnsiTheme="majorHAnsi"/>
                <w:color w:val="000000"/>
                <w:sz w:val="16"/>
                <w:szCs w:val="16"/>
              </w:rPr>
              <w:br/>
              <w:t>protected area managements plans in the 3 countries and definition of institutions for their implementation n by EoY 3;</w:t>
            </w:r>
            <w:r w:rsidRPr="0089284E">
              <w:rPr>
                <w:rFonts w:asciiTheme="majorHAnsi" w:hAnsiTheme="majorHAnsi"/>
                <w:color w:val="000000"/>
                <w:sz w:val="16"/>
                <w:szCs w:val="16"/>
              </w:rPr>
              <w:br/>
            </w:r>
            <w:r w:rsidRPr="0089284E">
              <w:rPr>
                <w:rFonts w:asciiTheme="majorHAnsi" w:hAnsiTheme="majorHAnsi"/>
                <w:color w:val="000000"/>
                <w:sz w:val="16"/>
                <w:szCs w:val="16"/>
              </w:rPr>
              <w:br/>
              <w:t>Other important riparian habitat to be defined by EoY2 and</w:t>
            </w:r>
            <w:r w:rsidRPr="0089284E">
              <w:rPr>
                <w:rFonts w:asciiTheme="majorHAnsi" w:hAnsiTheme="majorHAnsi"/>
                <w:color w:val="000000"/>
                <w:sz w:val="16"/>
                <w:szCs w:val="16"/>
              </w:rPr>
              <w:br/>
              <w:t>50% of these areas managed well by EoY 4 (MK+AL).</w:t>
            </w:r>
            <w:r w:rsidRPr="0089284E">
              <w:rPr>
                <w:rFonts w:asciiTheme="majorHAnsi" w:hAnsiTheme="majorHAnsi"/>
                <w:color w:val="000000"/>
                <w:sz w:val="16"/>
                <w:szCs w:val="16"/>
              </w:rPr>
              <w:br/>
            </w:r>
            <w:r w:rsidRPr="0089284E">
              <w:rPr>
                <w:rFonts w:asciiTheme="majorHAnsi" w:hAnsiTheme="majorHAnsi"/>
                <w:color w:val="000000"/>
                <w:sz w:val="16"/>
                <w:szCs w:val="16"/>
              </w:rPr>
              <w:br/>
              <w:t>100 ha of wet meadows in GR* by EoY</w:t>
            </w:r>
            <w:r w:rsidRPr="0089284E">
              <w:rPr>
                <w:rFonts w:asciiTheme="majorHAnsi" w:hAnsiTheme="majorHAnsi"/>
                <w:color w:val="000000"/>
                <w:sz w:val="16"/>
                <w:szCs w:val="16"/>
              </w:rPr>
              <w:br/>
              <w:t>4.</w:t>
            </w:r>
          </w:p>
        </w:tc>
        <w:tc>
          <w:tcPr>
            <w:tcW w:w="738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1. Following the recommendation in the Study for revalorization of Ezerani protected area, the Government enacted a re-designation Law on Ezerani. A Management Plan for the Ezerani protected area is also prepared, in accordance with the national regulations, the primary management objectives, and the category type proposed in the revalorization study. The Management Plan has been handed over to the designated management authority - Municipality of Resen. The process has been conducted in a highly participatory environment through various formal and informal communication mechanisms, such as the stakeholder advisory body called Ezerani Council which has been established for the purpose.(MK)                                                                       2. In parallel with the management planning process, the project supported the preparation of an Economic Valuation Report aiming at raising the awareness of the economic values of effective conservation, evaluating the costs and benefits of specific habitat management actions to inform conservation and public funding decisions, identifying financial opportunities for the protected area and neighboring communities associated with the provision of ecosystem services and with specific management actions; and  generating participation and training opportunities for conservation managers and decision-makers in economic valuation for integrated ecosystem management. (MK)             3. In cooperation with KfW further Prespa National Park admiration improvement in respect to park management practice. (AL)</w:t>
            </w:r>
            <w:r w:rsidRPr="0089284E">
              <w:rPr>
                <w:rFonts w:asciiTheme="majorHAnsi" w:hAnsiTheme="majorHAnsi"/>
                <w:color w:val="000000"/>
                <w:sz w:val="16"/>
                <w:szCs w:val="16"/>
              </w:rPr>
              <w:br/>
              <w:t>4.  The KfW project is developing the management plan;</w:t>
            </w:r>
            <w:r w:rsidRPr="0089284E">
              <w:rPr>
                <w:rFonts w:asciiTheme="majorHAnsi" w:hAnsiTheme="majorHAnsi"/>
                <w:color w:val="000000"/>
                <w:sz w:val="16"/>
                <w:szCs w:val="16"/>
              </w:rPr>
              <w:br/>
              <w:t>2,3 km2 of lake and 4,5 km of shoreline habitats are kept continuously under improved management practice.(AL)</w:t>
            </w:r>
            <w:r w:rsidRPr="0089284E">
              <w:rPr>
                <w:rFonts w:asciiTheme="majorHAnsi" w:hAnsiTheme="majorHAnsi"/>
                <w:color w:val="000000"/>
                <w:sz w:val="16"/>
                <w:szCs w:val="16"/>
              </w:rPr>
              <w:br/>
              <w:t xml:space="preserve">5. The Management Committee provides synergies among fishermen and farmers organised in associations (AL) </w:t>
            </w:r>
            <w:r w:rsidRPr="0089284E">
              <w:rPr>
                <w:rFonts w:asciiTheme="majorHAnsi" w:hAnsiTheme="majorHAnsi"/>
                <w:color w:val="000000"/>
                <w:sz w:val="16"/>
                <w:szCs w:val="16"/>
              </w:rPr>
              <w:br/>
              <w:t>6.  Assistance provided to fisherman NGOs in terms of equipment and trainings (AL)</w:t>
            </w:r>
            <w:r w:rsidRPr="0089284E">
              <w:rPr>
                <w:rFonts w:asciiTheme="majorHAnsi" w:hAnsiTheme="majorHAnsi"/>
                <w:color w:val="000000"/>
                <w:sz w:val="16"/>
                <w:szCs w:val="16"/>
              </w:rPr>
              <w:br/>
              <w:t>7. Training for Park Administration and pilot monitoring are accomplished (AL)</w:t>
            </w:r>
            <w:r w:rsidRPr="0089284E">
              <w:rPr>
                <w:rFonts w:asciiTheme="majorHAnsi" w:hAnsiTheme="majorHAnsi"/>
                <w:color w:val="000000"/>
                <w:sz w:val="16"/>
                <w:szCs w:val="16"/>
              </w:rPr>
              <w:br/>
              <w:t xml:space="preserve">8. Participation at TB conservation action plans and small-scale conservation interventions for 2 species (mountain tea, brown bear) and 3 habitats (reed beds, caves and juniper forest) of TB importance (AL) </w:t>
            </w:r>
          </w:p>
        </w:tc>
      </w:tr>
      <w:tr w:rsidR="00E660DB" w:rsidRPr="0089284E" w:rsidTr="0089284E">
        <w:trPr>
          <w:trHeight w:val="2681"/>
        </w:trPr>
        <w:tc>
          <w:tcPr>
            <w:tcW w:w="1350" w:type="dxa"/>
            <w:vMerge/>
            <w:shd w:val="clear" w:color="auto" w:fill="auto"/>
            <w:hideMark/>
          </w:tcPr>
          <w:p w:rsidR="00E660DB" w:rsidRPr="0089284E" w:rsidRDefault="00E660DB" w:rsidP="00355DB4">
            <w:pPr>
              <w:rPr>
                <w:rFonts w:asciiTheme="majorHAnsi" w:hAnsiTheme="majorHAnsi"/>
                <w:color w:val="000000"/>
                <w:sz w:val="16"/>
                <w:szCs w:val="16"/>
              </w:rPr>
            </w:pP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Three priority</w:t>
            </w:r>
            <w:r w:rsidRPr="0089284E">
              <w:rPr>
                <w:rFonts w:asciiTheme="majorHAnsi" w:hAnsiTheme="majorHAnsi"/>
                <w:color w:val="000000"/>
                <w:sz w:val="16"/>
                <w:szCs w:val="16"/>
              </w:rPr>
              <w:br/>
              <w:t>streams (Ag. Germanos, Brajcino</w:t>
            </w:r>
            <w:r w:rsidRPr="0089284E">
              <w:rPr>
                <w:rFonts w:asciiTheme="majorHAnsi" w:hAnsiTheme="majorHAnsi"/>
                <w:color w:val="000000"/>
                <w:sz w:val="16"/>
                <w:szCs w:val="16"/>
              </w:rPr>
              <w:br/>
              <w:t>&amp; Krani) and 1 tributary of Golema River (Leva stream) maintain environmental in- stream flow and</w:t>
            </w:r>
            <w:r w:rsidRPr="0089284E">
              <w:rPr>
                <w:rFonts w:asciiTheme="majorHAnsi" w:hAnsiTheme="majorHAnsi"/>
                <w:color w:val="000000"/>
                <w:sz w:val="16"/>
                <w:szCs w:val="16"/>
              </w:rPr>
              <w:br/>
              <w:t>water quality as</w:t>
            </w:r>
            <w:r w:rsidRPr="0089284E">
              <w:rPr>
                <w:rFonts w:asciiTheme="majorHAnsi" w:hAnsiTheme="majorHAnsi"/>
                <w:color w:val="000000"/>
                <w:sz w:val="16"/>
                <w:szCs w:val="16"/>
              </w:rPr>
              <w:br/>
              <w:t>appropriate for endemic trout (MK- GR*).</w:t>
            </w: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Currently,</w:t>
            </w:r>
            <w:r w:rsidRPr="0089284E">
              <w:rPr>
                <w:rFonts w:asciiTheme="majorHAnsi" w:hAnsiTheme="majorHAnsi"/>
                <w:color w:val="000000"/>
                <w:sz w:val="16"/>
                <w:szCs w:val="16"/>
              </w:rPr>
              <w:br/>
              <w:t>lower parts of these rivers may run dry</w:t>
            </w:r>
            <w:r w:rsidRPr="0089284E">
              <w:rPr>
                <w:rFonts w:asciiTheme="majorHAnsi" w:hAnsiTheme="majorHAnsi"/>
                <w:color w:val="000000"/>
                <w:sz w:val="16"/>
                <w:szCs w:val="16"/>
              </w:rPr>
              <w:br/>
              <w:t>in summer months and water quality is reduced by agricultural run-off and waste water</w:t>
            </w:r>
          </w:p>
        </w:tc>
        <w:tc>
          <w:tcPr>
            <w:tcW w:w="252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Environmental</w:t>
            </w:r>
            <w:r w:rsidRPr="0089284E">
              <w:rPr>
                <w:rFonts w:asciiTheme="majorHAnsi" w:hAnsiTheme="majorHAnsi"/>
                <w:color w:val="000000"/>
                <w:sz w:val="16"/>
                <w:szCs w:val="16"/>
              </w:rPr>
              <w:br/>
              <w:t>flow requirements established by EoY 3.</w:t>
            </w:r>
            <w:r w:rsidRPr="0089284E">
              <w:rPr>
                <w:rFonts w:asciiTheme="majorHAnsi" w:hAnsiTheme="majorHAnsi"/>
                <w:color w:val="000000"/>
                <w:sz w:val="16"/>
                <w:szCs w:val="16"/>
              </w:rPr>
              <w:br/>
            </w:r>
            <w:r w:rsidRPr="0089284E">
              <w:rPr>
                <w:rFonts w:asciiTheme="majorHAnsi" w:hAnsiTheme="majorHAnsi"/>
                <w:color w:val="000000"/>
                <w:sz w:val="16"/>
                <w:szCs w:val="16"/>
              </w:rPr>
              <w:br/>
              <w:t>Environmental flows maintained by end EoY5.</w:t>
            </w:r>
            <w:r w:rsidRPr="0089284E">
              <w:rPr>
                <w:rFonts w:asciiTheme="majorHAnsi" w:hAnsiTheme="majorHAnsi"/>
                <w:color w:val="000000"/>
                <w:sz w:val="16"/>
                <w:szCs w:val="16"/>
              </w:rPr>
              <w:br/>
            </w:r>
            <w:r w:rsidRPr="0089284E">
              <w:rPr>
                <w:rFonts w:asciiTheme="majorHAnsi" w:hAnsiTheme="majorHAnsi"/>
                <w:color w:val="000000"/>
                <w:sz w:val="16"/>
                <w:szCs w:val="16"/>
              </w:rPr>
              <w:br/>
              <w:t>Water quality improved through reduced of agrochemicals use by EoY3</w:t>
            </w:r>
            <w:r w:rsidRPr="0089284E">
              <w:rPr>
                <w:rFonts w:asciiTheme="majorHAnsi" w:hAnsiTheme="majorHAnsi"/>
                <w:color w:val="000000"/>
                <w:sz w:val="16"/>
                <w:szCs w:val="16"/>
              </w:rPr>
              <w:br/>
            </w:r>
            <w:r w:rsidRPr="0089284E">
              <w:rPr>
                <w:rFonts w:asciiTheme="majorHAnsi" w:hAnsiTheme="majorHAnsi"/>
                <w:color w:val="000000"/>
                <w:sz w:val="16"/>
                <w:szCs w:val="16"/>
              </w:rPr>
              <w:br/>
              <w:t>Application of small-scale waste water treatment by EoY4</w:t>
            </w:r>
            <w:r w:rsidRPr="0089284E">
              <w:rPr>
                <w:rFonts w:asciiTheme="majorHAnsi" w:hAnsiTheme="majorHAnsi"/>
                <w:color w:val="000000"/>
                <w:sz w:val="16"/>
                <w:szCs w:val="16"/>
              </w:rPr>
              <w:br/>
            </w:r>
            <w:r w:rsidRPr="0089284E">
              <w:rPr>
                <w:rFonts w:asciiTheme="majorHAnsi" w:hAnsiTheme="majorHAnsi"/>
                <w:color w:val="000000"/>
                <w:sz w:val="16"/>
                <w:szCs w:val="16"/>
              </w:rPr>
              <w:br/>
              <w:t>Species action plan endorsed and implemented by EoY 2</w:t>
            </w:r>
          </w:p>
        </w:tc>
        <w:tc>
          <w:tcPr>
            <w:tcW w:w="738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1. The Waste Water Treatment Plant in Nakolec is still not operational due to delays in completion of the works for construction of the sewage system.  At the last Project Board meeting, the Municipality of Resen and the Ministry of Environment commited to finalize the sewage system by the end of 2012 thus fulfilling their commitment towards the project.  (MK)</w:t>
            </w:r>
            <w:r w:rsidRPr="0089284E">
              <w:rPr>
                <w:rFonts w:asciiTheme="majorHAnsi" w:hAnsiTheme="majorHAnsi"/>
                <w:color w:val="000000"/>
                <w:sz w:val="16"/>
                <w:szCs w:val="16"/>
              </w:rPr>
              <w:br/>
              <w:t>2. The envrionmental flows are defined under the Watershed Management Plan which is submited for adoption by the Ministry of Envrionment and Physical Planning. (MK).                           3. Conservation plans for agreed priority species and habitats in Prespa were prepared. They include detailed analysis of treats and propose conservation measures and priority actions. (TB)                                                                                                                            4.  In order to tackle organic waste problems in Prespa, there is an ongoing parallel effort funded by the Swiss Development Cooperation Agency aimed at piloting centralized organic waste management system within the Golema Reka basin which is the key tributary to the Prespa Lake. It included construction of local collection sites, central composting facility, and other technical support to the Municipality of Resen and its public enterprise responsible for waste management  The project will be completed by early 2013. (MK)                                                                                                                                                  5.  Fully operational agricultural laboratory and trainings provided to the farmers contribute to reduced impact from agricultural activities on the quality of the water in the lake and the streams in the watershed. (MK)</w:t>
            </w:r>
          </w:p>
        </w:tc>
      </w:tr>
      <w:tr w:rsidR="00E660DB" w:rsidRPr="0089284E" w:rsidTr="0089284E">
        <w:trPr>
          <w:trHeight w:val="117"/>
        </w:trPr>
        <w:tc>
          <w:tcPr>
            <w:tcW w:w="1350" w:type="dxa"/>
            <w:vMerge/>
            <w:shd w:val="clear" w:color="auto" w:fill="auto"/>
            <w:hideMark/>
          </w:tcPr>
          <w:p w:rsidR="00E660DB" w:rsidRPr="0089284E" w:rsidRDefault="00E660DB" w:rsidP="00355DB4">
            <w:pPr>
              <w:rPr>
                <w:rFonts w:asciiTheme="majorHAnsi" w:hAnsiTheme="majorHAnsi"/>
                <w:color w:val="000000"/>
                <w:sz w:val="16"/>
                <w:szCs w:val="16"/>
              </w:rPr>
            </w:pP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Water management in</w:t>
            </w:r>
            <w:r w:rsidRPr="0089284E">
              <w:rPr>
                <w:rFonts w:asciiTheme="majorHAnsi" w:hAnsiTheme="majorHAnsi"/>
                <w:color w:val="000000"/>
                <w:sz w:val="16"/>
                <w:szCs w:val="16"/>
              </w:rPr>
              <w:br/>
              <w:t>the Prespa basin is aligned between the 3 littoral countries, considers ecosystem health needs and follows the principles of integrated basin water management</w:t>
            </w: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No</w:t>
            </w:r>
            <w:r w:rsidRPr="0089284E">
              <w:rPr>
                <w:rFonts w:asciiTheme="majorHAnsi" w:hAnsiTheme="majorHAnsi"/>
                <w:color w:val="000000"/>
                <w:sz w:val="16"/>
                <w:szCs w:val="16"/>
              </w:rPr>
              <w:br/>
              <w:t>assessment of current water uses; good ecological status not considered;</w:t>
            </w:r>
            <w:r w:rsidRPr="0089284E">
              <w:rPr>
                <w:rFonts w:asciiTheme="majorHAnsi" w:hAnsiTheme="majorHAnsi"/>
                <w:color w:val="000000"/>
                <w:sz w:val="16"/>
                <w:szCs w:val="16"/>
              </w:rPr>
              <w:br/>
              <w:t>no basin specific water management plans; no trilateral coordination mechanism</w:t>
            </w:r>
          </w:p>
        </w:tc>
        <w:tc>
          <w:tcPr>
            <w:tcW w:w="252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Establishment</w:t>
            </w:r>
            <w:r w:rsidRPr="0089284E">
              <w:rPr>
                <w:rFonts w:asciiTheme="majorHAnsi" w:hAnsiTheme="majorHAnsi"/>
                <w:color w:val="000000"/>
                <w:sz w:val="16"/>
                <w:szCs w:val="16"/>
              </w:rPr>
              <w:br/>
              <w:t>of the trilateral Working Group on Water Management (WGWM) by EoY 2.</w:t>
            </w:r>
            <w:r w:rsidRPr="0089284E">
              <w:rPr>
                <w:rFonts w:asciiTheme="majorHAnsi" w:hAnsiTheme="majorHAnsi"/>
                <w:color w:val="000000"/>
                <w:sz w:val="16"/>
                <w:szCs w:val="16"/>
              </w:rPr>
              <w:br/>
            </w:r>
            <w:r w:rsidRPr="0089284E">
              <w:rPr>
                <w:rFonts w:asciiTheme="majorHAnsi" w:hAnsiTheme="majorHAnsi"/>
                <w:color w:val="000000"/>
                <w:sz w:val="16"/>
                <w:szCs w:val="16"/>
              </w:rPr>
              <w:br/>
              <w:t>Approved and aligned water management plans with targets regarding water quality,</w:t>
            </w:r>
            <w:r w:rsidRPr="0089284E">
              <w:rPr>
                <w:rFonts w:asciiTheme="majorHAnsi" w:hAnsiTheme="majorHAnsi"/>
                <w:color w:val="000000"/>
                <w:sz w:val="16"/>
                <w:szCs w:val="16"/>
              </w:rPr>
              <w:br/>
              <w:t>integrated water uses, and ecological</w:t>
            </w:r>
            <w:r w:rsidRPr="0089284E">
              <w:rPr>
                <w:rFonts w:asciiTheme="majorHAnsi" w:hAnsiTheme="majorHAnsi"/>
                <w:color w:val="000000"/>
                <w:sz w:val="16"/>
                <w:szCs w:val="16"/>
              </w:rPr>
              <w:br/>
              <w:t>status.</w:t>
            </w:r>
            <w:r w:rsidRPr="0089284E">
              <w:rPr>
                <w:rFonts w:asciiTheme="majorHAnsi" w:hAnsiTheme="majorHAnsi"/>
                <w:color w:val="000000"/>
                <w:sz w:val="16"/>
                <w:szCs w:val="16"/>
              </w:rPr>
              <w:br/>
            </w:r>
            <w:r w:rsidRPr="0089284E">
              <w:rPr>
                <w:rFonts w:asciiTheme="majorHAnsi" w:hAnsiTheme="majorHAnsi"/>
                <w:color w:val="000000"/>
                <w:sz w:val="16"/>
                <w:szCs w:val="16"/>
              </w:rPr>
              <w:br/>
              <w:t>Regulations for local water use management adopted by EoY</w:t>
            </w:r>
            <w:r w:rsidRPr="0089284E">
              <w:rPr>
                <w:rFonts w:asciiTheme="majorHAnsi" w:hAnsiTheme="majorHAnsi"/>
                <w:color w:val="000000"/>
                <w:sz w:val="16"/>
                <w:szCs w:val="16"/>
              </w:rPr>
              <w:br/>
              <w:t>4</w:t>
            </w:r>
          </w:p>
        </w:tc>
        <w:tc>
          <w:tcPr>
            <w:tcW w:w="738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1. The Trilateral Strategic Action Programme,  the studies done as part of the Transboundary Monitoring Programme and other key transboundary strategic documents that were developed with the project support should serve as a basis for decision making on the issues related to the water quality and management once the Prespa Park Management Committee and the Tansboundary Water Management Working Group become fully operations.  At the first informal meeting of the Prespa Park Management Committee (PPMC) organized by the project in June 2012 all relevant PPMC members, the Ministries of Envrionment, the local governments and NGOs, have commited to work to on accelerating the process of operationalization of the PPMC and the establishment of the Water Management Working Goup. It is expected that this proces will be finalized by end of 2012, as soon as the Prespa Agreement is ratified by the governments of Macedonia and Greece. (TB)                                                                                                                       2. The Prespa Lake Watershed Management Plan (WMP)is the first watershed management plan prepared fully in accordance with the Macedonian Law on Waters (2008), which itself is founded on the EU Water Framework Directive and the Integrated River Basin Management principles. Thus, the WMP preparation process, as well as the document itself, have established the basic guiding principles for development of other such plans and represent invaluable accomplishments for the country as a whole. The Watershed Management plan included an initial  12-month comprehensive surveillance and monitoring of water quality and ecological status  for all the basin water bodies, based on which reference conditions have been established. The pressures on water bodies from both natural and anthropogenic origins were identified andalayzed extensively.  These pressures include the input of pollutants (e.g. nutrients and hazardous sub¬stances) and physical pressures on the water bodies (e.g. agriculture in the river corridor, drainage, watercourse maintenance, etc).</w:t>
            </w:r>
            <w:r w:rsidRPr="0089284E">
              <w:rPr>
                <w:rFonts w:asciiTheme="majorHAnsi" w:hAnsiTheme="majorHAnsi"/>
                <w:color w:val="000000"/>
                <w:sz w:val="16"/>
                <w:szCs w:val="16"/>
              </w:rPr>
              <w:br/>
              <w:t>The existing monitoring activities have been analyzed and assessed for their compliance with the requirements of the Law on Waters and other relevant national environmental laws and regulations. The absence of monitoring and data, the existing monitoring capacity and the organizational and financial aspects of required monitoring have also been analyzed in depth.</w:t>
            </w:r>
            <w:r w:rsidRPr="0089284E">
              <w:rPr>
                <w:rFonts w:asciiTheme="majorHAnsi" w:hAnsiTheme="majorHAnsi"/>
                <w:color w:val="000000"/>
                <w:sz w:val="16"/>
                <w:szCs w:val="16"/>
              </w:rPr>
              <w:br/>
              <w:t>As a result of the monitoring activities the status of all the water bodies in the Macedonian part of the Prespa basin has been determined. Environmental objectives and respective indicators, both for the general environment and for the individual water bodies in terms of their progress towards achieving good water status for all water bodies, have been identified. The economic use of water has also been analyzed, whereas the analysis has revealed significant problems regarding institutional setup and capacity, overall management deficiencies, deterioration of infrastructure, low- or no-cost recovery, and dire prospects for investment in the water sector. Based on problem analysis, a comprehensive Programme of Measures for achieving the set objectives has been developed. This consists of 45 measures aimed primarily at resolving technical and environmental issues and problems in the region. Based on the assessments, it is recommended that the WMP processes be initiated with measures at local level as the priority for the first six-year period. An economic analysis has been made of the proposed Programme of Measures. Based on the previous analyses, an Implementation Schedule for the Prespa Watershed Management Plan has been proposed.</w:t>
            </w:r>
            <w:r w:rsidRPr="0089284E">
              <w:rPr>
                <w:rFonts w:asciiTheme="majorHAnsi" w:hAnsiTheme="majorHAnsi"/>
                <w:color w:val="000000"/>
                <w:sz w:val="16"/>
                <w:szCs w:val="16"/>
              </w:rPr>
              <w:br/>
              <w:t>The comprehensiveness and the inclusive character of the WMP preparation process, along with successful promotion activities, have secured consequent funding that will be provided by the SDC for continuation of the ‘GEF Programme agenda’ in the following 6-year period (starting from July 2012). (MK)</w:t>
            </w:r>
            <w:r w:rsidRPr="0089284E">
              <w:rPr>
                <w:rFonts w:asciiTheme="majorHAnsi" w:hAnsiTheme="majorHAnsi"/>
                <w:color w:val="000000"/>
                <w:sz w:val="16"/>
                <w:szCs w:val="16"/>
              </w:rPr>
              <w:br/>
              <w:t>3.  New water law is approved and respective regulatory frame changes are in progress by the Ministry of Environment (MoEFWA ) (AL)</w:t>
            </w:r>
            <w:r w:rsidRPr="0089284E">
              <w:rPr>
                <w:rFonts w:asciiTheme="majorHAnsi" w:hAnsiTheme="majorHAnsi"/>
                <w:color w:val="000000"/>
                <w:sz w:val="16"/>
                <w:szCs w:val="16"/>
              </w:rPr>
              <w:br/>
              <w:t xml:space="preserve">4. The Management Plan for Prespa Park under development by KfW project is duly taking into account water management 4.  The Management Committee of Prespa Park is operational and two other Prespa MC meetings are organised and water issues duly addressed. (AL) </w:t>
            </w:r>
          </w:p>
        </w:tc>
      </w:tr>
      <w:tr w:rsidR="00E660DB" w:rsidRPr="0089284E" w:rsidTr="0089284E">
        <w:trPr>
          <w:trHeight w:val="2114"/>
        </w:trPr>
        <w:tc>
          <w:tcPr>
            <w:tcW w:w="1350" w:type="dxa"/>
            <w:shd w:val="clear" w:color="auto" w:fill="auto"/>
            <w:hideMark/>
          </w:tcPr>
          <w:p w:rsidR="00E660DB" w:rsidRPr="00FC1E0C" w:rsidRDefault="00E660DB" w:rsidP="00355DB4">
            <w:pPr>
              <w:rPr>
                <w:rFonts w:asciiTheme="majorHAnsi" w:hAnsiTheme="majorHAnsi"/>
                <w:color w:val="000000"/>
                <w:sz w:val="16"/>
                <w:szCs w:val="16"/>
              </w:rPr>
            </w:pPr>
            <w:r w:rsidRPr="00981CE9">
              <w:rPr>
                <w:rFonts w:asciiTheme="majorHAnsi" w:hAnsiTheme="majorHAnsi"/>
                <w:color w:val="000000"/>
                <w:sz w:val="16"/>
                <w:szCs w:val="16"/>
              </w:rPr>
              <w:t xml:space="preserve">Outcome 2: Stakeholders </w:t>
            </w:r>
            <w:r w:rsidRPr="004F4FCE">
              <w:rPr>
                <w:rFonts w:asciiTheme="majorHAnsi" w:hAnsiTheme="majorHAnsi"/>
                <w:color w:val="000000"/>
                <w:sz w:val="16"/>
                <w:szCs w:val="16"/>
              </w:rPr>
              <w:t>modify productive sector resource management practices to reduce pesticide inputs, increase habitat heterogeneity, and improve the status of target species and communities in the Prespa Basin.</w:t>
            </w:r>
          </w:p>
        </w:tc>
        <w:tc>
          <w:tcPr>
            <w:tcW w:w="1530" w:type="dxa"/>
            <w:shd w:val="clear" w:color="auto" w:fill="auto"/>
            <w:hideMark/>
          </w:tcPr>
          <w:p w:rsidR="00E660DB" w:rsidRPr="00522AD6" w:rsidRDefault="00E660DB" w:rsidP="00355DB4">
            <w:pPr>
              <w:rPr>
                <w:rFonts w:asciiTheme="majorHAnsi" w:hAnsiTheme="majorHAnsi"/>
                <w:color w:val="000000"/>
                <w:sz w:val="16"/>
                <w:szCs w:val="16"/>
              </w:rPr>
            </w:pPr>
            <w:r w:rsidRPr="00E47796">
              <w:rPr>
                <w:rFonts w:asciiTheme="majorHAnsi" w:hAnsiTheme="majorHAnsi"/>
                <w:color w:val="000000"/>
                <w:sz w:val="16"/>
                <w:szCs w:val="16"/>
              </w:rPr>
              <w:t># hectares of forest</w:t>
            </w:r>
            <w:r w:rsidRPr="00E47796">
              <w:rPr>
                <w:rFonts w:asciiTheme="majorHAnsi" w:hAnsiTheme="majorHAnsi"/>
                <w:color w:val="000000"/>
                <w:sz w:val="16"/>
                <w:szCs w:val="16"/>
              </w:rPr>
              <w:br/>
              <w:t>under improved biodiversity- oriented mana</w:t>
            </w:r>
            <w:r w:rsidRPr="00522AD6">
              <w:rPr>
                <w:rFonts w:asciiTheme="majorHAnsi" w:hAnsiTheme="majorHAnsi"/>
                <w:color w:val="000000"/>
                <w:sz w:val="16"/>
                <w:szCs w:val="16"/>
              </w:rPr>
              <w:t>gement in MK, GR*, AL Prespa.</w:t>
            </w:r>
          </w:p>
        </w:tc>
        <w:tc>
          <w:tcPr>
            <w:tcW w:w="1530" w:type="dxa"/>
            <w:shd w:val="clear" w:color="auto" w:fill="auto"/>
            <w:hideMark/>
          </w:tcPr>
          <w:p w:rsidR="00E660DB" w:rsidRPr="00C24A6A" w:rsidRDefault="00E660DB" w:rsidP="00355DB4">
            <w:pPr>
              <w:rPr>
                <w:rFonts w:asciiTheme="majorHAnsi" w:hAnsiTheme="majorHAnsi"/>
                <w:color w:val="000000"/>
                <w:sz w:val="16"/>
                <w:szCs w:val="16"/>
              </w:rPr>
            </w:pPr>
            <w:r w:rsidRPr="00C24A6A">
              <w:rPr>
                <w:rFonts w:asciiTheme="majorHAnsi" w:hAnsiTheme="majorHAnsi"/>
                <w:color w:val="000000"/>
                <w:sz w:val="16"/>
                <w:szCs w:val="16"/>
              </w:rPr>
              <w:t>No ha of</w:t>
            </w:r>
            <w:r w:rsidRPr="00C24A6A">
              <w:rPr>
                <w:rFonts w:asciiTheme="majorHAnsi" w:hAnsiTheme="majorHAnsi"/>
                <w:color w:val="000000"/>
                <w:sz w:val="16"/>
                <w:szCs w:val="16"/>
              </w:rPr>
              <w:br/>
              <w:t>forest under this kind of management</w:t>
            </w:r>
          </w:p>
        </w:tc>
        <w:tc>
          <w:tcPr>
            <w:tcW w:w="2520" w:type="dxa"/>
            <w:shd w:val="clear" w:color="auto" w:fill="auto"/>
            <w:hideMark/>
          </w:tcPr>
          <w:p w:rsidR="00E660DB" w:rsidRPr="004B7788" w:rsidRDefault="00E660DB" w:rsidP="00355DB4">
            <w:pPr>
              <w:rPr>
                <w:rFonts w:asciiTheme="majorHAnsi" w:hAnsiTheme="majorHAnsi"/>
                <w:color w:val="000000"/>
                <w:sz w:val="16"/>
                <w:szCs w:val="16"/>
              </w:rPr>
            </w:pPr>
            <w:r w:rsidRPr="004B7788">
              <w:rPr>
                <w:rFonts w:asciiTheme="majorHAnsi" w:hAnsiTheme="majorHAnsi"/>
                <w:color w:val="000000"/>
                <w:sz w:val="16"/>
                <w:szCs w:val="16"/>
              </w:rPr>
              <w:t>2,000 ha in</w:t>
            </w:r>
            <w:r w:rsidRPr="004B7788">
              <w:rPr>
                <w:rFonts w:asciiTheme="majorHAnsi" w:hAnsiTheme="majorHAnsi"/>
                <w:color w:val="000000"/>
                <w:sz w:val="16"/>
                <w:szCs w:val="16"/>
              </w:rPr>
              <w:br/>
              <w:t>MK by EoY 3.</w:t>
            </w:r>
            <w:r w:rsidRPr="004B7788">
              <w:rPr>
                <w:rFonts w:asciiTheme="majorHAnsi" w:hAnsiTheme="majorHAnsi"/>
                <w:color w:val="000000"/>
                <w:sz w:val="16"/>
                <w:szCs w:val="16"/>
              </w:rPr>
              <w:br/>
              <w:t>3,000 ha in AL by EoY 3; and 1,000 ha in GR* by EoY 3.</w:t>
            </w:r>
          </w:p>
        </w:tc>
        <w:tc>
          <w:tcPr>
            <w:tcW w:w="7380" w:type="dxa"/>
            <w:shd w:val="clear" w:color="auto" w:fill="auto"/>
            <w:hideMark/>
          </w:tcPr>
          <w:p w:rsidR="00E660DB" w:rsidRPr="00DE1184" w:rsidRDefault="00E660DB" w:rsidP="00355DB4">
            <w:pPr>
              <w:rPr>
                <w:rFonts w:asciiTheme="majorHAnsi" w:hAnsiTheme="majorHAnsi"/>
                <w:color w:val="000000"/>
                <w:sz w:val="16"/>
                <w:szCs w:val="16"/>
              </w:rPr>
            </w:pPr>
            <w:r w:rsidRPr="00C1010D">
              <w:rPr>
                <w:rFonts w:asciiTheme="majorHAnsi" w:hAnsiTheme="majorHAnsi"/>
                <w:color w:val="000000"/>
                <w:sz w:val="16"/>
                <w:szCs w:val="16"/>
              </w:rPr>
              <w:t>1. Activities related to f</w:t>
            </w:r>
            <w:r w:rsidRPr="00575C91">
              <w:rPr>
                <w:rFonts w:asciiTheme="majorHAnsi" w:hAnsiTheme="majorHAnsi"/>
                <w:color w:val="000000"/>
                <w:sz w:val="16"/>
                <w:szCs w:val="16"/>
              </w:rPr>
              <w:t>orestry were completed in the earlier reporting period. (MK)                                                                                               2.  Direct interventions through small grants on forestry and fishery habitats. (AL)</w:t>
            </w:r>
            <w:r w:rsidRPr="00575C91">
              <w:rPr>
                <w:rFonts w:asciiTheme="majorHAnsi" w:hAnsiTheme="majorHAnsi"/>
                <w:color w:val="000000"/>
                <w:sz w:val="16"/>
                <w:szCs w:val="16"/>
              </w:rPr>
              <w:br/>
              <w:t>3. National moni</w:t>
            </w:r>
            <w:r w:rsidRPr="0097745A">
              <w:rPr>
                <w:rFonts w:asciiTheme="majorHAnsi" w:hAnsiTheme="majorHAnsi"/>
                <w:color w:val="000000"/>
                <w:sz w:val="16"/>
                <w:szCs w:val="16"/>
              </w:rPr>
              <w:t>toring activities took place during 2011</w:t>
            </w:r>
            <w:r w:rsidRPr="0097745A">
              <w:rPr>
                <w:rFonts w:asciiTheme="majorHAnsi" w:hAnsiTheme="majorHAnsi"/>
                <w:color w:val="000000"/>
                <w:sz w:val="16"/>
                <w:szCs w:val="16"/>
              </w:rPr>
              <w:br/>
              <w:t>Information, data, studies, expertise is provided to the KfW team for the management plan process. (AL)</w:t>
            </w:r>
            <w:r w:rsidRPr="0097745A">
              <w:rPr>
                <w:rFonts w:asciiTheme="majorHAnsi" w:hAnsiTheme="majorHAnsi"/>
                <w:color w:val="000000"/>
                <w:sz w:val="16"/>
                <w:szCs w:val="16"/>
              </w:rPr>
              <w:br/>
              <w:t>4. An increased are of 2% under improved biodiversity management as a result of kfW project actually under impl</w:t>
            </w:r>
            <w:r w:rsidRPr="00DE1184">
              <w:rPr>
                <w:rFonts w:asciiTheme="majorHAnsi" w:hAnsiTheme="majorHAnsi"/>
                <w:color w:val="000000"/>
                <w:sz w:val="16"/>
                <w:szCs w:val="16"/>
              </w:rPr>
              <w:t>ementation. (AL)</w:t>
            </w:r>
          </w:p>
        </w:tc>
      </w:tr>
      <w:tr w:rsidR="00E660DB" w:rsidRPr="0089284E" w:rsidTr="0089284E">
        <w:trPr>
          <w:trHeight w:val="2807"/>
        </w:trPr>
        <w:tc>
          <w:tcPr>
            <w:tcW w:w="1350" w:type="dxa"/>
            <w:vMerge w:val="restart"/>
            <w:shd w:val="clear" w:color="auto" w:fill="auto"/>
            <w:hideMark/>
          </w:tcPr>
          <w:p w:rsidR="00E660DB" w:rsidRPr="00981CE9" w:rsidRDefault="00E660DB" w:rsidP="00355DB4">
            <w:pPr>
              <w:rPr>
                <w:rFonts w:asciiTheme="majorHAnsi" w:hAnsiTheme="majorHAnsi"/>
                <w:color w:val="000000"/>
                <w:sz w:val="16"/>
                <w:szCs w:val="16"/>
              </w:rPr>
            </w:pPr>
            <w:r w:rsidRPr="00981CE9">
              <w:rPr>
                <w:rFonts w:asciiTheme="majorHAnsi" w:hAnsiTheme="majorHAnsi"/>
                <w:color w:val="000000"/>
                <w:sz w:val="16"/>
                <w:szCs w:val="16"/>
              </w:rPr>
              <w:t> </w:t>
            </w:r>
          </w:p>
          <w:p w:rsidR="00E660DB" w:rsidRPr="00FC1E0C" w:rsidRDefault="00E660DB" w:rsidP="00355DB4">
            <w:pPr>
              <w:rPr>
                <w:rFonts w:asciiTheme="majorHAnsi" w:hAnsiTheme="majorHAnsi"/>
                <w:color w:val="000000"/>
                <w:sz w:val="16"/>
                <w:szCs w:val="16"/>
              </w:rPr>
            </w:pPr>
            <w:r w:rsidRPr="004F4FCE">
              <w:rPr>
                <w:rFonts w:asciiTheme="majorHAnsi" w:hAnsiTheme="majorHAnsi"/>
                <w:color w:val="000000"/>
                <w:sz w:val="16"/>
                <w:szCs w:val="16"/>
              </w:rPr>
              <w:t> </w:t>
            </w:r>
          </w:p>
          <w:p w:rsidR="00E660DB" w:rsidRPr="00522AD6" w:rsidRDefault="00E660DB" w:rsidP="00355DB4">
            <w:pPr>
              <w:rPr>
                <w:rFonts w:asciiTheme="majorHAnsi" w:hAnsiTheme="majorHAnsi"/>
                <w:color w:val="000000"/>
                <w:sz w:val="16"/>
                <w:szCs w:val="16"/>
              </w:rPr>
            </w:pPr>
            <w:r w:rsidRPr="00E47796">
              <w:rPr>
                <w:rFonts w:asciiTheme="majorHAnsi" w:hAnsiTheme="majorHAnsi"/>
                <w:color w:val="000000"/>
                <w:sz w:val="16"/>
                <w:szCs w:val="16"/>
              </w:rPr>
              <w:t> </w:t>
            </w:r>
          </w:p>
          <w:p w:rsidR="00E660DB" w:rsidRPr="00C24A6A" w:rsidRDefault="00E660DB" w:rsidP="00355DB4">
            <w:pPr>
              <w:rPr>
                <w:rFonts w:asciiTheme="majorHAnsi" w:hAnsiTheme="majorHAnsi"/>
                <w:color w:val="000000"/>
                <w:sz w:val="16"/>
                <w:szCs w:val="16"/>
              </w:rPr>
            </w:pPr>
            <w:r w:rsidRPr="00C24A6A">
              <w:rPr>
                <w:rFonts w:asciiTheme="majorHAnsi" w:hAnsiTheme="majorHAnsi"/>
                <w:color w:val="000000"/>
                <w:sz w:val="16"/>
                <w:szCs w:val="16"/>
              </w:rPr>
              <w:t> </w:t>
            </w:r>
          </w:p>
          <w:p w:rsidR="00E660DB" w:rsidRPr="004B7788" w:rsidRDefault="00E660DB" w:rsidP="00355DB4">
            <w:pPr>
              <w:rPr>
                <w:rFonts w:asciiTheme="majorHAnsi" w:hAnsiTheme="majorHAnsi"/>
                <w:color w:val="000000"/>
                <w:sz w:val="16"/>
                <w:szCs w:val="16"/>
              </w:rPr>
            </w:pPr>
            <w:r w:rsidRPr="004B7788">
              <w:rPr>
                <w:rFonts w:asciiTheme="majorHAnsi" w:hAnsiTheme="majorHAnsi"/>
                <w:color w:val="000000"/>
                <w:sz w:val="16"/>
                <w:szCs w:val="16"/>
              </w:rPr>
              <w:t> </w:t>
            </w:r>
          </w:p>
          <w:p w:rsidR="00E660DB" w:rsidRPr="00C1010D" w:rsidRDefault="00E660DB" w:rsidP="00355DB4">
            <w:pPr>
              <w:rPr>
                <w:rFonts w:asciiTheme="majorHAnsi" w:hAnsiTheme="majorHAnsi"/>
                <w:color w:val="000000"/>
                <w:sz w:val="16"/>
                <w:szCs w:val="16"/>
              </w:rPr>
            </w:pPr>
            <w:r w:rsidRPr="00C1010D">
              <w:rPr>
                <w:rFonts w:asciiTheme="majorHAnsi" w:hAnsiTheme="majorHAnsi"/>
                <w:color w:val="000000"/>
                <w:sz w:val="16"/>
                <w:szCs w:val="16"/>
              </w:rPr>
              <w:t> </w:t>
            </w:r>
          </w:p>
          <w:p w:rsidR="00E660DB" w:rsidRPr="00575C91" w:rsidRDefault="00E660DB" w:rsidP="00355DB4">
            <w:pPr>
              <w:rPr>
                <w:rFonts w:asciiTheme="majorHAnsi" w:hAnsiTheme="majorHAnsi"/>
                <w:color w:val="000000"/>
                <w:sz w:val="16"/>
                <w:szCs w:val="16"/>
              </w:rPr>
            </w:pPr>
            <w:r w:rsidRPr="00575C91">
              <w:rPr>
                <w:rFonts w:asciiTheme="majorHAnsi" w:hAnsiTheme="majorHAnsi"/>
                <w:color w:val="000000"/>
                <w:sz w:val="16"/>
                <w:szCs w:val="16"/>
              </w:rPr>
              <w:t> </w:t>
            </w:r>
          </w:p>
          <w:p w:rsidR="00E660DB" w:rsidRPr="0097745A" w:rsidRDefault="00E660DB" w:rsidP="00355DB4">
            <w:pPr>
              <w:rPr>
                <w:rFonts w:asciiTheme="majorHAnsi" w:hAnsiTheme="majorHAnsi"/>
                <w:color w:val="000000"/>
                <w:sz w:val="16"/>
                <w:szCs w:val="16"/>
              </w:rPr>
            </w:pPr>
            <w:r w:rsidRPr="0097745A">
              <w:rPr>
                <w:rFonts w:asciiTheme="majorHAnsi" w:hAnsiTheme="majorHAnsi"/>
                <w:color w:val="000000"/>
                <w:sz w:val="16"/>
                <w:szCs w:val="16"/>
              </w:rPr>
              <w:t> </w:t>
            </w:r>
          </w:p>
          <w:p w:rsidR="00E660DB" w:rsidRPr="00DE1184" w:rsidRDefault="00E660DB" w:rsidP="00355DB4">
            <w:pPr>
              <w:rPr>
                <w:rFonts w:asciiTheme="majorHAnsi" w:hAnsiTheme="majorHAnsi"/>
                <w:color w:val="000000"/>
                <w:sz w:val="16"/>
                <w:szCs w:val="16"/>
              </w:rPr>
            </w:pPr>
            <w:r w:rsidRPr="00DE1184">
              <w:rPr>
                <w:rFonts w:asciiTheme="majorHAnsi" w:hAnsiTheme="majorHAnsi"/>
                <w:color w:val="000000"/>
                <w:sz w:val="16"/>
                <w:szCs w:val="16"/>
              </w:rPr>
              <w:t> </w:t>
            </w:r>
          </w:p>
        </w:tc>
        <w:tc>
          <w:tcPr>
            <w:tcW w:w="1530" w:type="dxa"/>
            <w:shd w:val="clear" w:color="auto" w:fill="auto"/>
            <w:hideMark/>
          </w:tcPr>
          <w:p w:rsidR="00E660DB" w:rsidRPr="00747F99" w:rsidRDefault="00E660DB" w:rsidP="00355DB4">
            <w:pPr>
              <w:rPr>
                <w:rFonts w:asciiTheme="majorHAnsi" w:hAnsiTheme="majorHAnsi"/>
                <w:color w:val="000000"/>
                <w:sz w:val="16"/>
                <w:szCs w:val="16"/>
              </w:rPr>
            </w:pPr>
            <w:r w:rsidRPr="00747F99">
              <w:rPr>
                <w:rFonts w:asciiTheme="majorHAnsi" w:hAnsiTheme="majorHAnsi"/>
                <w:color w:val="000000"/>
                <w:sz w:val="16"/>
                <w:szCs w:val="16"/>
              </w:rPr>
              <w:t># of farmers</w:t>
            </w:r>
            <w:r w:rsidRPr="00747F99">
              <w:rPr>
                <w:rFonts w:asciiTheme="majorHAnsi" w:hAnsiTheme="majorHAnsi"/>
                <w:color w:val="000000"/>
                <w:sz w:val="16"/>
                <w:szCs w:val="16"/>
              </w:rPr>
              <w:br/>
              <w:t>applying integrated pest management practices in MK and AL.</w:t>
            </w:r>
          </w:p>
        </w:tc>
        <w:tc>
          <w:tcPr>
            <w:tcW w:w="1530" w:type="dxa"/>
            <w:shd w:val="clear" w:color="auto" w:fill="auto"/>
            <w:hideMark/>
          </w:tcPr>
          <w:p w:rsidR="00E660DB" w:rsidRPr="00B15342" w:rsidRDefault="00E660DB" w:rsidP="00355DB4">
            <w:pPr>
              <w:rPr>
                <w:rFonts w:asciiTheme="majorHAnsi" w:hAnsiTheme="majorHAnsi"/>
                <w:color w:val="000000"/>
                <w:sz w:val="16"/>
                <w:szCs w:val="16"/>
              </w:rPr>
            </w:pPr>
            <w:r w:rsidRPr="00F901DA">
              <w:rPr>
                <w:rFonts w:asciiTheme="majorHAnsi" w:hAnsiTheme="majorHAnsi"/>
                <w:color w:val="000000"/>
                <w:sz w:val="16"/>
                <w:szCs w:val="16"/>
              </w:rPr>
              <w:t>Number of</w:t>
            </w:r>
            <w:r w:rsidRPr="00F901DA">
              <w:rPr>
                <w:rFonts w:asciiTheme="majorHAnsi" w:hAnsiTheme="majorHAnsi"/>
                <w:color w:val="000000"/>
                <w:sz w:val="16"/>
                <w:szCs w:val="16"/>
              </w:rPr>
              <w:br/>
              <w:t>farmers in MK currently applying Integrated Pest Management nt? (To be determi</w:t>
            </w:r>
            <w:r w:rsidRPr="00B15342">
              <w:rPr>
                <w:rFonts w:asciiTheme="majorHAnsi" w:hAnsiTheme="majorHAnsi"/>
                <w:color w:val="000000"/>
                <w:sz w:val="16"/>
                <w:szCs w:val="16"/>
              </w:rPr>
              <w:t>ned by EOY1)</w:t>
            </w:r>
            <w:r w:rsidRPr="00B15342">
              <w:rPr>
                <w:rFonts w:asciiTheme="majorHAnsi" w:hAnsiTheme="majorHAnsi"/>
                <w:color w:val="000000"/>
                <w:sz w:val="16"/>
                <w:szCs w:val="16"/>
              </w:rPr>
              <w:br/>
            </w:r>
            <w:r w:rsidRPr="00B15342">
              <w:rPr>
                <w:rFonts w:asciiTheme="majorHAnsi" w:hAnsiTheme="majorHAnsi"/>
                <w:color w:val="000000"/>
                <w:sz w:val="16"/>
                <w:szCs w:val="16"/>
              </w:rPr>
              <w:br/>
            </w:r>
            <w:r w:rsidRPr="00B15342">
              <w:rPr>
                <w:rFonts w:asciiTheme="majorHAnsi" w:hAnsiTheme="majorHAnsi"/>
                <w:color w:val="000000"/>
                <w:sz w:val="16"/>
                <w:szCs w:val="16"/>
              </w:rPr>
              <w:br/>
            </w:r>
            <w:r w:rsidRPr="00B15342">
              <w:rPr>
                <w:rFonts w:asciiTheme="majorHAnsi" w:hAnsiTheme="majorHAnsi"/>
                <w:color w:val="000000"/>
                <w:sz w:val="16"/>
                <w:szCs w:val="16"/>
              </w:rPr>
              <w:br/>
              <w:t>90 out of a total of 200 farmers in GR* currently applying Integrated Pest Management nt</w:t>
            </w:r>
          </w:p>
        </w:tc>
        <w:tc>
          <w:tcPr>
            <w:tcW w:w="2520" w:type="dxa"/>
            <w:shd w:val="clear" w:color="auto" w:fill="auto"/>
            <w:hideMark/>
          </w:tcPr>
          <w:p w:rsidR="00E660DB" w:rsidRPr="00651359" w:rsidRDefault="00E660DB" w:rsidP="00355DB4">
            <w:pPr>
              <w:rPr>
                <w:rFonts w:asciiTheme="majorHAnsi" w:hAnsiTheme="majorHAnsi"/>
                <w:color w:val="000000"/>
                <w:sz w:val="16"/>
                <w:szCs w:val="16"/>
              </w:rPr>
            </w:pPr>
            <w:r w:rsidRPr="00651359">
              <w:rPr>
                <w:rFonts w:asciiTheme="majorHAnsi" w:hAnsiTheme="majorHAnsi"/>
                <w:color w:val="000000"/>
                <w:sz w:val="16"/>
                <w:szCs w:val="16"/>
              </w:rPr>
              <w:t>20 farms by</w:t>
            </w:r>
            <w:r w:rsidRPr="00651359">
              <w:rPr>
                <w:rFonts w:asciiTheme="majorHAnsi" w:hAnsiTheme="majorHAnsi"/>
                <w:color w:val="000000"/>
                <w:sz w:val="16"/>
                <w:szCs w:val="16"/>
              </w:rPr>
              <w:br/>
              <w:t>EoY 2 (5 in AL and 15 in MK);</w:t>
            </w:r>
            <w:r w:rsidRPr="00651359">
              <w:rPr>
                <w:rFonts w:asciiTheme="majorHAnsi" w:hAnsiTheme="majorHAnsi"/>
                <w:color w:val="000000"/>
                <w:sz w:val="16"/>
                <w:szCs w:val="16"/>
              </w:rPr>
              <w:br/>
            </w:r>
            <w:r w:rsidRPr="00651359">
              <w:rPr>
                <w:rFonts w:asciiTheme="majorHAnsi" w:hAnsiTheme="majorHAnsi"/>
                <w:color w:val="000000"/>
                <w:sz w:val="16"/>
                <w:szCs w:val="16"/>
              </w:rPr>
              <w:br/>
              <w:t>50 by EoY 4 (10 in AL and</w:t>
            </w:r>
            <w:r w:rsidRPr="00651359">
              <w:rPr>
                <w:rFonts w:asciiTheme="majorHAnsi" w:hAnsiTheme="majorHAnsi"/>
                <w:color w:val="000000"/>
                <w:sz w:val="16"/>
                <w:szCs w:val="16"/>
              </w:rPr>
              <w:br/>
              <w:t>40 in MK)</w:t>
            </w:r>
          </w:p>
        </w:tc>
        <w:tc>
          <w:tcPr>
            <w:tcW w:w="7380" w:type="dxa"/>
            <w:shd w:val="clear" w:color="auto" w:fill="auto"/>
            <w:hideMark/>
          </w:tcPr>
          <w:p w:rsidR="00E660DB" w:rsidRPr="00572FEB" w:rsidRDefault="00E660DB" w:rsidP="00355DB4">
            <w:pPr>
              <w:rPr>
                <w:rFonts w:asciiTheme="majorHAnsi" w:hAnsiTheme="majorHAnsi"/>
                <w:color w:val="000000"/>
                <w:sz w:val="16"/>
                <w:szCs w:val="16"/>
              </w:rPr>
            </w:pPr>
            <w:r w:rsidRPr="00EF0459">
              <w:rPr>
                <w:rFonts w:asciiTheme="majorHAnsi" w:hAnsiTheme="majorHAnsi"/>
                <w:color w:val="000000"/>
                <w:sz w:val="16"/>
                <w:szCs w:val="16"/>
              </w:rPr>
              <w:t>1. Continuous Technica</w:t>
            </w:r>
            <w:r w:rsidRPr="00356565">
              <w:rPr>
                <w:rFonts w:asciiTheme="majorHAnsi" w:hAnsiTheme="majorHAnsi"/>
                <w:color w:val="000000"/>
                <w:sz w:val="16"/>
                <w:szCs w:val="16"/>
              </w:rPr>
              <w:t>l assistance is provided to farmers associations on different technical issues;</w:t>
            </w:r>
            <w:r w:rsidRPr="00356565">
              <w:rPr>
                <w:rFonts w:asciiTheme="majorHAnsi" w:hAnsiTheme="majorHAnsi"/>
                <w:color w:val="000000"/>
                <w:sz w:val="16"/>
                <w:szCs w:val="16"/>
              </w:rPr>
              <w:br/>
              <w:t xml:space="preserve"> Agrometeorological stations are operational. The knowledge and equipment are transferred to the Agriculture Directorate of Korca, which is replicating the exercise to other si</w:t>
            </w:r>
            <w:r w:rsidRPr="00876331">
              <w:rPr>
                <w:rFonts w:asciiTheme="majorHAnsi" w:hAnsiTheme="majorHAnsi"/>
                <w:color w:val="000000"/>
                <w:sz w:val="16"/>
                <w:szCs w:val="16"/>
              </w:rPr>
              <w:t>tes.</w:t>
            </w:r>
            <w:r w:rsidRPr="00876331">
              <w:rPr>
                <w:rFonts w:asciiTheme="majorHAnsi" w:hAnsiTheme="majorHAnsi"/>
                <w:color w:val="000000"/>
                <w:sz w:val="16"/>
                <w:szCs w:val="16"/>
              </w:rPr>
              <w:br/>
              <w:t>Increased number of farmer receiving early warning and prognoses through three agromet stations. (AL); 2. Long-term partnership has been established with the farmer association in the municipality of Resen and the programme for an upgrade of their kno</w:t>
            </w:r>
            <w:r w:rsidRPr="00572FEB">
              <w:rPr>
                <w:rFonts w:asciiTheme="majorHAnsi" w:hAnsiTheme="majorHAnsi"/>
                <w:color w:val="000000"/>
                <w:sz w:val="16"/>
                <w:szCs w:val="16"/>
              </w:rPr>
              <w:t>wledge on GAP (Good Agriculture Practces) is incorporated in the new project for implementation of the Prespa Lake Watershed Management Plan that will be funded by the Swiss Development Cooperation Agency (MK)</w:t>
            </w:r>
          </w:p>
        </w:tc>
      </w:tr>
      <w:tr w:rsidR="00E660DB" w:rsidRPr="0089284E" w:rsidTr="0089284E">
        <w:trPr>
          <w:trHeight w:val="224"/>
        </w:trPr>
        <w:tc>
          <w:tcPr>
            <w:tcW w:w="1350" w:type="dxa"/>
            <w:vMerge/>
            <w:shd w:val="clear" w:color="auto" w:fill="auto"/>
            <w:hideMark/>
          </w:tcPr>
          <w:p w:rsidR="00E660DB" w:rsidRPr="0089284E" w:rsidRDefault="00E660DB" w:rsidP="00355DB4">
            <w:pPr>
              <w:rPr>
                <w:rFonts w:asciiTheme="majorHAnsi" w:hAnsiTheme="majorHAnsi"/>
                <w:color w:val="000000"/>
                <w:sz w:val="16"/>
                <w:szCs w:val="16"/>
              </w:rPr>
            </w:pP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 of wood community forests</w:t>
            </w:r>
            <w:r w:rsidRPr="0089284E">
              <w:rPr>
                <w:rFonts w:asciiTheme="majorHAnsi" w:hAnsiTheme="majorHAnsi"/>
                <w:color w:val="000000"/>
                <w:sz w:val="16"/>
                <w:szCs w:val="16"/>
              </w:rPr>
              <w:br/>
              <w:t>(CF) contribute to two communities’ needs for fodder and fuel wood in AL.</w:t>
            </w: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CF</w:t>
            </w:r>
            <w:r w:rsidRPr="0089284E">
              <w:rPr>
                <w:rFonts w:asciiTheme="majorHAnsi" w:hAnsiTheme="majorHAnsi"/>
                <w:color w:val="000000"/>
                <w:sz w:val="16"/>
                <w:szCs w:val="16"/>
              </w:rPr>
              <w:br/>
              <w:t>provides none of the fuel wood and fodder needs.</w:t>
            </w:r>
          </w:p>
        </w:tc>
        <w:tc>
          <w:tcPr>
            <w:tcW w:w="252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CF provides</w:t>
            </w:r>
            <w:r w:rsidRPr="0089284E">
              <w:rPr>
                <w:rFonts w:asciiTheme="majorHAnsi" w:hAnsiTheme="majorHAnsi"/>
                <w:color w:val="000000"/>
                <w:sz w:val="16"/>
                <w:szCs w:val="16"/>
              </w:rPr>
              <w:br/>
              <w:t>50% of 2 target villages’ (AL) needs by EoY 4.</w:t>
            </w:r>
          </w:p>
        </w:tc>
        <w:tc>
          <w:tcPr>
            <w:tcW w:w="738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1. 4500 ha of forest and 300 ha of pastures belong to the communal forests fund, which is about 40% of the total surface of the forest of the Park. (AL)</w:t>
            </w:r>
            <w:r w:rsidRPr="0089284E">
              <w:rPr>
                <w:rFonts w:asciiTheme="majorHAnsi" w:hAnsiTheme="majorHAnsi"/>
                <w:color w:val="000000"/>
                <w:sz w:val="16"/>
                <w:szCs w:val="16"/>
              </w:rPr>
              <w:br/>
              <w:t>2. CF provides almost 42% of the population needs for firewood only. (AL)</w:t>
            </w:r>
            <w:r w:rsidRPr="0089284E">
              <w:rPr>
                <w:rFonts w:asciiTheme="majorHAnsi" w:hAnsiTheme="majorHAnsi"/>
                <w:color w:val="000000"/>
                <w:sz w:val="16"/>
                <w:szCs w:val="16"/>
              </w:rPr>
              <w:br/>
              <w:t>3. The result is maintained due to support and cooperation with KfW project in site (AL)</w:t>
            </w:r>
          </w:p>
        </w:tc>
      </w:tr>
      <w:tr w:rsidR="00E660DB" w:rsidRPr="0089284E" w:rsidTr="0089284E">
        <w:trPr>
          <w:trHeight w:val="63"/>
        </w:trPr>
        <w:tc>
          <w:tcPr>
            <w:tcW w:w="1350" w:type="dxa"/>
            <w:vMerge/>
            <w:shd w:val="clear" w:color="auto" w:fill="auto"/>
            <w:hideMark/>
          </w:tcPr>
          <w:p w:rsidR="00E660DB" w:rsidRPr="0089284E" w:rsidRDefault="00E660DB" w:rsidP="00355DB4">
            <w:pPr>
              <w:rPr>
                <w:rFonts w:asciiTheme="majorHAnsi" w:hAnsiTheme="majorHAnsi"/>
                <w:color w:val="000000"/>
                <w:sz w:val="16"/>
                <w:szCs w:val="16"/>
              </w:rPr>
            </w:pP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Allowable fish catch</w:t>
            </w:r>
            <w:r w:rsidRPr="0089284E">
              <w:rPr>
                <w:rFonts w:asciiTheme="majorHAnsi" w:hAnsiTheme="majorHAnsi"/>
                <w:color w:val="000000"/>
                <w:sz w:val="16"/>
                <w:szCs w:val="16"/>
              </w:rPr>
              <w:br/>
              <w:t>linked to population size estimates in both lakes in MK, AL and GR*.</w:t>
            </w: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There is no</w:t>
            </w:r>
            <w:r w:rsidRPr="0089284E">
              <w:rPr>
                <w:rFonts w:asciiTheme="majorHAnsi" w:hAnsiTheme="majorHAnsi"/>
                <w:color w:val="000000"/>
                <w:sz w:val="16"/>
                <w:szCs w:val="16"/>
              </w:rPr>
              <w:br/>
              <w:t>limit on fish caught during regular season;</w:t>
            </w:r>
            <w:r w:rsidRPr="0089284E">
              <w:rPr>
                <w:rFonts w:asciiTheme="majorHAnsi" w:hAnsiTheme="majorHAnsi"/>
                <w:color w:val="000000"/>
                <w:sz w:val="16"/>
                <w:szCs w:val="16"/>
              </w:rPr>
              <w:br/>
              <w:t>Fishery authorities from the 3 countries are usually deciding jointly a yearly spring “closed period” for fishing since</w:t>
            </w:r>
            <w:r w:rsidRPr="0089284E">
              <w:rPr>
                <w:rFonts w:asciiTheme="majorHAnsi" w:hAnsiTheme="majorHAnsi"/>
                <w:color w:val="000000"/>
                <w:sz w:val="16"/>
                <w:szCs w:val="16"/>
              </w:rPr>
              <w:br/>
              <w:t>2004.</w:t>
            </w:r>
          </w:p>
        </w:tc>
        <w:tc>
          <w:tcPr>
            <w:tcW w:w="252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Improved</w:t>
            </w:r>
            <w:r w:rsidRPr="0089284E">
              <w:rPr>
                <w:rFonts w:asciiTheme="majorHAnsi" w:hAnsiTheme="majorHAnsi"/>
                <w:color w:val="000000"/>
                <w:sz w:val="16"/>
                <w:szCs w:val="16"/>
              </w:rPr>
              <w:br/>
              <w:t>collection of fishery data in all three countries by EoY2;</w:t>
            </w:r>
            <w:r w:rsidRPr="0089284E">
              <w:rPr>
                <w:rFonts w:asciiTheme="majorHAnsi" w:hAnsiTheme="majorHAnsi"/>
                <w:color w:val="000000"/>
                <w:sz w:val="16"/>
                <w:szCs w:val="16"/>
              </w:rPr>
              <w:br/>
            </w:r>
            <w:r w:rsidRPr="0089284E">
              <w:rPr>
                <w:rFonts w:asciiTheme="majorHAnsi" w:hAnsiTheme="majorHAnsi"/>
                <w:color w:val="000000"/>
                <w:sz w:val="16"/>
                <w:szCs w:val="16"/>
              </w:rPr>
              <w:br/>
              <w:t>Sharing of data by all three countries by EoY2;</w:t>
            </w:r>
            <w:r w:rsidRPr="0089284E">
              <w:rPr>
                <w:rFonts w:asciiTheme="majorHAnsi" w:hAnsiTheme="majorHAnsi"/>
                <w:color w:val="000000"/>
                <w:sz w:val="16"/>
                <w:szCs w:val="16"/>
              </w:rPr>
              <w:br/>
            </w:r>
            <w:r w:rsidRPr="0089284E">
              <w:rPr>
                <w:rFonts w:asciiTheme="majorHAnsi" w:hAnsiTheme="majorHAnsi"/>
                <w:color w:val="000000"/>
                <w:sz w:val="16"/>
                <w:szCs w:val="16"/>
              </w:rPr>
              <w:br/>
              <w:t>Allowable fish catch is linked to population size estimates and other indices (# of fishing boats, territory of fishing area in each country) for five species by EoY 4;</w:t>
            </w:r>
            <w:r w:rsidRPr="0089284E">
              <w:rPr>
                <w:rFonts w:asciiTheme="majorHAnsi" w:hAnsiTheme="majorHAnsi"/>
                <w:color w:val="000000"/>
                <w:sz w:val="16"/>
                <w:szCs w:val="16"/>
              </w:rPr>
              <w:br/>
            </w:r>
            <w:r w:rsidRPr="0089284E">
              <w:rPr>
                <w:rFonts w:asciiTheme="majorHAnsi" w:hAnsiTheme="majorHAnsi"/>
                <w:color w:val="000000"/>
                <w:sz w:val="16"/>
                <w:szCs w:val="16"/>
              </w:rPr>
              <w:br/>
              <w:t>Regular contacts between fisheries authorities of the three countries to reach common decisions on allowable fishing tools, closed seasons and other sustainable management measures;</w:t>
            </w:r>
            <w:r w:rsidRPr="0089284E">
              <w:rPr>
                <w:rFonts w:asciiTheme="majorHAnsi" w:hAnsiTheme="majorHAnsi"/>
                <w:color w:val="000000"/>
                <w:sz w:val="16"/>
                <w:szCs w:val="16"/>
              </w:rPr>
              <w:br/>
            </w:r>
            <w:r w:rsidRPr="0089284E">
              <w:rPr>
                <w:rFonts w:asciiTheme="majorHAnsi" w:hAnsiTheme="majorHAnsi"/>
                <w:color w:val="000000"/>
                <w:sz w:val="16"/>
                <w:szCs w:val="16"/>
              </w:rPr>
              <w:br/>
              <w:t>Harmonized by- laws on</w:t>
            </w:r>
            <w:r w:rsidRPr="0089284E">
              <w:rPr>
                <w:rFonts w:asciiTheme="majorHAnsi" w:hAnsiTheme="majorHAnsi"/>
                <w:color w:val="000000"/>
                <w:sz w:val="16"/>
                <w:szCs w:val="16"/>
              </w:rPr>
              <w:br/>
              <w:t>fisheries amongst the 3 littoral states.</w:t>
            </w:r>
          </w:p>
        </w:tc>
        <w:tc>
          <w:tcPr>
            <w:tcW w:w="738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1. First Transboundary Fish and Fisheries Management Plan for thePrespa Lakes was completed at the beginning of 2012. The Plan is the key policy document which defines but not limit to management aspects such as: Enhancement (ameliorative and selective fishing, fish stocking, sourcing of stocking material, quality control of stocking material, other sanitary measures); Input controls (identification of spawning periods and setting the close fishing season by species;</w:t>
            </w:r>
            <w:r w:rsidRPr="0089284E">
              <w:rPr>
                <w:rFonts w:asciiTheme="majorHAnsi" w:hAnsiTheme="majorHAnsi"/>
                <w:color w:val="000000"/>
                <w:sz w:val="16"/>
                <w:szCs w:val="16"/>
              </w:rPr>
              <w:br/>
              <w:t>identification of the spawning grounds of native fish and setting of closed areas by species; Allowable fishing gears and fishing days; number of fishing days for recreational fishing); Output controls (setting allowable catch size in length per species; setting allowable catch quotas</w:t>
            </w:r>
            <w:r w:rsidRPr="0089284E">
              <w:rPr>
                <w:rFonts w:asciiTheme="majorHAnsi" w:hAnsiTheme="majorHAnsi"/>
                <w:color w:val="000000"/>
                <w:sz w:val="16"/>
                <w:szCs w:val="16"/>
              </w:rPr>
              <w:br/>
              <w:t>per species by country), and etc. The development of the Plan included methodologies such as review of the</w:t>
            </w:r>
            <w:r w:rsidRPr="0089284E">
              <w:rPr>
                <w:rFonts w:asciiTheme="majorHAnsi" w:hAnsiTheme="majorHAnsi"/>
                <w:color w:val="000000"/>
                <w:sz w:val="16"/>
                <w:szCs w:val="16"/>
              </w:rPr>
              <w:br/>
              <w:t>existing legislatives (plans, statutes, rules, regulations etc.) from the three countries; previous and recent research, monitoring and surveillances; involving various stakeholders – direct and indirect related to fisheries; open opinion survey among the people and institutions in the basin; conducting of</w:t>
            </w:r>
            <w:r w:rsidRPr="0089284E">
              <w:rPr>
                <w:rFonts w:asciiTheme="majorHAnsi" w:hAnsiTheme="majorHAnsi"/>
                <w:color w:val="000000"/>
                <w:sz w:val="16"/>
                <w:szCs w:val="16"/>
              </w:rPr>
              <w:br/>
              <w:t>a limited fish stock assessment (in the lakes and the tributaries); fish health check (parasites, heavy</w:t>
            </w:r>
            <w:r w:rsidRPr="0089284E">
              <w:rPr>
                <w:rFonts w:asciiTheme="majorHAnsi" w:hAnsiTheme="majorHAnsi"/>
                <w:color w:val="000000"/>
                <w:sz w:val="16"/>
                <w:szCs w:val="16"/>
              </w:rPr>
              <w:br/>
              <w:t>metals and pesticides in the fish tissues); various impacts on the fish and fishery (including fish eating birds); habitat conditions; fishery statistics. These things were obtained through intensive field work and laboratory analysis. The plan proposes number of measures and 4 key, mid-term objectives (i) a programme and supporting</w:t>
            </w:r>
            <w:r w:rsidRPr="0089284E">
              <w:rPr>
                <w:rFonts w:asciiTheme="majorHAnsi" w:hAnsiTheme="majorHAnsi"/>
                <w:color w:val="000000"/>
                <w:sz w:val="16"/>
                <w:szCs w:val="16"/>
              </w:rPr>
              <w:br/>
              <w:t>actions to strengthen the administrative structures, (ii) a programme to strengthen the</w:t>
            </w:r>
            <w:r w:rsidRPr="0089284E">
              <w:rPr>
                <w:rFonts w:asciiTheme="majorHAnsi" w:hAnsiTheme="majorHAnsi"/>
                <w:color w:val="000000"/>
                <w:sz w:val="16"/>
                <w:szCs w:val="16"/>
              </w:rPr>
              <w:br/>
              <w:t>organisational structures, (iii) actions supporting the operational activities, (iv) enhancing</w:t>
            </w:r>
            <w:r w:rsidRPr="0089284E">
              <w:rPr>
                <w:rFonts w:asciiTheme="majorHAnsi" w:hAnsiTheme="majorHAnsi"/>
                <w:color w:val="000000"/>
                <w:sz w:val="16"/>
                <w:szCs w:val="16"/>
              </w:rPr>
              <w:br/>
              <w:t>information and public awareness. The Transboundary Fish and Fisheries Management Plan was shared with the relevant stakeholders. (TB)                                                                                          2. Series of capacity development activities regarding sustainable fish and fisheries management practices are accomplished (AL)</w:t>
            </w:r>
            <w:r w:rsidRPr="0089284E">
              <w:rPr>
                <w:rFonts w:asciiTheme="majorHAnsi" w:hAnsiTheme="majorHAnsi"/>
                <w:color w:val="000000"/>
                <w:sz w:val="16"/>
                <w:szCs w:val="16"/>
              </w:rPr>
              <w:br/>
              <w:t>3.  In about 3.9 km2 of the AL Prespa Lake, 1000 ml of fish and eel traps, metallic nets, are removed. (AL)</w:t>
            </w:r>
            <w:r w:rsidRPr="0089284E">
              <w:rPr>
                <w:rFonts w:asciiTheme="majorHAnsi" w:hAnsiTheme="majorHAnsi"/>
                <w:color w:val="000000"/>
                <w:sz w:val="16"/>
                <w:szCs w:val="16"/>
              </w:rPr>
              <w:br/>
              <w:t>4. More than 500ml of existing channels maintained opened and cleaned from reeds. The area affected from this activity encompasses around 15 ha or reeds habitats.(AL)</w:t>
            </w:r>
            <w:r w:rsidRPr="0089284E">
              <w:rPr>
                <w:rFonts w:asciiTheme="majorHAnsi" w:hAnsiTheme="majorHAnsi"/>
                <w:color w:val="000000"/>
                <w:sz w:val="16"/>
                <w:szCs w:val="16"/>
              </w:rPr>
              <w:br/>
              <w:t>5. The annual catch in both Prespa lakes now is fixed at 290-300 tons (AL)</w:t>
            </w:r>
          </w:p>
        </w:tc>
      </w:tr>
      <w:tr w:rsidR="00E660DB" w:rsidRPr="0089284E" w:rsidTr="0089284E">
        <w:trPr>
          <w:trHeight w:val="3446"/>
        </w:trPr>
        <w:tc>
          <w:tcPr>
            <w:tcW w:w="1350" w:type="dxa"/>
            <w:vMerge/>
            <w:shd w:val="clear" w:color="auto" w:fill="auto"/>
            <w:hideMark/>
          </w:tcPr>
          <w:p w:rsidR="00E660DB" w:rsidRPr="0089284E" w:rsidRDefault="00E660DB" w:rsidP="00355DB4">
            <w:pPr>
              <w:rPr>
                <w:rFonts w:asciiTheme="majorHAnsi" w:hAnsiTheme="majorHAnsi"/>
                <w:color w:val="000000"/>
                <w:sz w:val="16"/>
                <w:szCs w:val="16"/>
              </w:rPr>
            </w:pP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Change in awareness among local people regarding the Prespa ecosystem;</w:t>
            </w: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Baseline to</w:t>
            </w:r>
            <w:r w:rsidRPr="0089284E">
              <w:rPr>
                <w:rFonts w:asciiTheme="majorHAnsi" w:hAnsiTheme="majorHAnsi"/>
                <w:color w:val="000000"/>
                <w:sz w:val="16"/>
                <w:szCs w:val="16"/>
              </w:rPr>
              <w:br/>
              <w:t>be established by EoY1.</w:t>
            </w:r>
          </w:p>
        </w:tc>
        <w:tc>
          <w:tcPr>
            <w:tcW w:w="252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20%</w:t>
            </w:r>
            <w:r w:rsidRPr="0089284E">
              <w:rPr>
                <w:rFonts w:asciiTheme="majorHAnsi" w:hAnsiTheme="majorHAnsi"/>
                <w:color w:val="000000"/>
                <w:sz w:val="16"/>
                <w:szCs w:val="16"/>
              </w:rPr>
              <w:br/>
              <w:t>improvement by end of EoY (EoY) 2; 50%</w:t>
            </w:r>
            <w:r w:rsidRPr="0089284E">
              <w:rPr>
                <w:rFonts w:asciiTheme="majorHAnsi" w:hAnsiTheme="majorHAnsi"/>
                <w:color w:val="000000"/>
                <w:sz w:val="16"/>
                <w:szCs w:val="16"/>
              </w:rPr>
              <w:br/>
              <w:t>by EoY 4. (To be assessed based on specific methodologies developed)</w:t>
            </w:r>
          </w:p>
        </w:tc>
        <w:tc>
          <w:tcPr>
            <w:tcW w:w="738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1. Several awareness activities have taken place, like celebration of the Wetland Day 2012 and local important events focussing the schools, youth and environmental organizations and Prespa National Park administration. Wide coverage thought the media. (AL)</w:t>
            </w:r>
            <w:r w:rsidRPr="0089284E">
              <w:rPr>
                <w:rFonts w:asciiTheme="majorHAnsi" w:hAnsiTheme="majorHAnsi"/>
                <w:color w:val="000000"/>
                <w:sz w:val="16"/>
                <w:szCs w:val="16"/>
              </w:rPr>
              <w:br/>
              <w:t xml:space="preserve">2.  Establishment of the Information Centre at Park Administration building equipped and assisted in performing nature interpretation activities and other events. (AL) </w:t>
            </w:r>
            <w:r w:rsidRPr="0089284E">
              <w:rPr>
                <w:rFonts w:asciiTheme="majorHAnsi" w:hAnsiTheme="majorHAnsi"/>
                <w:color w:val="000000"/>
                <w:sz w:val="16"/>
                <w:szCs w:val="16"/>
              </w:rPr>
              <w:br/>
              <w:t>3. Increased awareness of the inhabitants and stakeholders on Prespa values and practical information on project results.(AL)</w:t>
            </w:r>
            <w:r w:rsidRPr="0089284E">
              <w:rPr>
                <w:rFonts w:asciiTheme="majorHAnsi" w:hAnsiTheme="majorHAnsi"/>
                <w:color w:val="000000"/>
                <w:sz w:val="16"/>
                <w:szCs w:val="16"/>
              </w:rPr>
              <w:br/>
              <w:t>4. The project continues maintaining the project web site (AL, TB, MK)                                                                                                                                 5. The project organized a training with the tea gatherers in Prespa on tea (Sideritis Raeseri) conservation and sustainable gathering methods. Furthermore, number of stakeholders were made aware on the significance, conservation efforts of priorty species and habitats under the public awareness raising activities launched by the project. Appropriate materials were prepared and distributed widely in all 3 countries in Prespa. Furthermore, the project organized public awareness rasining activities with the primary and secondary schools in Albania and Macedonia. Presentations and workshops were organized with school age children, and the teachers in biology, geography and natural sciences were included in all workshops as a measure of rasining awareness. (TB).                                                                                           6. The project organized public screening in Prespa and Skopje of the documentary film In the Heart of the Balkans – The Pelicans of the Prespa Park produced by the Arte TV,  together with the Macedonian Ecological Society. This film which shooting was also supported by the project staff will contribute to promotion of the values of the Prespa region not only in the region but worldwide as it will be shown on many festivals around the world.(TB, MK).</w:t>
            </w:r>
            <w:r w:rsidRPr="0089284E">
              <w:rPr>
                <w:rFonts w:asciiTheme="majorHAnsi" w:hAnsiTheme="majorHAnsi"/>
                <w:color w:val="000000"/>
                <w:sz w:val="16"/>
                <w:szCs w:val="16"/>
              </w:rPr>
              <w:br/>
              <w:t>7. The National Capital Resource Centre (NCRC) is fully functional and serves as a valuable source of information and data on all features of the Prespa watershed. The sfatt of the NCrc organized numerous events for school children and broader public and also supports the local government in preparation of project proposals and identification of  potential funding oportunities. (MK)</w:t>
            </w:r>
          </w:p>
        </w:tc>
      </w:tr>
      <w:tr w:rsidR="00E660DB" w:rsidRPr="0089284E" w:rsidTr="0089284E">
        <w:trPr>
          <w:trHeight w:val="584"/>
        </w:trPr>
        <w:tc>
          <w:tcPr>
            <w:tcW w:w="1350" w:type="dxa"/>
            <w:vMerge/>
            <w:shd w:val="clear" w:color="auto" w:fill="auto"/>
            <w:hideMark/>
          </w:tcPr>
          <w:p w:rsidR="00E660DB" w:rsidRPr="0089284E" w:rsidRDefault="00E660DB" w:rsidP="00355DB4">
            <w:pPr>
              <w:rPr>
                <w:rFonts w:asciiTheme="majorHAnsi" w:hAnsiTheme="majorHAnsi"/>
                <w:color w:val="000000"/>
                <w:sz w:val="16"/>
                <w:szCs w:val="16"/>
              </w:rPr>
            </w:pP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Cost savings to specific farmers from use of fertilizer made from waste apples in MK.</w:t>
            </w: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Costs and</w:t>
            </w:r>
            <w:r w:rsidRPr="0089284E">
              <w:rPr>
                <w:rFonts w:asciiTheme="majorHAnsi" w:hAnsiTheme="majorHAnsi"/>
                <w:color w:val="000000"/>
                <w:sz w:val="16"/>
                <w:szCs w:val="16"/>
              </w:rPr>
              <w:br/>
              <w:t>technique to produce fertilizer made from waste apples tbd in first six months.</w:t>
            </w:r>
          </w:p>
        </w:tc>
        <w:tc>
          <w:tcPr>
            <w:tcW w:w="252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Reduced in</w:t>
            </w:r>
            <w:r w:rsidRPr="0089284E">
              <w:rPr>
                <w:rFonts w:asciiTheme="majorHAnsi" w:hAnsiTheme="majorHAnsi"/>
                <w:color w:val="000000"/>
                <w:sz w:val="16"/>
                <w:szCs w:val="16"/>
              </w:rPr>
              <w:br/>
              <w:t>participating farms by significant percentage by EoY 3.</w:t>
            </w:r>
          </w:p>
        </w:tc>
        <w:tc>
          <w:tcPr>
            <w:tcW w:w="738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 xml:space="preserve">With the paralel co-funding ensured by UNDP is currently implementing aproject for establishment of a biodegradable waste management in the Macedonian part of the Prespa watershed. The organic waste mostly from the rotten apples will be used for production of fertilizer thus significantly reducing the negative impact of agricultural waste on the quality of water and soil in the watershed. The construction of the system should be completed by the end of 2012. At the same time, the problem with the management of the pasticide packaging waste has been significntly reduced through the system for collection of this waste that was established with support from the Swiss Development Cooperation Agency. (MK) </w:t>
            </w:r>
          </w:p>
        </w:tc>
      </w:tr>
      <w:tr w:rsidR="00E660DB" w:rsidRPr="0089284E" w:rsidTr="0089284E">
        <w:trPr>
          <w:trHeight w:val="332"/>
        </w:trPr>
        <w:tc>
          <w:tcPr>
            <w:tcW w:w="1350" w:type="dxa"/>
            <w:vMerge/>
            <w:shd w:val="clear" w:color="auto" w:fill="auto"/>
            <w:hideMark/>
          </w:tcPr>
          <w:p w:rsidR="00E660DB" w:rsidRPr="0089284E" w:rsidRDefault="00E660DB" w:rsidP="00355DB4">
            <w:pPr>
              <w:rPr>
                <w:rFonts w:asciiTheme="majorHAnsi" w:hAnsiTheme="majorHAnsi"/>
                <w:color w:val="000000"/>
                <w:sz w:val="16"/>
                <w:szCs w:val="16"/>
              </w:rPr>
            </w:pP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Decline in sales of detergents containing phosphorous in Resen municipality.</w:t>
            </w: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Baseline</w:t>
            </w:r>
            <w:r w:rsidRPr="0089284E">
              <w:rPr>
                <w:rFonts w:asciiTheme="majorHAnsi" w:hAnsiTheme="majorHAnsi"/>
                <w:color w:val="000000"/>
                <w:sz w:val="16"/>
                <w:szCs w:val="16"/>
              </w:rPr>
              <w:br/>
              <w:t>TBD in first six months.</w:t>
            </w:r>
          </w:p>
        </w:tc>
        <w:tc>
          <w:tcPr>
            <w:tcW w:w="252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Decline of 50%</w:t>
            </w:r>
            <w:r w:rsidRPr="0089284E">
              <w:rPr>
                <w:rFonts w:asciiTheme="majorHAnsi" w:hAnsiTheme="majorHAnsi"/>
                <w:color w:val="000000"/>
                <w:sz w:val="16"/>
                <w:szCs w:val="16"/>
              </w:rPr>
              <w:br/>
              <w:t>by EoY 3; 75%</w:t>
            </w:r>
            <w:r w:rsidRPr="0089284E">
              <w:rPr>
                <w:rFonts w:asciiTheme="majorHAnsi" w:hAnsiTheme="majorHAnsi"/>
                <w:color w:val="000000"/>
                <w:sz w:val="16"/>
                <w:szCs w:val="16"/>
              </w:rPr>
              <w:br/>
              <w:t>by EoY 4.</w:t>
            </w:r>
          </w:p>
        </w:tc>
        <w:tc>
          <w:tcPr>
            <w:tcW w:w="738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n/a</w:t>
            </w:r>
          </w:p>
        </w:tc>
      </w:tr>
      <w:tr w:rsidR="00E660DB" w:rsidRPr="0089284E" w:rsidTr="0089284E">
        <w:trPr>
          <w:trHeight w:val="566"/>
        </w:trPr>
        <w:tc>
          <w:tcPr>
            <w:tcW w:w="1350" w:type="dxa"/>
            <w:vMerge/>
            <w:shd w:val="clear" w:color="auto" w:fill="auto"/>
            <w:hideMark/>
          </w:tcPr>
          <w:p w:rsidR="00E660DB" w:rsidRPr="0089284E" w:rsidRDefault="00E660DB" w:rsidP="00355DB4">
            <w:pPr>
              <w:rPr>
                <w:rFonts w:asciiTheme="majorHAnsi" w:hAnsiTheme="majorHAnsi"/>
                <w:color w:val="000000"/>
                <w:sz w:val="16"/>
                <w:szCs w:val="16"/>
              </w:rPr>
            </w:pP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Eutrophying inputs (N, organic material) to Macro Prespa reduced m3 through small-scale wastewater treatment pilots.</w:t>
            </w: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One</w:t>
            </w:r>
            <w:r w:rsidRPr="0089284E">
              <w:rPr>
                <w:rFonts w:asciiTheme="majorHAnsi" w:hAnsiTheme="majorHAnsi"/>
                <w:color w:val="000000"/>
                <w:sz w:val="16"/>
                <w:szCs w:val="16"/>
              </w:rPr>
              <w:br/>
              <w:t>wastewater treatment plant in MK and none in AL. Relevant project underway</w:t>
            </w:r>
            <w:r w:rsidRPr="0089284E">
              <w:rPr>
                <w:rFonts w:asciiTheme="majorHAnsi" w:hAnsiTheme="majorHAnsi"/>
                <w:color w:val="000000"/>
                <w:sz w:val="16"/>
                <w:szCs w:val="16"/>
              </w:rPr>
              <w:br/>
              <w:t>in GR* Prespa (Current input to be determined</w:t>
            </w:r>
            <w:r w:rsidRPr="0089284E">
              <w:rPr>
                <w:rFonts w:asciiTheme="majorHAnsi" w:hAnsiTheme="majorHAnsi"/>
                <w:color w:val="000000"/>
                <w:sz w:val="16"/>
                <w:szCs w:val="16"/>
              </w:rPr>
              <w:br/>
              <w:t>by EoY1)</w:t>
            </w:r>
          </w:p>
        </w:tc>
        <w:tc>
          <w:tcPr>
            <w:tcW w:w="252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Two pilots</w:t>
            </w:r>
            <w:r w:rsidRPr="0089284E">
              <w:rPr>
                <w:rFonts w:asciiTheme="majorHAnsi" w:hAnsiTheme="majorHAnsi"/>
                <w:color w:val="000000"/>
                <w:sz w:val="16"/>
                <w:szCs w:val="16"/>
              </w:rPr>
              <w:br/>
              <w:t>reduce inputs by</w:t>
            </w:r>
            <w:r w:rsidRPr="0089284E">
              <w:rPr>
                <w:rFonts w:asciiTheme="majorHAnsi" w:hAnsiTheme="majorHAnsi"/>
                <w:color w:val="000000"/>
                <w:sz w:val="16"/>
                <w:szCs w:val="16"/>
              </w:rPr>
              <w:br/>
              <w:t>1000 m3 by</w:t>
            </w:r>
            <w:r w:rsidRPr="0089284E">
              <w:rPr>
                <w:rFonts w:asciiTheme="majorHAnsi" w:hAnsiTheme="majorHAnsi"/>
                <w:color w:val="000000"/>
                <w:sz w:val="16"/>
                <w:szCs w:val="16"/>
              </w:rPr>
              <w:br/>
              <w:t>EoY 3.</w:t>
            </w:r>
          </w:p>
        </w:tc>
        <w:tc>
          <w:tcPr>
            <w:tcW w:w="738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1. The Waste Water Treatment Plant in Nakolec is still not operational due to delays in completion of the works for construction of the sewage system.  At the last Project Board meeting, the Municipality of Resen and the Ministry of Environment commited to finalize the sewage system by the end of 2012 thus fulfilling their commitment towards the project.  (MK)</w:t>
            </w:r>
          </w:p>
        </w:tc>
      </w:tr>
      <w:tr w:rsidR="00E660DB" w:rsidRPr="0089284E" w:rsidTr="0089284E">
        <w:trPr>
          <w:trHeight w:val="2636"/>
        </w:trPr>
        <w:tc>
          <w:tcPr>
            <w:tcW w:w="1350" w:type="dxa"/>
            <w:vMerge/>
            <w:shd w:val="clear" w:color="auto" w:fill="auto"/>
            <w:hideMark/>
          </w:tcPr>
          <w:p w:rsidR="00E660DB" w:rsidRPr="0089284E" w:rsidRDefault="00E660DB" w:rsidP="00355DB4">
            <w:pPr>
              <w:rPr>
                <w:rFonts w:asciiTheme="majorHAnsi" w:hAnsiTheme="majorHAnsi"/>
                <w:color w:val="000000"/>
                <w:sz w:val="16"/>
                <w:szCs w:val="16"/>
              </w:rPr>
            </w:pP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Improved overall quality of life in villages with small- scale wastewater treatment.</w:t>
            </w: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Community</w:t>
            </w:r>
            <w:r w:rsidRPr="0089284E">
              <w:rPr>
                <w:rFonts w:asciiTheme="majorHAnsi" w:hAnsiTheme="majorHAnsi"/>
                <w:color w:val="000000"/>
                <w:sz w:val="16"/>
                <w:szCs w:val="16"/>
              </w:rPr>
              <w:br/>
              <w:t>survey measures quality of life baseline first</w:t>
            </w:r>
            <w:r w:rsidRPr="0089284E">
              <w:rPr>
                <w:rFonts w:asciiTheme="majorHAnsi" w:hAnsiTheme="majorHAnsi"/>
                <w:color w:val="000000"/>
                <w:sz w:val="16"/>
                <w:szCs w:val="16"/>
              </w:rPr>
              <w:br/>
              <w:t>6 months</w:t>
            </w:r>
          </w:p>
        </w:tc>
        <w:tc>
          <w:tcPr>
            <w:tcW w:w="252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Significant</w:t>
            </w:r>
            <w:r w:rsidRPr="0089284E">
              <w:rPr>
                <w:rFonts w:asciiTheme="majorHAnsi" w:hAnsiTheme="majorHAnsi"/>
                <w:color w:val="000000"/>
                <w:sz w:val="16"/>
                <w:szCs w:val="16"/>
              </w:rPr>
              <w:br/>
              <w:t>increase in quality of life measurement from survey of participating local communities.</w:t>
            </w:r>
          </w:p>
        </w:tc>
        <w:tc>
          <w:tcPr>
            <w:tcW w:w="738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1. Sustained improvements of local communities’ quality of life due to impact and positive progress in the fishery and agricultural sector, enforcement of the law, improvement of the infrastructure, support to the management activities (AL)    2. Considerable river restoration works have been completed in Prespa through the SDC-funded Restoration of Golema Reka project. Both urban and non-urban sections of Golema Reka, the largest and most degraded tributary of Prespa, have been restored, which involved construction of wastewater collection systems in industrial and residential areas located along the river. The SDC funds have also been used for improvement of the hydrological and meteorological monitoring of environmental parameters of Golema Reka.  An urban section with total length of almost 1 km of the Golema Reka riverbed has been fully restored and regulated. A wastewater collection pipeline in the town of Resen with length of 660 m, located along the restored urban section, has been reconstructed. A boundary-urban (sub-urban) section of the Golema Reka riverbed with total length of 64 m, identified as highest priority, has been fully restored and regulated.  A non-urban section of the Golema Reka riverbed with length of roughly 300 m in proximity of Jankovec village has been fully restored and regulated.  Automatic monitoring system has been installed. Hazardous pesticide and fertilizer packaging waste system has been designed, established and put into practice. A Feasibility Study on Biodegradable Waste Management for the entire Prespa region has been developed. Follow up activities on establishing a pilot composting plant covering the area of Resen and Jankovec are ongoing based on recommendations from the Study (see above). A wastewater collection pipeline with a total length of 1,250 m in the village of Gorna Bela Crkva has been installed. The pipeline connects the village to the central Waste Water Treatment Plan Ezerani. As a result of these interventions there's an improved quality of life for the local communities living in the area. (MK)</w:t>
            </w:r>
          </w:p>
        </w:tc>
      </w:tr>
      <w:tr w:rsidR="00E660DB" w:rsidRPr="0089284E" w:rsidTr="0089284E">
        <w:trPr>
          <w:trHeight w:val="458"/>
        </w:trPr>
        <w:tc>
          <w:tcPr>
            <w:tcW w:w="1350" w:type="dxa"/>
            <w:vMerge/>
            <w:shd w:val="clear" w:color="auto" w:fill="auto"/>
            <w:hideMark/>
          </w:tcPr>
          <w:p w:rsidR="00E660DB" w:rsidRPr="0089284E" w:rsidRDefault="00E660DB" w:rsidP="00355DB4">
            <w:pPr>
              <w:rPr>
                <w:rFonts w:asciiTheme="majorHAnsi" w:hAnsiTheme="majorHAnsi"/>
                <w:color w:val="000000"/>
                <w:sz w:val="16"/>
                <w:szCs w:val="16"/>
              </w:rPr>
            </w:pP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Reduced costs for water, pesticide and fertilizer inputs for local farmers in MK, AL and GR*</w:t>
            </w: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Costs tbd in</w:t>
            </w:r>
            <w:r w:rsidRPr="0089284E">
              <w:rPr>
                <w:rFonts w:asciiTheme="majorHAnsi" w:hAnsiTheme="majorHAnsi"/>
                <w:color w:val="000000"/>
                <w:sz w:val="16"/>
                <w:szCs w:val="16"/>
              </w:rPr>
              <w:br/>
              <w:t>first six months</w:t>
            </w:r>
          </w:p>
        </w:tc>
        <w:tc>
          <w:tcPr>
            <w:tcW w:w="252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Reduced in</w:t>
            </w:r>
            <w:r w:rsidRPr="0089284E">
              <w:rPr>
                <w:rFonts w:asciiTheme="majorHAnsi" w:hAnsiTheme="majorHAnsi"/>
                <w:color w:val="000000"/>
                <w:sz w:val="16"/>
                <w:szCs w:val="16"/>
              </w:rPr>
              <w:br/>
              <w:t>monitored farms by significant percentage</w:t>
            </w:r>
            <w:r w:rsidRPr="0089284E">
              <w:rPr>
                <w:rFonts w:asciiTheme="majorHAnsi" w:hAnsiTheme="majorHAnsi"/>
                <w:color w:val="000000"/>
                <w:sz w:val="16"/>
                <w:szCs w:val="16"/>
              </w:rPr>
              <w:br/>
              <w:t>(more than 35-</w:t>
            </w:r>
            <w:r w:rsidRPr="0089284E">
              <w:rPr>
                <w:rFonts w:asciiTheme="majorHAnsi" w:hAnsiTheme="majorHAnsi"/>
                <w:color w:val="000000"/>
                <w:sz w:val="16"/>
                <w:szCs w:val="16"/>
              </w:rPr>
              <w:br/>
              <w:t>40%) by EoY 3</w:t>
            </w:r>
          </w:p>
        </w:tc>
        <w:tc>
          <w:tcPr>
            <w:tcW w:w="738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1. Same estimates remain for this period. (MK)                                      2. Insignificant export of pesticides and fertiliser marked in the custom observations (AL)</w:t>
            </w:r>
          </w:p>
        </w:tc>
      </w:tr>
      <w:tr w:rsidR="00E660DB" w:rsidRPr="0089284E" w:rsidTr="0089284E">
        <w:trPr>
          <w:trHeight w:val="5876"/>
        </w:trPr>
        <w:tc>
          <w:tcPr>
            <w:tcW w:w="1350" w:type="dxa"/>
            <w:vMerge w:val="restart"/>
            <w:shd w:val="clear" w:color="auto" w:fill="auto"/>
            <w:hideMark/>
          </w:tcPr>
          <w:p w:rsidR="00E660DB" w:rsidRPr="004F4FCE" w:rsidRDefault="00E660DB" w:rsidP="00355DB4">
            <w:pPr>
              <w:rPr>
                <w:rFonts w:asciiTheme="majorHAnsi" w:hAnsiTheme="majorHAnsi"/>
                <w:color w:val="000000"/>
                <w:sz w:val="16"/>
                <w:szCs w:val="16"/>
              </w:rPr>
            </w:pPr>
            <w:r w:rsidRPr="00981CE9">
              <w:rPr>
                <w:rFonts w:asciiTheme="majorHAnsi" w:hAnsiTheme="majorHAnsi"/>
                <w:color w:val="000000"/>
                <w:sz w:val="16"/>
                <w:szCs w:val="16"/>
              </w:rPr>
              <w:t>Outcome 3: Stakeholders conserve priority biological diversity across the Prespa Basin and make key protected areas in Prespa Basin fully operational</w:t>
            </w:r>
          </w:p>
          <w:p w:rsidR="00E660DB" w:rsidRPr="00E47796" w:rsidRDefault="00E660DB" w:rsidP="00355DB4">
            <w:pPr>
              <w:rPr>
                <w:rFonts w:asciiTheme="majorHAnsi" w:hAnsiTheme="majorHAnsi"/>
                <w:color w:val="000000"/>
                <w:sz w:val="16"/>
                <w:szCs w:val="16"/>
              </w:rPr>
            </w:pPr>
            <w:r w:rsidRPr="00FC1E0C">
              <w:rPr>
                <w:rFonts w:asciiTheme="majorHAnsi" w:hAnsiTheme="majorHAnsi"/>
                <w:color w:val="000000"/>
                <w:sz w:val="16"/>
                <w:szCs w:val="16"/>
              </w:rPr>
              <w:t> </w:t>
            </w:r>
          </w:p>
          <w:p w:rsidR="00E660DB" w:rsidRPr="00522AD6" w:rsidRDefault="00E660DB" w:rsidP="00355DB4">
            <w:pPr>
              <w:rPr>
                <w:rFonts w:asciiTheme="majorHAnsi" w:hAnsiTheme="majorHAnsi"/>
                <w:color w:val="000000"/>
                <w:sz w:val="16"/>
                <w:szCs w:val="16"/>
              </w:rPr>
            </w:pPr>
            <w:r w:rsidRPr="00522AD6">
              <w:rPr>
                <w:rFonts w:asciiTheme="majorHAnsi" w:hAnsiTheme="majorHAnsi"/>
                <w:color w:val="000000"/>
                <w:sz w:val="16"/>
                <w:szCs w:val="16"/>
              </w:rPr>
              <w:t> </w:t>
            </w:r>
          </w:p>
          <w:p w:rsidR="00E660DB" w:rsidRPr="00C24A6A" w:rsidRDefault="00E660DB" w:rsidP="00355DB4">
            <w:pPr>
              <w:rPr>
                <w:rFonts w:asciiTheme="majorHAnsi" w:hAnsiTheme="majorHAnsi"/>
                <w:color w:val="000000"/>
                <w:sz w:val="16"/>
                <w:szCs w:val="16"/>
              </w:rPr>
            </w:pPr>
            <w:r w:rsidRPr="00C24A6A">
              <w:rPr>
                <w:rFonts w:asciiTheme="majorHAnsi" w:hAnsiTheme="majorHAnsi"/>
                <w:color w:val="000000"/>
                <w:sz w:val="16"/>
                <w:szCs w:val="16"/>
              </w:rPr>
              <w:t> </w:t>
            </w:r>
          </w:p>
          <w:p w:rsidR="00E660DB" w:rsidRPr="004B7788" w:rsidRDefault="00E660DB" w:rsidP="00355DB4">
            <w:pPr>
              <w:rPr>
                <w:rFonts w:asciiTheme="majorHAnsi" w:hAnsiTheme="majorHAnsi"/>
                <w:color w:val="000000"/>
                <w:sz w:val="16"/>
                <w:szCs w:val="16"/>
              </w:rPr>
            </w:pPr>
            <w:r w:rsidRPr="004B7788">
              <w:rPr>
                <w:rFonts w:asciiTheme="majorHAnsi" w:hAnsiTheme="majorHAnsi"/>
                <w:color w:val="000000"/>
                <w:sz w:val="16"/>
                <w:szCs w:val="16"/>
              </w:rPr>
              <w:t> </w:t>
            </w:r>
          </w:p>
          <w:p w:rsidR="00E660DB" w:rsidRPr="00C1010D" w:rsidRDefault="00E660DB" w:rsidP="00355DB4">
            <w:pPr>
              <w:rPr>
                <w:rFonts w:asciiTheme="majorHAnsi" w:hAnsiTheme="majorHAnsi"/>
                <w:color w:val="000000"/>
                <w:sz w:val="16"/>
                <w:szCs w:val="16"/>
              </w:rPr>
            </w:pPr>
            <w:r w:rsidRPr="00C1010D">
              <w:rPr>
                <w:rFonts w:asciiTheme="majorHAnsi" w:hAnsiTheme="majorHAnsi"/>
                <w:color w:val="000000"/>
                <w:sz w:val="16"/>
                <w:szCs w:val="16"/>
              </w:rPr>
              <w:t> </w:t>
            </w:r>
          </w:p>
          <w:p w:rsidR="00E660DB" w:rsidRPr="00575C91" w:rsidRDefault="00E660DB" w:rsidP="00355DB4">
            <w:pPr>
              <w:rPr>
                <w:rFonts w:asciiTheme="majorHAnsi" w:hAnsiTheme="majorHAnsi"/>
                <w:color w:val="000000"/>
                <w:sz w:val="16"/>
                <w:szCs w:val="16"/>
              </w:rPr>
            </w:pPr>
            <w:r w:rsidRPr="00575C91">
              <w:rPr>
                <w:rFonts w:asciiTheme="majorHAnsi" w:hAnsiTheme="majorHAnsi"/>
                <w:color w:val="000000"/>
                <w:sz w:val="16"/>
                <w:szCs w:val="16"/>
              </w:rPr>
              <w:t> </w:t>
            </w:r>
          </w:p>
          <w:p w:rsidR="00E660DB" w:rsidRPr="0097745A" w:rsidRDefault="00E660DB" w:rsidP="00355DB4">
            <w:pPr>
              <w:rPr>
                <w:rFonts w:asciiTheme="majorHAnsi" w:hAnsiTheme="majorHAnsi"/>
                <w:color w:val="000000"/>
                <w:sz w:val="16"/>
                <w:szCs w:val="16"/>
              </w:rPr>
            </w:pPr>
            <w:r w:rsidRPr="0097745A">
              <w:rPr>
                <w:rFonts w:asciiTheme="majorHAnsi" w:hAnsiTheme="majorHAnsi"/>
                <w:color w:val="000000"/>
                <w:sz w:val="16"/>
                <w:szCs w:val="16"/>
              </w:rPr>
              <w:t> </w:t>
            </w:r>
          </w:p>
          <w:p w:rsidR="00E660DB" w:rsidRPr="00DE1184" w:rsidRDefault="00E660DB" w:rsidP="00355DB4">
            <w:pPr>
              <w:rPr>
                <w:rFonts w:asciiTheme="majorHAnsi" w:hAnsiTheme="majorHAnsi"/>
                <w:color w:val="000000"/>
                <w:sz w:val="16"/>
                <w:szCs w:val="16"/>
              </w:rPr>
            </w:pPr>
            <w:r w:rsidRPr="00DE1184">
              <w:rPr>
                <w:rFonts w:asciiTheme="majorHAnsi" w:hAnsiTheme="majorHAnsi"/>
                <w:color w:val="000000"/>
                <w:sz w:val="16"/>
                <w:szCs w:val="16"/>
              </w:rPr>
              <w:t> </w:t>
            </w:r>
          </w:p>
          <w:p w:rsidR="00E660DB" w:rsidRPr="00747F99" w:rsidRDefault="00E660DB" w:rsidP="00355DB4">
            <w:pPr>
              <w:rPr>
                <w:rFonts w:asciiTheme="majorHAnsi" w:hAnsiTheme="majorHAnsi"/>
                <w:color w:val="000000"/>
                <w:sz w:val="16"/>
                <w:szCs w:val="16"/>
              </w:rPr>
            </w:pPr>
            <w:r w:rsidRPr="00747F99">
              <w:rPr>
                <w:rFonts w:asciiTheme="majorHAnsi" w:hAnsiTheme="majorHAnsi"/>
                <w:color w:val="000000"/>
                <w:sz w:val="16"/>
                <w:szCs w:val="16"/>
              </w:rPr>
              <w:t> </w:t>
            </w:r>
          </w:p>
        </w:tc>
        <w:tc>
          <w:tcPr>
            <w:tcW w:w="1530" w:type="dxa"/>
            <w:shd w:val="clear" w:color="auto" w:fill="auto"/>
            <w:hideMark/>
          </w:tcPr>
          <w:p w:rsidR="00E660DB" w:rsidRPr="00F901DA" w:rsidRDefault="00E660DB" w:rsidP="00355DB4">
            <w:pPr>
              <w:rPr>
                <w:rFonts w:asciiTheme="majorHAnsi" w:hAnsiTheme="majorHAnsi"/>
                <w:color w:val="000000"/>
                <w:sz w:val="16"/>
                <w:szCs w:val="16"/>
              </w:rPr>
            </w:pPr>
            <w:r w:rsidRPr="00F901DA">
              <w:rPr>
                <w:rFonts w:asciiTheme="majorHAnsi" w:hAnsiTheme="majorHAnsi"/>
                <w:color w:val="000000"/>
                <w:sz w:val="16"/>
                <w:szCs w:val="16"/>
              </w:rPr>
              <w:t># hectares of priority habitat for birds, fish, rare plants, and mammals under improved conservation management</w:t>
            </w:r>
          </w:p>
        </w:tc>
        <w:tc>
          <w:tcPr>
            <w:tcW w:w="1530" w:type="dxa"/>
            <w:shd w:val="clear" w:color="auto" w:fill="auto"/>
            <w:hideMark/>
          </w:tcPr>
          <w:p w:rsidR="00E660DB" w:rsidRPr="00651359" w:rsidRDefault="00E660DB" w:rsidP="00355DB4">
            <w:pPr>
              <w:rPr>
                <w:rFonts w:asciiTheme="majorHAnsi" w:hAnsiTheme="majorHAnsi"/>
                <w:color w:val="000000"/>
                <w:sz w:val="16"/>
                <w:szCs w:val="16"/>
              </w:rPr>
            </w:pPr>
            <w:r w:rsidRPr="00B15342">
              <w:rPr>
                <w:rFonts w:asciiTheme="majorHAnsi" w:hAnsiTheme="majorHAnsi"/>
                <w:color w:val="000000"/>
                <w:sz w:val="16"/>
                <w:szCs w:val="16"/>
              </w:rPr>
              <w:t>No managemen t plans; no active managemen t; no specific # of hectar</w:t>
            </w:r>
            <w:r w:rsidRPr="00651359">
              <w:rPr>
                <w:rFonts w:asciiTheme="majorHAnsi" w:hAnsiTheme="majorHAnsi"/>
                <w:color w:val="000000"/>
                <w:sz w:val="16"/>
                <w:szCs w:val="16"/>
              </w:rPr>
              <w:t>es under special managemen;</w:t>
            </w:r>
            <w:r w:rsidRPr="00651359">
              <w:rPr>
                <w:rFonts w:asciiTheme="majorHAnsi" w:hAnsiTheme="majorHAnsi"/>
                <w:color w:val="000000"/>
                <w:sz w:val="16"/>
                <w:szCs w:val="16"/>
              </w:rPr>
              <w:br/>
              <w:t>Approved management plan (2001) for wet meadows of Micro Prespa in GR* which is being revised through SPP LIFE-Nature project GR*.</w:t>
            </w:r>
          </w:p>
        </w:tc>
        <w:tc>
          <w:tcPr>
            <w:tcW w:w="2520" w:type="dxa"/>
            <w:shd w:val="clear" w:color="auto" w:fill="auto"/>
            <w:hideMark/>
          </w:tcPr>
          <w:p w:rsidR="00E660DB" w:rsidRPr="00356565" w:rsidRDefault="00E660DB" w:rsidP="00355DB4">
            <w:pPr>
              <w:rPr>
                <w:rFonts w:asciiTheme="majorHAnsi" w:hAnsiTheme="majorHAnsi"/>
                <w:color w:val="000000"/>
                <w:sz w:val="16"/>
                <w:szCs w:val="16"/>
              </w:rPr>
            </w:pPr>
            <w:r w:rsidRPr="00EF0459">
              <w:rPr>
                <w:rFonts w:asciiTheme="majorHAnsi" w:hAnsiTheme="majorHAnsi"/>
                <w:color w:val="000000"/>
                <w:sz w:val="16"/>
                <w:szCs w:val="16"/>
              </w:rPr>
              <w:t>Target number</w:t>
            </w:r>
            <w:r w:rsidRPr="00EF0459">
              <w:rPr>
                <w:rFonts w:asciiTheme="majorHAnsi" w:hAnsiTheme="majorHAnsi"/>
                <w:color w:val="000000"/>
                <w:sz w:val="16"/>
                <w:szCs w:val="16"/>
              </w:rPr>
              <w:br/>
              <w:t>of hectares under improved manage</w:t>
            </w:r>
            <w:r w:rsidRPr="00356565">
              <w:rPr>
                <w:rFonts w:asciiTheme="majorHAnsi" w:hAnsiTheme="majorHAnsi"/>
                <w:color w:val="000000"/>
                <w:sz w:val="16"/>
                <w:szCs w:val="16"/>
              </w:rPr>
              <w:t>ment to be determined and implemented based on recommendatio</w:t>
            </w:r>
            <w:r w:rsidRPr="00356565">
              <w:rPr>
                <w:rFonts w:asciiTheme="majorHAnsi" w:hAnsiTheme="majorHAnsi"/>
                <w:color w:val="000000"/>
                <w:sz w:val="16"/>
                <w:szCs w:val="16"/>
              </w:rPr>
              <w:br/>
              <w:t>ns of the species action plans.</w:t>
            </w:r>
          </w:p>
        </w:tc>
        <w:tc>
          <w:tcPr>
            <w:tcW w:w="7380" w:type="dxa"/>
            <w:shd w:val="clear" w:color="auto" w:fill="auto"/>
            <w:hideMark/>
          </w:tcPr>
          <w:p w:rsidR="00E660DB" w:rsidRPr="0089284E" w:rsidRDefault="00E660DB" w:rsidP="00355DB4">
            <w:pPr>
              <w:rPr>
                <w:rFonts w:asciiTheme="majorHAnsi" w:hAnsiTheme="majorHAnsi"/>
                <w:color w:val="000000"/>
                <w:sz w:val="16"/>
                <w:szCs w:val="16"/>
              </w:rPr>
            </w:pPr>
            <w:r w:rsidRPr="00876331">
              <w:rPr>
                <w:rFonts w:asciiTheme="majorHAnsi" w:hAnsiTheme="majorHAnsi"/>
                <w:color w:val="000000"/>
                <w:sz w:val="16"/>
                <w:szCs w:val="16"/>
              </w:rPr>
              <w:t>1. UNDP project assistance and resource materials are provided for the development of the Prespa Park Management Plan as well as for the training and capacity buil</w:t>
            </w:r>
            <w:r w:rsidRPr="00572FEB">
              <w:rPr>
                <w:rFonts w:asciiTheme="majorHAnsi" w:hAnsiTheme="majorHAnsi"/>
                <w:color w:val="000000"/>
                <w:sz w:val="16"/>
                <w:szCs w:val="16"/>
              </w:rPr>
              <w:t>ding for the monitoring aspect with PNP administration (AL)</w:t>
            </w:r>
            <w:r w:rsidRPr="00572FEB">
              <w:rPr>
                <w:rFonts w:asciiTheme="majorHAnsi" w:hAnsiTheme="majorHAnsi"/>
                <w:color w:val="000000"/>
                <w:sz w:val="16"/>
                <w:szCs w:val="16"/>
              </w:rPr>
              <w:br/>
              <w:t xml:space="preserve">2. Conservation plans for transboundary priority species and habitats were prepared in this reporting period. The conservatiion plans include an analysys of threats and offer comprehensive set of </w:t>
            </w:r>
            <w:r w:rsidRPr="00CA5215">
              <w:rPr>
                <w:rFonts w:asciiTheme="majorHAnsi" w:hAnsiTheme="majorHAnsi"/>
                <w:color w:val="000000"/>
                <w:sz w:val="16"/>
                <w:szCs w:val="16"/>
              </w:rPr>
              <w:t xml:space="preserve">measures for protection and conservation of the species and habitats. The plans are completed ans shared with the relevant stakeholders and further promoted through public events/public awareness activity.  (TB)                                             </w:t>
            </w:r>
            <w:r w:rsidRPr="002040E2">
              <w:rPr>
                <w:rFonts w:asciiTheme="majorHAnsi" w:hAnsiTheme="majorHAnsi"/>
                <w:color w:val="000000"/>
                <w:sz w:val="16"/>
                <w:szCs w:val="16"/>
              </w:rPr>
              <w:t xml:space="preserve">                                                                            3. The conservation plan on Juniper Forest ((Juniperetum excelsae)  aims to   provide measures for establishment of  sustainable management of juniper forest, which includes (a) th</w:t>
            </w:r>
            <w:r w:rsidRPr="009D2056">
              <w:rPr>
                <w:rFonts w:asciiTheme="majorHAnsi" w:hAnsiTheme="majorHAnsi"/>
                <w:color w:val="000000"/>
                <w:sz w:val="16"/>
                <w:szCs w:val="16"/>
              </w:rPr>
              <w:t xml:space="preserve">e prevention of illegal cutting, (b) introduction of sustainable management for coppicing and (c) effective enforcement of existing legislation.(TB)                                                               4. Furthermore, the Brown Bear (Ursus arctos </w:t>
            </w:r>
            <w:r w:rsidRPr="00101FA5">
              <w:rPr>
                <w:rFonts w:asciiTheme="majorHAnsi" w:hAnsiTheme="majorHAnsi"/>
                <w:color w:val="000000"/>
                <w:sz w:val="16"/>
                <w:szCs w:val="16"/>
              </w:rPr>
              <w:t>L.) Conservation Action Plan for Lake Prespa’s provides measures for eliminate poaching and trade, safeguarding the  coherent bear range/habitats, reduce the human-bears’ conflicts, secure the natural supply and diversity of food production, to have suffic</w:t>
            </w:r>
            <w:r w:rsidRPr="00BD3DD2">
              <w:rPr>
                <w:rFonts w:asciiTheme="majorHAnsi" w:hAnsiTheme="majorHAnsi"/>
                <w:color w:val="000000"/>
                <w:sz w:val="16"/>
                <w:szCs w:val="16"/>
              </w:rPr>
              <w:t>ient knowledge, minimize disturbance and Improve communication.  The plan also includes a detailed  5–year period. (TB)                                                                                                                              5. The acti</w:t>
            </w:r>
            <w:r w:rsidRPr="009D314D">
              <w:rPr>
                <w:rFonts w:asciiTheme="majorHAnsi" w:hAnsiTheme="majorHAnsi"/>
                <w:color w:val="000000"/>
                <w:sz w:val="16"/>
                <w:szCs w:val="16"/>
              </w:rPr>
              <w:t xml:space="preserve">on plan on Caves/Bats in Prespa Conservation projects includes a 5-year action plan and proposes a number of approaches for protetcion of these species/habitat including  establishment of   working groups on bats and appoint a coordinator in each country, </w:t>
            </w:r>
            <w:r w:rsidRPr="000D6122">
              <w:rPr>
                <w:rFonts w:asciiTheme="majorHAnsi" w:hAnsiTheme="majorHAnsi"/>
                <w:color w:val="000000"/>
                <w:sz w:val="16"/>
                <w:szCs w:val="16"/>
              </w:rPr>
              <w:t>organization of regular contacts, exchange of information/findings from bat surveys, and meetings, planning and implement joint monitoring and research efforts based on commonly agreed protocols and methodologies,</w:t>
            </w:r>
            <w:r w:rsidRPr="000D6122">
              <w:rPr>
                <w:rFonts w:asciiTheme="majorHAnsi" w:hAnsiTheme="majorHAnsi"/>
                <w:color w:val="000000"/>
                <w:sz w:val="16"/>
                <w:szCs w:val="16"/>
              </w:rPr>
              <w:br/>
              <w:t>etc. (TB)</w:t>
            </w:r>
            <w:r w:rsidRPr="000D6122">
              <w:rPr>
                <w:rFonts w:asciiTheme="majorHAnsi" w:hAnsiTheme="majorHAnsi"/>
                <w:color w:val="000000"/>
                <w:sz w:val="16"/>
                <w:szCs w:val="16"/>
              </w:rPr>
              <w:br/>
              <w:t>6. A 5-year conserv ation plan i</w:t>
            </w:r>
            <w:r w:rsidRPr="000278FD">
              <w:rPr>
                <w:rFonts w:asciiTheme="majorHAnsi" w:hAnsiTheme="majorHAnsi"/>
                <w:color w:val="000000"/>
                <w:sz w:val="16"/>
                <w:szCs w:val="16"/>
              </w:rPr>
              <w:t>s developed for Prespa reedbeds. The plan analyses the threats and proposes measures and actions including controlof the  human induced oscillations in the water level; Mitigation of  the impacts from siltation processes on reedbeds in Lesser Prespa Lake t</w:t>
            </w:r>
            <w:r w:rsidRPr="00987734">
              <w:rPr>
                <w:rFonts w:asciiTheme="majorHAnsi" w:hAnsiTheme="majorHAnsi"/>
                <w:color w:val="000000"/>
                <w:sz w:val="16"/>
                <w:szCs w:val="16"/>
              </w:rPr>
              <w:t>hrough modification of management practices; Minimization of the pressure/impact on reedbeds from uncontrolled land use; Promotion and implementation of appropriate management of the reedbeds; Improvement of the general viability of the reedbeds through be</w:t>
            </w:r>
            <w:r w:rsidRPr="008C2EBF">
              <w:rPr>
                <w:rFonts w:asciiTheme="majorHAnsi" w:hAnsiTheme="majorHAnsi"/>
                <w:color w:val="000000"/>
                <w:sz w:val="16"/>
                <w:szCs w:val="16"/>
              </w:rPr>
              <w:t xml:space="preserve">tter implementation of the existing legislation; Improvement of the knowledge and  data about the reedbeds and raising of public and stakeholder awareness about the value of the habitat and the need for its proper management.(TB)    </w:t>
            </w:r>
            <w:r w:rsidRPr="006F454E">
              <w:rPr>
                <w:rFonts w:asciiTheme="majorHAnsi" w:hAnsiTheme="majorHAnsi"/>
                <w:color w:val="000000"/>
                <w:sz w:val="16"/>
                <w:szCs w:val="16"/>
              </w:rPr>
              <w:t xml:space="preserve">                                                       7. Following the recommendation in the Study for revalorization of Ezerani protected area the Prliament enacted a Law on protected area "Ezerani". A Management Plan for the Ezerani protected area is al</w:t>
            </w:r>
            <w:r w:rsidRPr="005E29D6">
              <w:rPr>
                <w:rFonts w:asciiTheme="majorHAnsi" w:hAnsiTheme="majorHAnsi"/>
                <w:color w:val="000000"/>
                <w:sz w:val="16"/>
                <w:szCs w:val="16"/>
              </w:rPr>
              <w:t xml:space="preserve">so prepared, appointing the Municipality of Resen as a management authority .(MK)   </w:t>
            </w:r>
            <w:r w:rsidRPr="005E29D6">
              <w:rPr>
                <w:rFonts w:asciiTheme="majorHAnsi" w:hAnsiTheme="majorHAnsi"/>
                <w:color w:val="000000"/>
                <w:sz w:val="16"/>
                <w:szCs w:val="16"/>
              </w:rPr>
              <w:br/>
              <w:t>7. The first Transboundary Fish and Fisheries Management Plan for the Prespa Lakes was completed at the beginning of 2012. Amongst other measures, the plan proposes a tota</w:t>
            </w:r>
            <w:r w:rsidRPr="0089284E">
              <w:rPr>
                <w:rFonts w:asciiTheme="majorHAnsi" w:hAnsiTheme="majorHAnsi"/>
                <w:color w:val="000000"/>
                <w:sz w:val="16"/>
                <w:szCs w:val="16"/>
              </w:rPr>
              <w:t>l ban on fishing Prespa barbell for 6 years period and a 3 years ban on fishing Prespa Trout from the tributaries (for more information on the plan see above).</w:t>
            </w:r>
          </w:p>
        </w:tc>
      </w:tr>
      <w:tr w:rsidR="00E660DB" w:rsidRPr="0089284E" w:rsidTr="0089284E">
        <w:trPr>
          <w:trHeight w:val="2186"/>
        </w:trPr>
        <w:tc>
          <w:tcPr>
            <w:tcW w:w="1350" w:type="dxa"/>
            <w:vMerge/>
            <w:shd w:val="clear" w:color="auto" w:fill="auto"/>
            <w:hideMark/>
          </w:tcPr>
          <w:p w:rsidR="00E660DB" w:rsidRPr="0089284E" w:rsidRDefault="00E660DB" w:rsidP="00355DB4">
            <w:pPr>
              <w:rPr>
                <w:rFonts w:asciiTheme="majorHAnsi" w:hAnsiTheme="majorHAnsi"/>
                <w:color w:val="000000"/>
                <w:sz w:val="16"/>
                <w:szCs w:val="16"/>
              </w:rPr>
            </w:pP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ENR and PPA-GR* are/are not gazetted and boundaries are/are not clearly marked on maps or on the ground</w:t>
            </w: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Not gazetted; Not clearly marked</w:t>
            </w:r>
          </w:p>
        </w:tc>
        <w:tc>
          <w:tcPr>
            <w:tcW w:w="252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ENR and PPA-GR *are gazetted and boundaries are clearly marked on the ground by EoY4.</w:t>
            </w:r>
          </w:p>
        </w:tc>
        <w:tc>
          <w:tcPr>
            <w:tcW w:w="738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1. Following the recommendation in the Study for revalorization of Ezerani protected area, the Parliament enacted a re-designation Law on Ezerani. A Management Plan for the Ezerani protected area is also prepared, in accordance with the national regulations, the primary management objectives, and the category type proposed in the revalorization study. The Management Plan has been handed over to the new management authority, the Municipality of Resen as per the Law on Ezerani. The Management Plan will be used as the main document guiding the area’s operation. The process has been conducted in a highly participatory environment through various formal and informal communication mechanisms, such as the stakeholder advisory body called Ezerani Council which has been established for the purpose.(MK)                                                                       2. In parallel with the management planning process, the project supported the preparation of an Economic Valuation Report aiming at raising the awareness of the economic values of effective conservation, evaluating the costs and benefits of specific habitat management actions to inform conservation and public funding decisions, identifying financial opportunities for the protected area and neighboring communities associated with the provision of ecosystem services and with specific management actions; and  generating participation and training opportunities for conservation managers and decision-makers in economic valuation for integrated ecosystem management. (MK)</w:t>
            </w:r>
          </w:p>
        </w:tc>
      </w:tr>
      <w:tr w:rsidR="00E660DB" w:rsidRPr="0089284E" w:rsidTr="0089284E">
        <w:trPr>
          <w:trHeight w:val="117"/>
        </w:trPr>
        <w:tc>
          <w:tcPr>
            <w:tcW w:w="1350" w:type="dxa"/>
            <w:vMerge/>
            <w:shd w:val="clear" w:color="auto" w:fill="auto"/>
            <w:hideMark/>
          </w:tcPr>
          <w:p w:rsidR="00E660DB" w:rsidRPr="0089284E" w:rsidRDefault="00E660DB" w:rsidP="00355DB4">
            <w:pPr>
              <w:rPr>
                <w:rFonts w:asciiTheme="majorHAnsi" w:hAnsiTheme="majorHAnsi"/>
                <w:color w:val="000000"/>
                <w:sz w:val="16"/>
                <w:szCs w:val="16"/>
              </w:rPr>
            </w:pP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Golema Reka River (MK) restored</w:t>
            </w: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Degraded Golema River in need of solid waste removal, stream habitat and substrate protection and reduction of pollution (including pollution from fish farms near Krusje springs)</w:t>
            </w:r>
          </w:p>
        </w:tc>
        <w:tc>
          <w:tcPr>
            <w:tcW w:w="252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Analysis of situation by EoY 1; Approval of final plans by EoY 2;</w:t>
            </w:r>
            <w:r w:rsidRPr="0089284E">
              <w:rPr>
                <w:rFonts w:asciiTheme="majorHAnsi" w:hAnsiTheme="majorHAnsi"/>
                <w:color w:val="000000"/>
                <w:sz w:val="16"/>
                <w:szCs w:val="16"/>
              </w:rPr>
              <w:br/>
            </w:r>
            <w:r w:rsidRPr="0089284E">
              <w:rPr>
                <w:rFonts w:asciiTheme="majorHAnsi" w:hAnsiTheme="majorHAnsi"/>
                <w:color w:val="000000"/>
                <w:sz w:val="16"/>
                <w:szCs w:val="16"/>
              </w:rPr>
              <w:br/>
              <w:t>Pilot demonstration restoration by EoY3;</w:t>
            </w:r>
          </w:p>
        </w:tc>
        <w:tc>
          <w:tcPr>
            <w:tcW w:w="738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1. (see above) Following the recommendation in the Study for revalorization of Ezerani protected area, the Parliament enacted a re-designation Law on Ezerani. A Management Plan for Ezerani protected area is also prepared, in accordance with the national regulations, the primary management objectives, and the category type proposed in the revalorization study. The Management plan has been handed over to the new management authority - the Municipality of Resen as per the Law on Ezerani. The Management Plan will be used as the main document guiding the area’s operation. The process has been conducted in a highly participatory environment through various formal and informal communication mechanisms, such as the stakeholder advisory body called Ezerani Council which has been established for the purpose.(MK)                                                                       2. In parallel with the management planning process, the project supported the preparation of an Economic Valuation Report aiming at raising the awareness of the economic values of effective conservation, evaluating the costs and benefits of specific habitat management actions to inform conservation and public funding decisions, identifying financial opportunities for the protected area and neighboring communities associated with the provision of ecosystem services and with specific management actions; and  generating participation and training opportunities for conservation managers and decision-makers in economic valuation for integrated ecosystem management. (MK)                  3. Considerable river restoration works have been completed in Prespa through the SDC-funded Restoration of Golema Reka project. Both urban and non-urban sections of Golema Reka, the largest and most degraded tributary of Prespa, have been restored, which also involved construction of wastewater collection systems in industrial and residential areas located along the river. The SDC funds have also been used for improvement of the hydrological and meteorological monitoring of environmental parameters of Golema Reka.  An urban section with total length of almost 1 km of the Golema Reka riverbed has been fully restored and regulated. A wastewater collection pipeline in the town of Resen with length of 660 m, located along the restored urban section, has been reconstructed. A boundary-urban (sub-urban) section of the Golema Reka riverbed with total length of 64 m, identified as highest priority, has been fully restored and regulated.  A non-urban section of the Golema Reka riverbed with length of roughly 300 m in proximity of Jankovec village has been fully restored and regulated.  Automatic monitoring system has been installed. Hazardous pesticide and fertilizer packaging waste system has been established and put into practice. A Feasibility Study on Biodegradable Waste Management for the entire Prespa region has been developed. Follow up activities on establishing a pilot (small-scale) composting plant covering the area of Resen and Jankovec are ongoing based on recommendations from the Study (see above). A wastewater collection pipeline with a total length of 1,250 m in the village of Gorna Bela Crkva has been constructed. The pipeline connects the village to the central Waste Water Ttreatment Plant Ezerani.(MK)</w:t>
            </w:r>
          </w:p>
        </w:tc>
      </w:tr>
      <w:tr w:rsidR="00E660DB" w:rsidRPr="0089284E" w:rsidTr="0089284E">
        <w:trPr>
          <w:trHeight w:val="170"/>
        </w:trPr>
        <w:tc>
          <w:tcPr>
            <w:tcW w:w="1350" w:type="dxa"/>
            <w:vMerge/>
            <w:shd w:val="clear" w:color="auto" w:fill="auto"/>
            <w:hideMark/>
          </w:tcPr>
          <w:p w:rsidR="00E660DB" w:rsidRPr="0089284E" w:rsidRDefault="00E660DB" w:rsidP="00355DB4">
            <w:pPr>
              <w:rPr>
                <w:rFonts w:asciiTheme="majorHAnsi" w:hAnsiTheme="majorHAnsi"/>
                <w:color w:val="000000"/>
                <w:sz w:val="16"/>
                <w:szCs w:val="16"/>
              </w:rPr>
            </w:pP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Number of species action plans developed and approved</w:t>
            </w: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Few species action plans;</w:t>
            </w:r>
            <w:r w:rsidRPr="0089284E">
              <w:rPr>
                <w:rFonts w:asciiTheme="majorHAnsi" w:hAnsiTheme="majorHAnsi"/>
                <w:color w:val="000000"/>
                <w:sz w:val="16"/>
                <w:szCs w:val="16"/>
              </w:rPr>
              <w:br/>
              <w:t>Information very good for some species, spotty or lacking for</w:t>
            </w:r>
            <w:r w:rsidRPr="0089284E">
              <w:rPr>
                <w:rFonts w:asciiTheme="majorHAnsi" w:hAnsiTheme="majorHAnsi"/>
                <w:color w:val="000000"/>
                <w:sz w:val="16"/>
                <w:szCs w:val="16"/>
              </w:rPr>
              <w:br/>
              <w:t>others</w:t>
            </w:r>
          </w:p>
        </w:tc>
        <w:tc>
          <w:tcPr>
            <w:tcW w:w="252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Species action plans developed and agreed in the Prespa basin by EoY 4.</w:t>
            </w:r>
          </w:p>
        </w:tc>
        <w:tc>
          <w:tcPr>
            <w:tcW w:w="738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1. Conservation plans for transboundary priority species and habitats were prepared in this reporting period. The conservatiion plans include an analysys of threats and offer comprehensive set of measures for protection and conservation of the species and habitats. The plans are completed ans shared with the relevant stakeholders and further promoted through public events/public awareness activity.  (TB)                                                                                                                         2. The conservation plan on Juniper Forest ((Juniperetum excelsae</w:t>
            </w:r>
            <w:r w:rsidR="00355DB4" w:rsidRPr="0089284E">
              <w:rPr>
                <w:rFonts w:asciiTheme="majorHAnsi" w:hAnsiTheme="majorHAnsi"/>
                <w:color w:val="000000"/>
                <w:sz w:val="16"/>
                <w:szCs w:val="16"/>
              </w:rPr>
              <w:t>) aims</w:t>
            </w:r>
            <w:r w:rsidRPr="0089284E">
              <w:rPr>
                <w:rFonts w:asciiTheme="majorHAnsi" w:hAnsiTheme="majorHAnsi"/>
                <w:color w:val="000000"/>
                <w:sz w:val="16"/>
                <w:szCs w:val="16"/>
              </w:rPr>
              <w:t xml:space="preserve"> to   provide measures for establishment </w:t>
            </w:r>
            <w:r w:rsidR="00355DB4" w:rsidRPr="0089284E">
              <w:rPr>
                <w:rFonts w:asciiTheme="majorHAnsi" w:hAnsiTheme="majorHAnsi"/>
                <w:color w:val="000000"/>
                <w:sz w:val="16"/>
                <w:szCs w:val="16"/>
              </w:rPr>
              <w:t>of sustainable</w:t>
            </w:r>
            <w:r w:rsidRPr="0089284E">
              <w:rPr>
                <w:rFonts w:asciiTheme="majorHAnsi" w:hAnsiTheme="majorHAnsi"/>
                <w:color w:val="000000"/>
                <w:sz w:val="16"/>
                <w:szCs w:val="16"/>
              </w:rPr>
              <w:t xml:space="preserve"> management of juniper forest, which includes (a) the prevention of illegal cutting, (b) introduction of sustainable management for coppicing and (c) effective enforcement of existing legislation.(TB)                                                               3. Furthermore, the Brown Bear (Ursus arctos L.) Conservation Action Plan for Lake Prespa’s provides measures for eliminate poaching and trade, safeguarding </w:t>
            </w:r>
            <w:r w:rsidR="00355DB4" w:rsidRPr="0089284E">
              <w:rPr>
                <w:rFonts w:asciiTheme="majorHAnsi" w:hAnsiTheme="majorHAnsi"/>
                <w:color w:val="000000"/>
                <w:sz w:val="16"/>
                <w:szCs w:val="16"/>
              </w:rPr>
              <w:t>the coherent</w:t>
            </w:r>
            <w:r w:rsidRPr="0089284E">
              <w:rPr>
                <w:rFonts w:asciiTheme="majorHAnsi" w:hAnsiTheme="majorHAnsi"/>
                <w:color w:val="000000"/>
                <w:sz w:val="16"/>
                <w:szCs w:val="16"/>
              </w:rPr>
              <w:t xml:space="preserve"> bear range/habitats, reduce the human-bears’ conflicts, secure the natural supply and diversity of food production, to have sufficient knowledge, minimize disturbance and Improve communication.  The plan also includes a </w:t>
            </w:r>
            <w:r w:rsidR="00355DB4" w:rsidRPr="0089284E">
              <w:rPr>
                <w:rFonts w:asciiTheme="majorHAnsi" w:hAnsiTheme="majorHAnsi"/>
                <w:color w:val="000000"/>
                <w:sz w:val="16"/>
                <w:szCs w:val="16"/>
              </w:rPr>
              <w:t>detailed 5</w:t>
            </w:r>
            <w:r w:rsidRPr="0089284E">
              <w:rPr>
                <w:rFonts w:asciiTheme="majorHAnsi" w:hAnsiTheme="majorHAnsi"/>
                <w:color w:val="000000"/>
                <w:sz w:val="16"/>
                <w:szCs w:val="16"/>
              </w:rPr>
              <w:t xml:space="preserve">–year period. (TB)                                                                                                                              4. The action plan on Caves/Bats in Prespa Conservation projects includes a 5-year action plan and proposes a number of approaches for protetcion of these species/habitat </w:t>
            </w:r>
            <w:r w:rsidR="00355DB4" w:rsidRPr="0089284E">
              <w:rPr>
                <w:rFonts w:asciiTheme="majorHAnsi" w:hAnsiTheme="majorHAnsi"/>
                <w:color w:val="000000"/>
                <w:sz w:val="16"/>
                <w:szCs w:val="16"/>
              </w:rPr>
              <w:t>including establishment</w:t>
            </w:r>
            <w:r w:rsidRPr="0089284E">
              <w:rPr>
                <w:rFonts w:asciiTheme="majorHAnsi" w:hAnsiTheme="majorHAnsi"/>
                <w:color w:val="000000"/>
                <w:sz w:val="16"/>
                <w:szCs w:val="16"/>
              </w:rPr>
              <w:t xml:space="preserve"> of   working groups on bats and appoint a coordinator in each country, organization of regular contacts, exchange of information/findings from bat surveys, and meetings, planning and implement joint monitoring and research efforts based on commonly agreed protocols and methodologies,</w:t>
            </w:r>
            <w:r w:rsidRPr="0089284E">
              <w:rPr>
                <w:rFonts w:asciiTheme="majorHAnsi" w:hAnsiTheme="majorHAnsi"/>
                <w:color w:val="000000"/>
                <w:sz w:val="16"/>
                <w:szCs w:val="16"/>
              </w:rPr>
              <w:br/>
              <w:t>etc. (TB)</w:t>
            </w:r>
            <w:r w:rsidRPr="0089284E">
              <w:rPr>
                <w:rFonts w:asciiTheme="majorHAnsi" w:hAnsiTheme="majorHAnsi"/>
                <w:color w:val="000000"/>
                <w:sz w:val="16"/>
                <w:szCs w:val="16"/>
              </w:rPr>
              <w:br/>
              <w:t xml:space="preserve">5. A 5-year conserv ation plan is developed for Prespa reedbeds. The plan analyses the threats and proposes measures and actions including </w:t>
            </w:r>
            <w:r w:rsidR="00355DB4" w:rsidRPr="0089284E">
              <w:rPr>
                <w:rFonts w:asciiTheme="majorHAnsi" w:hAnsiTheme="majorHAnsi"/>
                <w:color w:val="000000"/>
                <w:sz w:val="16"/>
                <w:szCs w:val="16"/>
              </w:rPr>
              <w:t>control of</w:t>
            </w:r>
            <w:r w:rsidRPr="0089284E">
              <w:rPr>
                <w:rFonts w:asciiTheme="majorHAnsi" w:hAnsiTheme="majorHAnsi"/>
                <w:color w:val="000000"/>
                <w:sz w:val="16"/>
                <w:szCs w:val="16"/>
              </w:rPr>
              <w:t xml:space="preserve"> </w:t>
            </w:r>
            <w:r w:rsidR="00355DB4" w:rsidRPr="0089284E">
              <w:rPr>
                <w:rFonts w:asciiTheme="majorHAnsi" w:hAnsiTheme="majorHAnsi"/>
                <w:color w:val="000000"/>
                <w:sz w:val="16"/>
                <w:szCs w:val="16"/>
              </w:rPr>
              <w:t>the human</w:t>
            </w:r>
            <w:r w:rsidRPr="0089284E">
              <w:rPr>
                <w:rFonts w:asciiTheme="majorHAnsi" w:hAnsiTheme="majorHAnsi"/>
                <w:color w:val="000000"/>
                <w:sz w:val="16"/>
                <w:szCs w:val="16"/>
              </w:rPr>
              <w:t xml:space="preserve"> induced oscillations in the water level; Mitigation of  the impacts from siltation processes on reedbeds in Lesser Prespa Lake through modification of management practices; Minimization of the pressure/impact on reedbeds from uncontrolled land use; Promotion and implementation of appropriate management of the reedbeds; Improvement of the general viability of the reedbeds through better implementation of the existing legislation; Improvement of the knowledge and  data about the reedbeds and raising of public and stakeholder awareness about the value of the habitat and the need for its proper management.(TB)                                                           </w:t>
            </w:r>
            <w:r w:rsidRPr="0089284E">
              <w:rPr>
                <w:rFonts w:asciiTheme="majorHAnsi" w:hAnsiTheme="majorHAnsi"/>
                <w:color w:val="000000"/>
                <w:sz w:val="16"/>
                <w:szCs w:val="16"/>
              </w:rPr>
              <w:br/>
              <w:t>6. The First Transboundary Fish and Fisheries Management Plan for Prespa was completed at the beginning of 2012. Amongst other measures, the plan proposes a total ban on fishing Prespa barbell for 6 years period and a 3 years ban on fishing Prespa Trout from the tributaries (for more information on the plan see above).(TB)</w:t>
            </w:r>
          </w:p>
        </w:tc>
      </w:tr>
      <w:tr w:rsidR="00E660DB" w:rsidRPr="0089284E" w:rsidTr="0089284E">
        <w:trPr>
          <w:trHeight w:val="117"/>
        </w:trPr>
        <w:tc>
          <w:tcPr>
            <w:tcW w:w="1350" w:type="dxa"/>
            <w:vMerge/>
            <w:shd w:val="clear" w:color="auto" w:fill="auto"/>
            <w:hideMark/>
          </w:tcPr>
          <w:p w:rsidR="00E660DB" w:rsidRPr="0089284E" w:rsidRDefault="00E660DB" w:rsidP="00355DB4">
            <w:pPr>
              <w:rPr>
                <w:rFonts w:asciiTheme="majorHAnsi" w:hAnsiTheme="majorHAnsi"/>
                <w:color w:val="000000"/>
                <w:sz w:val="16"/>
                <w:szCs w:val="16"/>
              </w:rPr>
            </w:pP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Pilot application of the transboundary monitoring system and assessment of methods, training and capacity needs and analysis/interpretation of data</w:t>
            </w: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Evaluation of applied</w:t>
            </w:r>
            <w:r w:rsidRPr="0089284E">
              <w:rPr>
                <w:rFonts w:asciiTheme="majorHAnsi" w:hAnsiTheme="majorHAnsi"/>
                <w:color w:val="000000"/>
                <w:sz w:val="16"/>
                <w:szCs w:val="16"/>
              </w:rPr>
              <w:br/>
              <w:t>original monitoring system (see above</w:t>
            </w:r>
          </w:p>
        </w:tc>
        <w:tc>
          <w:tcPr>
            <w:tcW w:w="252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Revised monitoring system in place and generating useful data by end of EoY 4</w:t>
            </w:r>
          </w:p>
        </w:tc>
        <w:tc>
          <w:tcPr>
            <w:tcW w:w="738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 xml:space="preserve">1. The pilothing phase of the Transboundary Monitoring System was completed in the period 2010 -2011. The reports in all thematic areas (Water, Fish and fisheries monitoring, aquatic vegetation, forests and other terrestrial habitats were prepared which address the piloting phase, gathered data and methodology,. The piloting was done by institutions in all three sides in </w:t>
            </w:r>
            <w:r w:rsidR="00732AAB" w:rsidRPr="0089284E">
              <w:rPr>
                <w:rFonts w:asciiTheme="majorHAnsi" w:hAnsiTheme="majorHAnsi"/>
                <w:color w:val="000000"/>
                <w:sz w:val="16"/>
                <w:szCs w:val="16"/>
              </w:rPr>
              <w:t>parallel</w:t>
            </w:r>
            <w:r w:rsidRPr="0089284E">
              <w:rPr>
                <w:rFonts w:asciiTheme="majorHAnsi" w:hAnsiTheme="majorHAnsi"/>
                <w:color w:val="000000"/>
                <w:sz w:val="16"/>
                <w:szCs w:val="16"/>
              </w:rPr>
              <w:t>. Upon conclusion of the pi</w:t>
            </w:r>
            <w:r w:rsidR="00732AAB" w:rsidRPr="0089284E">
              <w:rPr>
                <w:rFonts w:asciiTheme="majorHAnsi" w:hAnsiTheme="majorHAnsi"/>
                <w:color w:val="000000"/>
                <w:sz w:val="16"/>
                <w:szCs w:val="16"/>
              </w:rPr>
              <w:t>l</w:t>
            </w:r>
            <w:r w:rsidRPr="0089284E">
              <w:rPr>
                <w:rFonts w:asciiTheme="majorHAnsi" w:hAnsiTheme="majorHAnsi"/>
                <w:color w:val="000000"/>
                <w:sz w:val="16"/>
                <w:szCs w:val="16"/>
              </w:rPr>
              <w:t xml:space="preserve">oting, a revision or Adjustment to the Transboundary Monitoring Study is prepared which </w:t>
            </w:r>
            <w:r w:rsidR="00732AAB" w:rsidRPr="0089284E">
              <w:rPr>
                <w:rFonts w:asciiTheme="majorHAnsi" w:hAnsiTheme="majorHAnsi"/>
                <w:color w:val="000000"/>
                <w:sz w:val="16"/>
                <w:szCs w:val="16"/>
              </w:rPr>
              <w:t>looks at</w:t>
            </w:r>
            <w:r w:rsidRPr="0089284E">
              <w:rPr>
                <w:rFonts w:asciiTheme="majorHAnsi" w:hAnsiTheme="majorHAnsi"/>
                <w:color w:val="000000"/>
                <w:sz w:val="16"/>
                <w:szCs w:val="16"/>
              </w:rPr>
              <w:t xml:space="preserve"> the document in a critical manner and subject it to a reality check, involving questions relating to how manageable is it, how realistic and how much cost effective. Its aim is to suggest all necessary modifications to the initial TMS plan that will enhance it to become simpler, more concrete, as manageable, realistic and cost-effective as possible, and able to start operating as fast as possible without needing long preparation periods</w:t>
            </w:r>
            <w:r w:rsidRPr="0089284E">
              <w:rPr>
                <w:rFonts w:asciiTheme="majorHAnsi" w:hAnsiTheme="majorHAnsi"/>
                <w:color w:val="000000"/>
                <w:sz w:val="16"/>
                <w:szCs w:val="16"/>
              </w:rPr>
              <w:br/>
              <w:t xml:space="preserve">or sophisticated and expensive tools. The implementation of the Transboundary Monitoring System was not directly controlled by the project, but the project actively supported the process from the development, into piloting phase and contributed especially by bringing in national ownership and provided some equipment for the institutions. (TB)                                     2. Input and support was provided by the National components, especially in terms of expertise and input. (AL, MK)                                          </w:t>
            </w:r>
          </w:p>
        </w:tc>
      </w:tr>
      <w:tr w:rsidR="00E660DB" w:rsidRPr="0089284E" w:rsidTr="0089284E">
        <w:trPr>
          <w:trHeight w:val="1277"/>
        </w:trPr>
        <w:tc>
          <w:tcPr>
            <w:tcW w:w="1350" w:type="dxa"/>
            <w:vMerge/>
            <w:shd w:val="clear" w:color="auto" w:fill="auto"/>
            <w:hideMark/>
          </w:tcPr>
          <w:p w:rsidR="00E660DB" w:rsidRPr="0089284E" w:rsidRDefault="00E660DB" w:rsidP="00355DB4">
            <w:pPr>
              <w:rPr>
                <w:rFonts w:asciiTheme="majorHAnsi" w:hAnsiTheme="majorHAnsi"/>
                <w:color w:val="000000"/>
                <w:sz w:val="16"/>
                <w:szCs w:val="16"/>
              </w:rPr>
            </w:pP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Presence/absence of up-to-date information on extent/condition of priority species and habitat distribution, abundance, and condition.</w:t>
            </w: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Information spotty, dated, and focused on single species</w:t>
            </w:r>
          </w:p>
        </w:tc>
        <w:tc>
          <w:tcPr>
            <w:tcW w:w="252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Updated data by EoY 2;</w:t>
            </w:r>
            <w:r w:rsidRPr="0089284E">
              <w:rPr>
                <w:rFonts w:asciiTheme="majorHAnsi" w:hAnsiTheme="majorHAnsi"/>
                <w:color w:val="000000"/>
                <w:sz w:val="16"/>
                <w:szCs w:val="16"/>
              </w:rPr>
              <w:br/>
            </w:r>
            <w:r w:rsidRPr="0089284E">
              <w:rPr>
                <w:rFonts w:asciiTheme="majorHAnsi" w:hAnsiTheme="majorHAnsi"/>
                <w:color w:val="000000"/>
                <w:sz w:val="16"/>
                <w:szCs w:val="16"/>
              </w:rPr>
              <w:br/>
              <w:t>Establishment of reference conditions for selected species by EoY 3.</w:t>
            </w:r>
          </w:p>
        </w:tc>
        <w:tc>
          <w:tcPr>
            <w:tcW w:w="738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 xml:space="preserve">1. The conservation plans prepared as well as the Transboundary management plan provide clear information on the extens and the condition and distribution of the selected species and habitats in Prespa. The conservation plans and the status papers before that provide analysis of distribution and condition, analysis of threats, status of national conservation efforts (legislation etc). (TB)                             2.  The Albanian component provided input in the development of the plans, by sharing,  consulting the stakeholders and made the plans avaliable to locla stakeholders, authoritiers, PNP and project partners (AL) </w:t>
            </w:r>
            <w:r w:rsidRPr="0089284E">
              <w:rPr>
                <w:rFonts w:asciiTheme="majorHAnsi" w:hAnsiTheme="majorHAnsi"/>
                <w:color w:val="000000"/>
                <w:sz w:val="16"/>
                <w:szCs w:val="16"/>
              </w:rPr>
              <w:br/>
              <w:t>3. Input and support is provided from Albanian expert into finalisation and implementation of this plan (AL)</w:t>
            </w:r>
          </w:p>
        </w:tc>
      </w:tr>
      <w:tr w:rsidR="00E660DB" w:rsidRPr="0089284E" w:rsidTr="0089284E">
        <w:trPr>
          <w:trHeight w:val="827"/>
        </w:trPr>
        <w:tc>
          <w:tcPr>
            <w:tcW w:w="1350" w:type="dxa"/>
            <w:vMerge/>
            <w:shd w:val="clear" w:color="auto" w:fill="auto"/>
            <w:hideMark/>
          </w:tcPr>
          <w:p w:rsidR="00E660DB" w:rsidRPr="0089284E" w:rsidRDefault="00E660DB" w:rsidP="00355DB4">
            <w:pPr>
              <w:rPr>
                <w:rFonts w:asciiTheme="majorHAnsi" w:hAnsiTheme="majorHAnsi"/>
                <w:color w:val="000000"/>
                <w:sz w:val="16"/>
                <w:szCs w:val="16"/>
              </w:rPr>
            </w:pP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Protected Area Management Effectiveness Tracking Tool (METT) score for PNP, GNP, and ENR, PPA-Greece*.</w:t>
            </w: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X (TBD at project inception)</w:t>
            </w:r>
          </w:p>
        </w:tc>
        <w:tc>
          <w:tcPr>
            <w:tcW w:w="252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X + 20% by mid term; X + 40% by project end.</w:t>
            </w:r>
          </w:p>
        </w:tc>
        <w:tc>
          <w:tcPr>
            <w:tcW w:w="738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1. The 4th METT is applied throught the KfW programme based on cooperation and experience delivered by UNDP Project; a improved result from 36 to 37 is noted. (AL)                                                        2. The METT for Ezerani protected area was applied upon the appointement of the management body and development of the management plan. The METT overal score shows increase of 31% over the previous METT done during the preparation of the revalorization study for Ezerani in 2009. (MK)</w:t>
            </w:r>
          </w:p>
        </w:tc>
      </w:tr>
      <w:tr w:rsidR="00E660DB" w:rsidRPr="0089284E" w:rsidTr="0089284E">
        <w:trPr>
          <w:trHeight w:val="1016"/>
        </w:trPr>
        <w:tc>
          <w:tcPr>
            <w:tcW w:w="1350" w:type="dxa"/>
            <w:vMerge/>
            <w:shd w:val="clear" w:color="auto" w:fill="auto"/>
            <w:hideMark/>
          </w:tcPr>
          <w:p w:rsidR="00E660DB" w:rsidRPr="0089284E" w:rsidRDefault="00E660DB" w:rsidP="00355DB4">
            <w:pPr>
              <w:rPr>
                <w:rFonts w:asciiTheme="majorHAnsi" w:hAnsiTheme="majorHAnsi"/>
                <w:color w:val="000000"/>
                <w:sz w:val="16"/>
                <w:szCs w:val="16"/>
              </w:rPr>
            </w:pP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The management authorities of ENR, PNP-AL, GNP and PPA-Greece* are fully equipped and operational to carry out basic management activities</w:t>
            </w: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Staff numbers are inadequate for critical management activities; relevant funding lacking</w:t>
            </w:r>
          </w:p>
        </w:tc>
        <w:tc>
          <w:tcPr>
            <w:tcW w:w="252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The respective management authorities have adequate scientific and administrational personnel for critical management activities by EoY 5.</w:t>
            </w:r>
          </w:p>
        </w:tc>
        <w:tc>
          <w:tcPr>
            <w:tcW w:w="738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1. Two other Prespa National Park Management Committee meetings are organsied in Korca and addressed all problems related to IEM of Prespa. The project reported and approved the activities at Management Committee (AL).                                        2. 1. Following the recommendation in the Study for revalorization of Ezerani protected area, the Parliament enacted a re-designation Law on Ezerani. A Management Plan for the Ezerani protected area is also prepared, in accordance with the national regulations, the primary management objectives, and the category type proposed in the revalorization study. The Management Plan has been handed over to the new management authority  - Municipality of Resen as per the Law on Ezerani. The Management plan will be used as the main document guiding the area’s operation. The new project for the Prespa region that will be funded by SDC forsees a component for further strengthening of the capacities of the local government of Resen and persons that will ne nominated to work specifically on Ezerani protected area (MK).</w:t>
            </w:r>
          </w:p>
        </w:tc>
      </w:tr>
      <w:tr w:rsidR="00E660DB" w:rsidRPr="0089284E" w:rsidTr="0089284E">
        <w:trPr>
          <w:trHeight w:val="5156"/>
        </w:trPr>
        <w:tc>
          <w:tcPr>
            <w:tcW w:w="1350" w:type="dxa"/>
            <w:vMerge/>
            <w:shd w:val="clear" w:color="auto" w:fill="auto"/>
            <w:hideMark/>
          </w:tcPr>
          <w:p w:rsidR="00E660DB" w:rsidRPr="0089284E" w:rsidRDefault="00E660DB" w:rsidP="00355DB4">
            <w:pPr>
              <w:rPr>
                <w:rFonts w:asciiTheme="majorHAnsi" w:hAnsiTheme="majorHAnsi"/>
                <w:color w:val="000000"/>
                <w:sz w:val="16"/>
                <w:szCs w:val="16"/>
              </w:rPr>
            </w:pP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Trans-boundary monitoring of important biotic and abiotic factors functioning/not functioning.</w:t>
            </w: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No monitoring system in place in AL and MK; In GR*, the Society for Protection of Prespa (SPP) has experience in monitoring several biotic and abiotic parameters</w:t>
            </w:r>
          </w:p>
        </w:tc>
        <w:tc>
          <w:tcPr>
            <w:tcW w:w="252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Establishment of monitoring and conservation working group (MCWG) in first six months; MCWG operational by EoY1;</w:t>
            </w:r>
            <w:r w:rsidRPr="0089284E">
              <w:rPr>
                <w:rFonts w:asciiTheme="majorHAnsi" w:hAnsiTheme="majorHAnsi"/>
                <w:color w:val="000000"/>
                <w:sz w:val="16"/>
                <w:szCs w:val="16"/>
              </w:rPr>
              <w:br/>
            </w:r>
            <w:r w:rsidRPr="0089284E">
              <w:rPr>
                <w:rFonts w:asciiTheme="majorHAnsi" w:hAnsiTheme="majorHAnsi"/>
                <w:color w:val="000000"/>
                <w:sz w:val="16"/>
                <w:szCs w:val="16"/>
              </w:rPr>
              <w:br/>
              <w:t>Participatory field survey protocols standardized by EoY1;</w:t>
            </w:r>
            <w:r w:rsidRPr="0089284E">
              <w:rPr>
                <w:rFonts w:asciiTheme="majorHAnsi" w:hAnsiTheme="majorHAnsi"/>
                <w:color w:val="000000"/>
                <w:sz w:val="16"/>
                <w:szCs w:val="16"/>
              </w:rPr>
              <w:br/>
            </w:r>
            <w:r w:rsidRPr="0089284E">
              <w:rPr>
                <w:rFonts w:asciiTheme="majorHAnsi" w:hAnsiTheme="majorHAnsi"/>
                <w:color w:val="000000"/>
                <w:sz w:val="16"/>
                <w:szCs w:val="16"/>
              </w:rPr>
              <w:br/>
              <w:t>Assessment of terrestrial &amp; aquatic habitats for priority bird and mammal species by</w:t>
            </w:r>
            <w:r w:rsidRPr="0089284E">
              <w:rPr>
                <w:rFonts w:asciiTheme="majorHAnsi" w:hAnsiTheme="majorHAnsi"/>
                <w:color w:val="000000"/>
                <w:sz w:val="16"/>
                <w:szCs w:val="16"/>
              </w:rPr>
              <w:br/>
              <w:t>EoY 2;</w:t>
            </w:r>
            <w:r w:rsidRPr="0089284E">
              <w:rPr>
                <w:rFonts w:asciiTheme="majorHAnsi" w:hAnsiTheme="majorHAnsi"/>
                <w:color w:val="000000"/>
                <w:sz w:val="16"/>
                <w:szCs w:val="16"/>
              </w:rPr>
              <w:br/>
            </w:r>
            <w:r w:rsidRPr="0089284E">
              <w:rPr>
                <w:rFonts w:asciiTheme="majorHAnsi" w:hAnsiTheme="majorHAnsi"/>
                <w:color w:val="000000"/>
                <w:sz w:val="16"/>
                <w:szCs w:val="16"/>
              </w:rPr>
              <w:br/>
              <w:t>Capacity building and training programs underway by EoY1;</w:t>
            </w:r>
            <w:r w:rsidRPr="0089284E">
              <w:rPr>
                <w:rFonts w:asciiTheme="majorHAnsi" w:hAnsiTheme="majorHAnsi"/>
                <w:color w:val="000000"/>
                <w:sz w:val="16"/>
                <w:szCs w:val="16"/>
              </w:rPr>
              <w:br/>
            </w:r>
            <w:r w:rsidRPr="0089284E">
              <w:rPr>
                <w:rFonts w:asciiTheme="majorHAnsi" w:hAnsiTheme="majorHAnsi"/>
                <w:color w:val="000000"/>
                <w:sz w:val="16"/>
                <w:szCs w:val="16"/>
              </w:rPr>
              <w:br/>
              <w:t>Monitoring system in place and generating useful data by end of EoY 2 (including GIS).</w:t>
            </w:r>
          </w:p>
        </w:tc>
        <w:tc>
          <w:tcPr>
            <w:tcW w:w="738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1 (see above) 1. The pilothing phase of the Transboundary Monitoring System was completed at the beginning of 2012. The reports in all thematic areas (Water, Fish and fisheries monitoring, aquatic vegetation, forests and other terrestrial habitats were prepared which address the piloting phase, gathered data and methodology. The piloting was done by institutions in all three sides in paralell. Upon conclusion of the piloting, a revision or adjustment to the Transboundary Monitoring Study is prepared which looks  at the document in a critical manner and subject it to a reality check, involving questions relating to how manageable is it, how realistic and how much cost effective. Its aim is to suggest all necessary modifications to the initial TMS plan that will enhance it to become simpler, more concrete, as manageable, realistic and cost-effective as possible, and able to start operating as fast as possible without needing long preparation periods or sophisticated and expensive tools. The implementation of the Transboundary Monitoring System was not directly controlled by the project, but the project actively supported the process from the development, into piloting phase and contributed especially by bringing in national ownership and provided some equipment for the institutions. (TB)                                                                                                          2. The MCWG Transboundary Monitoring and Conservation Working Group although did not meet in this reporting period, continued to provide substantial feedback to the processes. The members of the groups participated in most transboundary meetings related to fisheries, conservation plans etc.(TB)                                                                                                                       3. The inputs from the member of MCWG continued as well as support to key trans boundary processes. The input was provided to the piloting stage of the TB as well as to the reports prepared in the reporting period (AL)</w:t>
            </w:r>
            <w:r w:rsidRPr="0089284E">
              <w:rPr>
                <w:rFonts w:asciiTheme="majorHAnsi" w:hAnsiTheme="majorHAnsi"/>
                <w:color w:val="000000"/>
                <w:sz w:val="16"/>
                <w:szCs w:val="16"/>
              </w:rPr>
              <w:br/>
              <w:t>4.  Local capacities on biodiversity monitoring issues and water management are strengthened through training workshops (AL)</w:t>
            </w:r>
            <w:r w:rsidRPr="0089284E">
              <w:rPr>
                <w:rFonts w:asciiTheme="majorHAnsi" w:hAnsiTheme="majorHAnsi"/>
                <w:color w:val="000000"/>
                <w:sz w:val="16"/>
                <w:szCs w:val="16"/>
              </w:rPr>
              <w:br/>
              <w:t>5. Continued training on biodiversity monitoring</w:t>
            </w:r>
            <w:r w:rsidRPr="0089284E">
              <w:rPr>
                <w:rFonts w:asciiTheme="majorHAnsi" w:hAnsiTheme="majorHAnsi"/>
                <w:color w:val="000000"/>
                <w:sz w:val="16"/>
                <w:szCs w:val="16"/>
              </w:rPr>
              <w:br/>
              <w:t>Synergies and cooperation with KfW program enabled maintenance and strengthening of the results (AL)                                    6.  The year-long comprehensive surveillance and monitoring of water quality and ecological status was conducted for all the basin water bodies, based on which reference conditions have been established in Macedonian Prespa. As a result of the monitoring activities the status of all the water bodies in the Macedonian part of the Prespa basin has been determined. Environmental objectives and respective indicators, both for the general environment and for the individual water bodies in terms of their progress towards achieving good water status for all water bodies, have been identified. The findings are shared and cross-referenced with the transboundary monitoring system study.  (MK)                                        7. The Institute for Public Health in Bitola with the equipment provided by the project conducts continuous pesticide residues analyses at the inflows of the three main tributaries of the Prespa Lake, and at additional 6 locations in the littoral zone of the lake. The monitoring results are delivered to the Ministry of Envrionment and the Municipality of Resen. Furthermore, on a long run, it is expected that the Institute will adjust its monitoring programme with the requirements of the trans-boundary monitoring programme.(MK)</w:t>
            </w:r>
          </w:p>
        </w:tc>
      </w:tr>
      <w:tr w:rsidR="00E660DB" w:rsidRPr="0089284E" w:rsidTr="0089284E">
        <w:trPr>
          <w:trHeight w:val="2726"/>
        </w:trPr>
        <w:tc>
          <w:tcPr>
            <w:tcW w:w="1350" w:type="dxa"/>
            <w:vMerge/>
            <w:shd w:val="clear" w:color="auto" w:fill="auto"/>
            <w:hideMark/>
          </w:tcPr>
          <w:p w:rsidR="00E660DB" w:rsidRPr="0089284E" w:rsidRDefault="00E660DB" w:rsidP="00355DB4">
            <w:pPr>
              <w:rPr>
                <w:rFonts w:asciiTheme="majorHAnsi" w:hAnsiTheme="majorHAnsi"/>
                <w:color w:val="000000"/>
                <w:sz w:val="16"/>
                <w:szCs w:val="16"/>
              </w:rPr>
            </w:pP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Within the key protected areas human activities (e.g. including forestry, fishing, building) may/may not be practiced in an uncontrolled and/or unsustainable way (MK, AL, GR*)</w:t>
            </w: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No adequate control mechanisms for unsustainable human activities in the protected areas</w:t>
            </w:r>
          </w:p>
        </w:tc>
        <w:tc>
          <w:tcPr>
            <w:tcW w:w="252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Warden and</w:t>
            </w:r>
            <w:r w:rsidRPr="0089284E">
              <w:rPr>
                <w:rFonts w:asciiTheme="majorHAnsi" w:hAnsiTheme="majorHAnsi"/>
                <w:color w:val="000000"/>
                <w:sz w:val="16"/>
                <w:szCs w:val="16"/>
              </w:rPr>
              <w:br/>
              <w:t>control mechanisms (effective EIA process; law enforcement etc.) for controlling unsustainable</w:t>
            </w:r>
            <w:r w:rsidRPr="0089284E">
              <w:rPr>
                <w:rFonts w:asciiTheme="majorHAnsi" w:hAnsiTheme="majorHAnsi"/>
                <w:color w:val="000000"/>
                <w:sz w:val="16"/>
                <w:szCs w:val="16"/>
              </w:rPr>
              <w:br/>
              <w:t>human activities in protected areas exist and are effectively implemented; Expansion of</w:t>
            </w:r>
            <w:r w:rsidRPr="0089284E">
              <w:rPr>
                <w:rFonts w:asciiTheme="majorHAnsi" w:hAnsiTheme="majorHAnsi"/>
                <w:color w:val="000000"/>
                <w:sz w:val="16"/>
                <w:szCs w:val="16"/>
              </w:rPr>
              <w:br/>
              <w:t>scheme outside</w:t>
            </w:r>
            <w:r w:rsidRPr="0089284E">
              <w:rPr>
                <w:rFonts w:asciiTheme="majorHAnsi" w:hAnsiTheme="majorHAnsi"/>
                <w:color w:val="000000"/>
                <w:sz w:val="16"/>
                <w:szCs w:val="16"/>
              </w:rPr>
              <w:br/>
              <w:t>key protected areas (i.e. Trout streams)</w:t>
            </w:r>
          </w:p>
        </w:tc>
        <w:tc>
          <w:tcPr>
            <w:tcW w:w="738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1. The establishment of the Management Committee for the Prespa Park has multiplied the efforts for a more controlled development in the region, especially in sensitive and vulnerable areas (AL)</w:t>
            </w:r>
            <w:r w:rsidRPr="0089284E">
              <w:rPr>
                <w:rFonts w:asciiTheme="majorHAnsi" w:hAnsiTheme="majorHAnsi"/>
                <w:color w:val="000000"/>
                <w:sz w:val="16"/>
                <w:szCs w:val="16"/>
              </w:rPr>
              <w:br/>
              <w:t>2. The preparation by the KfW of the management plan for Prespa Park forms a very strong basis for addressing the ecosystem management aspects, influencing the development of various contributing sectors, such as agriculture, industrial production, urbanization and etc. (AL)</w:t>
            </w:r>
            <w:r w:rsidRPr="0089284E">
              <w:rPr>
                <w:rFonts w:asciiTheme="majorHAnsi" w:hAnsiTheme="majorHAnsi"/>
                <w:color w:val="000000"/>
                <w:sz w:val="16"/>
                <w:szCs w:val="16"/>
              </w:rPr>
              <w:br/>
              <w:t xml:space="preserve">3.  The new law on water is expected to improve the management aspects (AL) </w:t>
            </w:r>
            <w:r w:rsidRPr="0089284E">
              <w:rPr>
                <w:rFonts w:asciiTheme="majorHAnsi" w:hAnsiTheme="majorHAnsi"/>
                <w:color w:val="000000"/>
                <w:sz w:val="16"/>
                <w:szCs w:val="16"/>
              </w:rPr>
              <w:br/>
              <w:t xml:space="preserve">4. Provision of disease prognosis applications (integrated in agro-meteorological stations platform) for apple, onion and potato. Respective training with farmers accomplished; Results are maintained and instuitionalized through handing over of hard and software to Regional Agriculture directorate of Korca (AL)                                                                                                                         5.The support provided by the national authorities in the development of the Watershed Management Plan for Prespa, as well as adoption of the bylaw on watershed management councils, the support to the eco-tourism strategy demonstrate a continued interest of the national authorities to mainstream ecosystem priorities in key productive sectors. (MK, TB).  6. The relevant municipal staff that was trained by the project is sucessfuly performing  its duties especially regarding the Integrated Pollution and Prevention Control, communal waste management, etc thus ensuring an effective implementation of relevant national and local laws and regulations. </w:t>
            </w:r>
          </w:p>
        </w:tc>
      </w:tr>
      <w:tr w:rsidR="00732AAB" w:rsidRPr="0089284E" w:rsidTr="0089284E">
        <w:trPr>
          <w:trHeight w:val="764"/>
        </w:trPr>
        <w:tc>
          <w:tcPr>
            <w:tcW w:w="1350" w:type="dxa"/>
            <w:vMerge w:val="restart"/>
            <w:shd w:val="clear" w:color="auto" w:fill="auto"/>
            <w:hideMark/>
          </w:tcPr>
          <w:p w:rsidR="00E660DB" w:rsidRPr="004F4FCE" w:rsidRDefault="00E660DB" w:rsidP="00355DB4">
            <w:pPr>
              <w:spacing w:after="240"/>
              <w:rPr>
                <w:rFonts w:asciiTheme="majorHAnsi" w:hAnsiTheme="majorHAnsi"/>
                <w:color w:val="000000"/>
                <w:sz w:val="16"/>
                <w:szCs w:val="16"/>
              </w:rPr>
            </w:pPr>
            <w:r w:rsidRPr="00981CE9">
              <w:rPr>
                <w:rFonts w:asciiTheme="majorHAnsi" w:hAnsiTheme="majorHAnsi"/>
                <w:color w:val="000000"/>
                <w:sz w:val="16"/>
                <w:szCs w:val="16"/>
              </w:rPr>
              <w:t>Outcome 4: Stakeholders build upon ongoing trans-boundary cooperation in the Prespa Basin by strengthening the trans-boundary coordination mechanism and piloting trans- boundary conservation and water management</w:t>
            </w:r>
          </w:p>
          <w:p w:rsidR="00E660DB" w:rsidRPr="00FC1E0C" w:rsidRDefault="00E660DB" w:rsidP="00732AAB">
            <w:pPr>
              <w:rPr>
                <w:rFonts w:asciiTheme="majorHAnsi" w:hAnsiTheme="majorHAnsi"/>
                <w:color w:val="000000"/>
                <w:sz w:val="16"/>
                <w:szCs w:val="16"/>
              </w:rPr>
            </w:pPr>
          </w:p>
        </w:tc>
        <w:tc>
          <w:tcPr>
            <w:tcW w:w="1530" w:type="dxa"/>
            <w:shd w:val="clear" w:color="auto" w:fill="auto"/>
            <w:hideMark/>
          </w:tcPr>
          <w:p w:rsidR="00E660DB" w:rsidRPr="00522AD6" w:rsidRDefault="00E660DB" w:rsidP="00355DB4">
            <w:pPr>
              <w:rPr>
                <w:rFonts w:asciiTheme="majorHAnsi" w:hAnsiTheme="majorHAnsi"/>
                <w:color w:val="000000"/>
                <w:sz w:val="16"/>
                <w:szCs w:val="16"/>
              </w:rPr>
            </w:pPr>
            <w:r w:rsidRPr="00E47796">
              <w:rPr>
                <w:rFonts w:asciiTheme="majorHAnsi" w:hAnsiTheme="majorHAnsi"/>
                <w:color w:val="000000"/>
                <w:sz w:val="16"/>
                <w:szCs w:val="16"/>
              </w:rPr>
              <w:t xml:space="preserve">Bat colonies </w:t>
            </w:r>
            <w:r w:rsidRPr="00522AD6">
              <w:rPr>
                <w:rFonts w:asciiTheme="majorHAnsi" w:hAnsiTheme="majorHAnsi"/>
                <w:color w:val="000000"/>
                <w:sz w:val="16"/>
                <w:szCs w:val="16"/>
              </w:rPr>
              <w:t>protected and monitored in MK, AL and GR*.</w:t>
            </w:r>
          </w:p>
        </w:tc>
        <w:tc>
          <w:tcPr>
            <w:tcW w:w="1530" w:type="dxa"/>
            <w:shd w:val="clear" w:color="auto" w:fill="auto"/>
            <w:hideMark/>
          </w:tcPr>
          <w:p w:rsidR="00E660DB" w:rsidRPr="004B7788" w:rsidRDefault="00E660DB" w:rsidP="00355DB4">
            <w:pPr>
              <w:rPr>
                <w:rFonts w:asciiTheme="majorHAnsi" w:hAnsiTheme="majorHAnsi"/>
                <w:color w:val="000000"/>
                <w:sz w:val="16"/>
                <w:szCs w:val="16"/>
              </w:rPr>
            </w:pPr>
            <w:r w:rsidRPr="00C24A6A">
              <w:rPr>
                <w:rFonts w:asciiTheme="majorHAnsi" w:hAnsiTheme="majorHAnsi"/>
                <w:color w:val="000000"/>
                <w:sz w:val="16"/>
                <w:szCs w:val="16"/>
              </w:rPr>
              <w:t>Bat colonies known to a good extent, but not protected or monit</w:t>
            </w:r>
            <w:r w:rsidRPr="004B7788">
              <w:rPr>
                <w:rFonts w:asciiTheme="majorHAnsi" w:hAnsiTheme="majorHAnsi"/>
                <w:color w:val="000000"/>
                <w:sz w:val="16"/>
                <w:szCs w:val="16"/>
              </w:rPr>
              <w:t>ored.</w:t>
            </w:r>
          </w:p>
        </w:tc>
        <w:tc>
          <w:tcPr>
            <w:tcW w:w="2520" w:type="dxa"/>
            <w:shd w:val="clear" w:color="auto" w:fill="auto"/>
            <w:hideMark/>
          </w:tcPr>
          <w:p w:rsidR="00E660DB" w:rsidRPr="00C1010D" w:rsidRDefault="00E660DB" w:rsidP="00355DB4">
            <w:pPr>
              <w:rPr>
                <w:rFonts w:asciiTheme="majorHAnsi" w:hAnsiTheme="majorHAnsi"/>
                <w:color w:val="000000"/>
                <w:sz w:val="16"/>
                <w:szCs w:val="16"/>
              </w:rPr>
            </w:pPr>
            <w:r w:rsidRPr="00C1010D">
              <w:rPr>
                <w:rFonts w:asciiTheme="majorHAnsi" w:hAnsiTheme="majorHAnsi"/>
                <w:color w:val="000000"/>
                <w:sz w:val="16"/>
                <w:szCs w:val="16"/>
              </w:rPr>
              <w:t>Priority bat colonies</w:t>
            </w:r>
            <w:r w:rsidRPr="00C1010D">
              <w:rPr>
                <w:rFonts w:asciiTheme="majorHAnsi" w:hAnsiTheme="majorHAnsi"/>
                <w:color w:val="000000"/>
                <w:sz w:val="16"/>
                <w:szCs w:val="16"/>
              </w:rPr>
              <w:br/>
              <w:t>protected and monitored by year 3.</w:t>
            </w:r>
          </w:p>
        </w:tc>
        <w:tc>
          <w:tcPr>
            <w:tcW w:w="7380" w:type="dxa"/>
            <w:shd w:val="clear" w:color="auto" w:fill="auto"/>
            <w:hideMark/>
          </w:tcPr>
          <w:p w:rsidR="00E660DB" w:rsidRPr="00747F99" w:rsidRDefault="00E660DB" w:rsidP="00355DB4">
            <w:pPr>
              <w:rPr>
                <w:rFonts w:asciiTheme="majorHAnsi" w:hAnsiTheme="majorHAnsi"/>
                <w:color w:val="000000"/>
                <w:sz w:val="16"/>
                <w:szCs w:val="16"/>
              </w:rPr>
            </w:pPr>
            <w:r w:rsidRPr="00575C91">
              <w:rPr>
                <w:rFonts w:asciiTheme="majorHAnsi" w:hAnsiTheme="majorHAnsi"/>
                <w:color w:val="000000"/>
                <w:sz w:val="16"/>
                <w:szCs w:val="16"/>
              </w:rPr>
              <w:t xml:space="preserve"> 1. The action plan on Caves/Bats in Prespa Conservation  includes a 5-year action plan and proposes a number of approaches for protetcion of these species/habitat including  establishment of  </w:t>
            </w:r>
            <w:r w:rsidRPr="0097745A">
              <w:rPr>
                <w:rFonts w:asciiTheme="majorHAnsi" w:hAnsiTheme="majorHAnsi"/>
                <w:color w:val="000000"/>
                <w:sz w:val="16"/>
                <w:szCs w:val="16"/>
              </w:rPr>
              <w:t xml:space="preserve"> working groups on bats and appoint a coordinator in each country, organization of regular contacts, exchange of information/findings from bat surveys, and meetings, planning and implement joint monitoring and research efforts based on commonly agreed prot</w:t>
            </w:r>
            <w:r w:rsidRPr="00DE1184">
              <w:rPr>
                <w:rFonts w:asciiTheme="majorHAnsi" w:hAnsiTheme="majorHAnsi"/>
                <w:color w:val="000000"/>
                <w:sz w:val="16"/>
                <w:szCs w:val="16"/>
              </w:rPr>
              <w:t>ocols and methodologies,</w:t>
            </w:r>
            <w:r w:rsidRPr="00DE1184">
              <w:rPr>
                <w:rFonts w:asciiTheme="majorHAnsi" w:hAnsiTheme="majorHAnsi"/>
                <w:color w:val="000000"/>
                <w:sz w:val="16"/>
                <w:szCs w:val="16"/>
              </w:rPr>
              <w:br/>
              <w:t>etc. (TB)                                                                                                                                 2.  The project has continued observation of the bat colonies in Treni cave (AL)</w:t>
            </w:r>
            <w:r w:rsidRPr="00DE1184">
              <w:rPr>
                <w:rFonts w:asciiTheme="majorHAnsi" w:hAnsiTheme="majorHAnsi"/>
                <w:color w:val="000000"/>
                <w:sz w:val="16"/>
                <w:szCs w:val="16"/>
              </w:rPr>
              <w:br/>
              <w:t>3. Prespa Pa</w:t>
            </w:r>
            <w:r w:rsidRPr="00747F99">
              <w:rPr>
                <w:rFonts w:asciiTheme="majorHAnsi" w:hAnsiTheme="majorHAnsi"/>
                <w:color w:val="000000"/>
                <w:sz w:val="16"/>
                <w:szCs w:val="16"/>
              </w:rPr>
              <w:t>rk administration is assisted to perform control the access into the cave (AL)</w:t>
            </w:r>
          </w:p>
        </w:tc>
      </w:tr>
      <w:tr w:rsidR="00E660DB" w:rsidRPr="0089284E" w:rsidTr="0089284E">
        <w:trPr>
          <w:trHeight w:val="764"/>
        </w:trPr>
        <w:tc>
          <w:tcPr>
            <w:tcW w:w="1350" w:type="dxa"/>
            <w:vMerge/>
            <w:shd w:val="clear" w:color="auto" w:fill="auto"/>
            <w:hideMark/>
          </w:tcPr>
          <w:p w:rsidR="00E660DB" w:rsidRPr="0089284E" w:rsidRDefault="00E660DB" w:rsidP="00355DB4">
            <w:pPr>
              <w:rPr>
                <w:rFonts w:asciiTheme="majorHAnsi" w:hAnsiTheme="majorHAnsi"/>
                <w:color w:val="000000"/>
                <w:sz w:val="16"/>
                <w:szCs w:val="16"/>
              </w:rPr>
            </w:pP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Continuing financial and institutional commitment from three littoral states (local and/or national commitments).</w:t>
            </w: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No long-term formal commitments</w:t>
            </w:r>
          </w:p>
        </w:tc>
        <w:tc>
          <w:tcPr>
            <w:tcW w:w="252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Continuing</w:t>
            </w:r>
            <w:r w:rsidRPr="0089284E">
              <w:rPr>
                <w:rFonts w:asciiTheme="majorHAnsi" w:hAnsiTheme="majorHAnsi"/>
                <w:color w:val="000000"/>
                <w:sz w:val="16"/>
                <w:szCs w:val="16"/>
              </w:rPr>
              <w:br/>
              <w:t>financial and institutional commitments made to adequately staff and continue operations of key project- inspired processes and use of tools</w:t>
            </w:r>
          </w:p>
        </w:tc>
        <w:tc>
          <w:tcPr>
            <w:tcW w:w="738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 xml:space="preserve">1. While the Prespa Park Management Committee (PPMC) is still not operational, the International Agreement for Prespa demonstrates a commitment of the national authorities to provide funding for transboudary governance and related institutions.  At the informal PPMC meeting held in June 2012, the Ministries representatives, Mayors and NGOs from the three countries  re-confirmed this commitment. (TB)            2. The Municipality of Resen became the management authority for  Ezerani protected area which clearely demonstrates ownership and continuation of the activities started by the project. (MK)                                                                                    3.   The IPPC (Integrated Pollution and Prevention Control)  process launcged by the project with the Municipality of Resen is now scalled up by the municipal authorities. The Municipality of Resen is constantly increasing the number of installations (polluters) being incorporated in the IPPC system by enforcing the permitting scheme.  Furthermore, introduction of the IPPC system triggered private investments by the installtions (production plants) in reducing emissions, which is considered a specific leveraged financing that will last for years after the Programme ending.  To meet the increased work, the Municipality increased its capacity and manpower. (MK)                                                                                                                                 4. The entire Watershed management planning process has national impact  and was met with a great interest by the national authorities and support to suceed.  The Manual for development of watershed management plans is now used by the Ministry of Environment for development of the other watershed plans.   (MK)                                                                                                                               5. By using the model established by the Prespa Watershed Management Council, the project has also supported preparation of subsidiary legislation regulating the work of the national River Basin Manage-ment Council (including financing). The legal act (decree) was adopted by the Ministry of Envrionemnt. (MK)                                                                                                           6.  The state budget for the Regional Forestry Service Directory (including Park Administration) is increased </w:t>
            </w:r>
            <w:r w:rsidRPr="0089284E">
              <w:rPr>
                <w:rFonts w:asciiTheme="majorHAnsi" w:hAnsiTheme="majorHAnsi"/>
                <w:color w:val="000000"/>
                <w:sz w:val="16"/>
                <w:szCs w:val="16"/>
              </w:rPr>
              <w:br/>
              <w:t>Support provided by KfW to Park Administration on capacity building (AL)</w:t>
            </w:r>
            <w:r w:rsidRPr="0089284E">
              <w:rPr>
                <w:rFonts w:asciiTheme="majorHAnsi" w:hAnsiTheme="majorHAnsi"/>
                <w:color w:val="000000"/>
                <w:sz w:val="16"/>
                <w:szCs w:val="16"/>
              </w:rPr>
              <w:br/>
              <w:t>7.  Additional training and support provided for Prespa Park administration and local involved authorities (AL)                                   8. Supstantive additional  financial resources were mobilized for implementation of the Prespa Lake Watershed Management Plan on the Macedonian side and the municipality of Resen will be the key implementing partner.</w:t>
            </w:r>
          </w:p>
        </w:tc>
      </w:tr>
      <w:tr w:rsidR="00E660DB" w:rsidRPr="0089284E" w:rsidTr="0089284E">
        <w:trPr>
          <w:trHeight w:val="1178"/>
        </w:trPr>
        <w:tc>
          <w:tcPr>
            <w:tcW w:w="1350" w:type="dxa"/>
            <w:vMerge/>
            <w:shd w:val="clear" w:color="auto" w:fill="auto"/>
            <w:hideMark/>
          </w:tcPr>
          <w:p w:rsidR="00E660DB" w:rsidRPr="0089284E" w:rsidRDefault="00E660DB" w:rsidP="00355DB4">
            <w:pPr>
              <w:rPr>
                <w:rFonts w:asciiTheme="majorHAnsi" w:hAnsiTheme="majorHAnsi"/>
                <w:color w:val="000000"/>
                <w:sz w:val="16"/>
                <w:szCs w:val="16"/>
              </w:rPr>
            </w:pP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Declaration for the Prespa Park is/is not followed by specific tri-lateral agreement</w:t>
            </w: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No trilaterally agreed plan exists for the Prespa Basin</w:t>
            </w:r>
          </w:p>
        </w:tc>
        <w:tc>
          <w:tcPr>
            <w:tcW w:w="252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Agreed</w:t>
            </w:r>
            <w:r w:rsidRPr="0089284E">
              <w:rPr>
                <w:rFonts w:asciiTheme="majorHAnsi" w:hAnsiTheme="majorHAnsi"/>
                <w:color w:val="000000"/>
                <w:sz w:val="16"/>
                <w:szCs w:val="16"/>
              </w:rPr>
              <w:br/>
              <w:t>Strategic Action</w:t>
            </w:r>
            <w:r w:rsidRPr="0089284E">
              <w:rPr>
                <w:rFonts w:asciiTheme="majorHAnsi" w:hAnsiTheme="majorHAnsi"/>
                <w:color w:val="000000"/>
                <w:sz w:val="16"/>
                <w:szCs w:val="16"/>
              </w:rPr>
              <w:br/>
              <w:t>Program/Plan for Prespa basin with long-term operational objectives,</w:t>
            </w:r>
            <w:r w:rsidRPr="0089284E">
              <w:rPr>
                <w:rFonts w:asciiTheme="majorHAnsi" w:hAnsiTheme="majorHAnsi"/>
                <w:color w:val="000000"/>
                <w:sz w:val="16"/>
                <w:szCs w:val="16"/>
              </w:rPr>
              <w:br/>
              <w:t>commitments</w:t>
            </w:r>
            <w:r w:rsidRPr="0089284E">
              <w:rPr>
                <w:rFonts w:asciiTheme="majorHAnsi" w:hAnsiTheme="majorHAnsi"/>
                <w:color w:val="000000"/>
                <w:sz w:val="16"/>
                <w:szCs w:val="16"/>
              </w:rPr>
              <w:br/>
              <w:t>and ways to strengthen</w:t>
            </w:r>
            <w:r w:rsidRPr="0089284E">
              <w:rPr>
                <w:rFonts w:asciiTheme="majorHAnsi" w:hAnsiTheme="majorHAnsi"/>
                <w:color w:val="000000"/>
                <w:sz w:val="16"/>
                <w:szCs w:val="16"/>
              </w:rPr>
              <w:br/>
              <w:t>trans-boundary management (output 4.7)</w:t>
            </w:r>
          </w:p>
        </w:tc>
        <w:tc>
          <w:tcPr>
            <w:tcW w:w="738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 xml:space="preserve">1. The International Agreement passed </w:t>
            </w:r>
            <w:r w:rsidR="00732AAB" w:rsidRPr="0089284E">
              <w:rPr>
                <w:rFonts w:asciiTheme="majorHAnsi" w:hAnsiTheme="majorHAnsi"/>
                <w:color w:val="000000"/>
                <w:sz w:val="16"/>
                <w:szCs w:val="16"/>
              </w:rPr>
              <w:t>adoption</w:t>
            </w:r>
            <w:r w:rsidRPr="0089284E">
              <w:rPr>
                <w:rFonts w:asciiTheme="majorHAnsi" w:hAnsiTheme="majorHAnsi"/>
                <w:color w:val="000000"/>
                <w:sz w:val="16"/>
                <w:szCs w:val="16"/>
              </w:rPr>
              <w:t xml:space="preserve"> process in the EU Commission and is in process of adoption by the national </w:t>
            </w:r>
            <w:r w:rsidR="00732AAB" w:rsidRPr="0089284E">
              <w:rPr>
                <w:rFonts w:asciiTheme="majorHAnsi" w:hAnsiTheme="majorHAnsi"/>
                <w:color w:val="000000"/>
                <w:sz w:val="16"/>
                <w:szCs w:val="16"/>
              </w:rPr>
              <w:t>authorities</w:t>
            </w:r>
            <w:r w:rsidRPr="0089284E">
              <w:rPr>
                <w:rFonts w:asciiTheme="majorHAnsi" w:hAnsiTheme="majorHAnsi"/>
                <w:color w:val="000000"/>
                <w:sz w:val="16"/>
                <w:szCs w:val="16"/>
              </w:rPr>
              <w:t xml:space="preserve"> in the three countries. (TB)</w:t>
            </w:r>
          </w:p>
        </w:tc>
      </w:tr>
      <w:tr w:rsidR="00E660DB" w:rsidRPr="0089284E" w:rsidTr="0089284E">
        <w:trPr>
          <w:trHeight w:val="3806"/>
        </w:trPr>
        <w:tc>
          <w:tcPr>
            <w:tcW w:w="1350" w:type="dxa"/>
            <w:vMerge/>
            <w:shd w:val="clear" w:color="auto" w:fill="auto"/>
            <w:hideMark/>
          </w:tcPr>
          <w:p w:rsidR="00E660DB" w:rsidRPr="0089284E" w:rsidRDefault="00E660DB" w:rsidP="00355DB4">
            <w:pPr>
              <w:rPr>
                <w:rFonts w:asciiTheme="majorHAnsi" w:hAnsiTheme="majorHAnsi"/>
                <w:color w:val="000000"/>
                <w:sz w:val="16"/>
                <w:szCs w:val="16"/>
              </w:rPr>
            </w:pP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Ecological requirements for endemic trout understood and protected.</w:t>
            </w: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Species Action Plan (through research carried out in GR* and MK) to be produced by summer</w:t>
            </w:r>
            <w:r w:rsidRPr="0089284E">
              <w:rPr>
                <w:rFonts w:asciiTheme="majorHAnsi" w:hAnsiTheme="majorHAnsi"/>
                <w:color w:val="000000"/>
                <w:sz w:val="16"/>
                <w:szCs w:val="16"/>
              </w:rPr>
              <w:br/>
              <w:t>2007.</w:t>
            </w:r>
          </w:p>
        </w:tc>
        <w:tc>
          <w:tcPr>
            <w:tcW w:w="252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In-stream flows</w:t>
            </w:r>
            <w:r w:rsidRPr="0089284E">
              <w:rPr>
                <w:rFonts w:asciiTheme="majorHAnsi" w:hAnsiTheme="majorHAnsi"/>
                <w:color w:val="000000"/>
                <w:sz w:val="16"/>
                <w:szCs w:val="16"/>
              </w:rPr>
              <w:br/>
              <w:t>and water quality maintained in Brajcino, Krani, Leva and</w:t>
            </w:r>
            <w:r w:rsidRPr="0089284E">
              <w:rPr>
                <w:rFonts w:asciiTheme="majorHAnsi" w:hAnsiTheme="majorHAnsi"/>
                <w:color w:val="000000"/>
                <w:sz w:val="16"/>
                <w:szCs w:val="16"/>
              </w:rPr>
              <w:br/>
              <w:t>Aghios</w:t>
            </w:r>
            <w:r w:rsidRPr="0089284E">
              <w:rPr>
                <w:rFonts w:asciiTheme="majorHAnsi" w:hAnsiTheme="majorHAnsi"/>
                <w:color w:val="000000"/>
                <w:sz w:val="16"/>
                <w:szCs w:val="16"/>
              </w:rPr>
              <w:br/>
              <w:t>Germanos</w:t>
            </w:r>
            <w:r w:rsidRPr="0089284E">
              <w:rPr>
                <w:rFonts w:asciiTheme="majorHAnsi" w:hAnsiTheme="majorHAnsi"/>
                <w:color w:val="000000"/>
                <w:sz w:val="16"/>
                <w:szCs w:val="16"/>
              </w:rPr>
              <w:br/>
              <w:t>Rivers by end of year 3;</w:t>
            </w:r>
            <w:r w:rsidRPr="0089284E">
              <w:rPr>
                <w:rFonts w:asciiTheme="majorHAnsi" w:hAnsiTheme="majorHAnsi"/>
                <w:color w:val="000000"/>
                <w:sz w:val="16"/>
                <w:szCs w:val="16"/>
              </w:rPr>
              <w:br/>
              <w:t>Pilot action taken according to Species Action Plan by EoY 2;</w:t>
            </w:r>
            <w:r w:rsidRPr="0089284E">
              <w:rPr>
                <w:rFonts w:asciiTheme="majorHAnsi" w:hAnsiTheme="majorHAnsi"/>
                <w:color w:val="000000"/>
                <w:sz w:val="16"/>
                <w:szCs w:val="16"/>
              </w:rPr>
              <w:br/>
              <w:t>Habitat protection status ensured in both countries (i.e. establishment of closed seasons, fishing bans, establishment of protection zone, maintenance of riparian forests- avoiding</w:t>
            </w:r>
            <w:r w:rsidRPr="0089284E">
              <w:rPr>
                <w:rFonts w:asciiTheme="majorHAnsi" w:hAnsiTheme="majorHAnsi"/>
                <w:color w:val="000000"/>
                <w:sz w:val="16"/>
                <w:szCs w:val="16"/>
              </w:rPr>
              <w:br/>
              <w:t>erosion, etc.) by</w:t>
            </w:r>
            <w:r w:rsidRPr="0089284E">
              <w:rPr>
                <w:rFonts w:asciiTheme="majorHAnsi" w:hAnsiTheme="majorHAnsi"/>
                <w:color w:val="000000"/>
                <w:sz w:val="16"/>
                <w:szCs w:val="16"/>
              </w:rPr>
              <w:br/>
              <w:t>EoY 2;</w:t>
            </w:r>
            <w:r w:rsidRPr="0089284E">
              <w:rPr>
                <w:rFonts w:asciiTheme="majorHAnsi" w:hAnsiTheme="majorHAnsi"/>
                <w:color w:val="000000"/>
                <w:sz w:val="16"/>
                <w:szCs w:val="16"/>
              </w:rPr>
              <w:br/>
              <w:t>Efficient wardening for illegal angling in both countries by EoY 2;</w:t>
            </w:r>
            <w:r w:rsidRPr="0089284E">
              <w:rPr>
                <w:rFonts w:asciiTheme="majorHAnsi" w:hAnsiTheme="majorHAnsi"/>
                <w:color w:val="000000"/>
                <w:sz w:val="16"/>
                <w:szCs w:val="16"/>
              </w:rPr>
              <w:br/>
              <w:t>Pollution problems ameliorated by EoY 4</w:t>
            </w:r>
          </w:p>
        </w:tc>
        <w:tc>
          <w:tcPr>
            <w:tcW w:w="738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1. The Transboundary Monitoring System suggested following trout population trend parameter, which is also retained under the Adjusted Transboundary Monitoring Study. The proposed frequency of monitoring is once per year along  the rivers at suitable habitats (eg 3 locations per river). (TB)                                2. The Transboundary Fish and Fisheries Management Plan determins the fish stoch for fish species in Prespa including the trout, and includes detail analysis on fish distribution patterns, fish health etc. The Plan details measures for protection and a special measure of banning trout fishing for a period of 3 years. (TB)                                                                                                                                                     3. Full ban on fishing in MK continued in this reporyting period. Lake concessionaries are not yet selected. (MK)</w:t>
            </w:r>
          </w:p>
        </w:tc>
      </w:tr>
      <w:tr w:rsidR="00E660DB" w:rsidRPr="0089284E" w:rsidTr="0089284E">
        <w:trPr>
          <w:trHeight w:val="1376"/>
        </w:trPr>
        <w:tc>
          <w:tcPr>
            <w:tcW w:w="1350" w:type="dxa"/>
            <w:vMerge/>
            <w:shd w:val="clear" w:color="auto" w:fill="auto"/>
            <w:hideMark/>
          </w:tcPr>
          <w:p w:rsidR="00E660DB" w:rsidRPr="0089284E" w:rsidRDefault="00E660DB" w:rsidP="00355DB4">
            <w:pPr>
              <w:rPr>
                <w:rFonts w:asciiTheme="majorHAnsi" w:hAnsiTheme="majorHAnsi"/>
                <w:color w:val="000000"/>
                <w:sz w:val="16"/>
                <w:szCs w:val="16"/>
              </w:rPr>
            </w:pP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Governments commit/ do not commit to funding full time executive secretary position for Prespa Park Coordination Committee.</w:t>
            </w: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No such position or funding exists.</w:t>
            </w:r>
          </w:p>
        </w:tc>
        <w:tc>
          <w:tcPr>
            <w:tcW w:w="252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Commitment by</w:t>
            </w:r>
            <w:r w:rsidRPr="0089284E">
              <w:rPr>
                <w:rFonts w:asciiTheme="majorHAnsi" w:hAnsiTheme="majorHAnsi"/>
                <w:color w:val="000000"/>
                <w:sz w:val="16"/>
                <w:szCs w:val="16"/>
              </w:rPr>
              <w:br/>
              <w:t>EoY. 3. Funding by EoY. 4.</w:t>
            </w:r>
          </w:p>
        </w:tc>
        <w:tc>
          <w:tcPr>
            <w:tcW w:w="738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1. Under the International Prespa Agreement the Governments commit to fund a position of expert in transboundary cooperation on protected areas and river basin management to head the PPMC Secretariat. The PPMC is yet to be operationa;ize, which is beyond control of the project (TB).                                                                                                                                                    2 There has been significant investment on environment infrastructure throu government works mainly in improvement of road access and reconstraction of sewerage systems (AL)</w:t>
            </w:r>
          </w:p>
        </w:tc>
      </w:tr>
      <w:tr w:rsidR="00E660DB" w:rsidRPr="0089284E" w:rsidTr="0089284E">
        <w:trPr>
          <w:trHeight w:val="1646"/>
        </w:trPr>
        <w:tc>
          <w:tcPr>
            <w:tcW w:w="1350" w:type="dxa"/>
            <w:vMerge/>
            <w:shd w:val="clear" w:color="auto" w:fill="auto"/>
            <w:hideMark/>
          </w:tcPr>
          <w:p w:rsidR="00E660DB" w:rsidRPr="0089284E" w:rsidRDefault="00E660DB" w:rsidP="00355DB4">
            <w:pPr>
              <w:rPr>
                <w:rFonts w:asciiTheme="majorHAnsi" w:hAnsiTheme="majorHAnsi"/>
                <w:color w:val="000000"/>
                <w:sz w:val="16"/>
                <w:szCs w:val="16"/>
              </w:rPr>
            </w:pP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Imperial eagle nesting habitat enhanced/protected, along with other important raptor and vulture nesting habitats enhanced/protected simultaneously (e.g. Golden Eagle, or rare nocturnal species) in MK, AL and GR*.</w:t>
            </w: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Ecological</w:t>
            </w:r>
            <w:r w:rsidRPr="0089284E">
              <w:rPr>
                <w:rFonts w:asciiTheme="majorHAnsi" w:hAnsiTheme="majorHAnsi"/>
                <w:color w:val="000000"/>
                <w:sz w:val="16"/>
                <w:szCs w:val="16"/>
              </w:rPr>
              <w:br/>
              <w:t>needs of eagle not understood by protected areas, forest managers or MoEPP.</w:t>
            </w:r>
          </w:p>
        </w:tc>
        <w:tc>
          <w:tcPr>
            <w:tcW w:w="252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Sub-Working</w:t>
            </w:r>
            <w:r w:rsidRPr="0089284E">
              <w:rPr>
                <w:rFonts w:asciiTheme="majorHAnsi" w:hAnsiTheme="majorHAnsi"/>
                <w:color w:val="000000"/>
                <w:sz w:val="16"/>
                <w:szCs w:val="16"/>
              </w:rPr>
              <w:br/>
              <w:t>Group on Birdlife formulates trans- boundary conservation actions for forest raptor species following by EoY1;</w:t>
            </w:r>
            <w:r w:rsidRPr="0089284E">
              <w:rPr>
                <w:rFonts w:asciiTheme="majorHAnsi" w:hAnsiTheme="majorHAnsi"/>
                <w:color w:val="000000"/>
                <w:sz w:val="16"/>
                <w:szCs w:val="16"/>
              </w:rPr>
              <w:br/>
            </w:r>
            <w:r w:rsidRPr="0089284E">
              <w:rPr>
                <w:rFonts w:asciiTheme="majorHAnsi" w:hAnsiTheme="majorHAnsi"/>
                <w:color w:val="000000"/>
                <w:sz w:val="16"/>
                <w:szCs w:val="16"/>
              </w:rPr>
              <w:br/>
              <w:t>Pilot conservation actions applied by EoY2;</w:t>
            </w:r>
            <w:r w:rsidRPr="0089284E">
              <w:rPr>
                <w:rFonts w:asciiTheme="majorHAnsi" w:hAnsiTheme="majorHAnsi"/>
                <w:color w:val="000000"/>
                <w:sz w:val="16"/>
                <w:szCs w:val="16"/>
              </w:rPr>
              <w:br/>
            </w:r>
            <w:r w:rsidRPr="0089284E">
              <w:rPr>
                <w:rFonts w:asciiTheme="majorHAnsi" w:hAnsiTheme="majorHAnsi"/>
                <w:color w:val="000000"/>
                <w:sz w:val="16"/>
                <w:szCs w:val="16"/>
              </w:rPr>
              <w:br/>
              <w:t>At least two different potential eagle- nesting areas under special management by year 3.</w:t>
            </w:r>
          </w:p>
        </w:tc>
        <w:tc>
          <w:tcPr>
            <w:tcW w:w="738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1.The imperial eagle was not selected by the trilateral Monitoring and Conservation Working Group amongs the priority species and habitats for which conservation plans were prepared. (TB)</w:t>
            </w:r>
          </w:p>
        </w:tc>
      </w:tr>
      <w:tr w:rsidR="00E660DB" w:rsidRPr="0089284E" w:rsidTr="0089284E">
        <w:trPr>
          <w:trHeight w:val="2996"/>
        </w:trPr>
        <w:tc>
          <w:tcPr>
            <w:tcW w:w="1350" w:type="dxa"/>
            <w:vMerge/>
            <w:shd w:val="clear" w:color="auto" w:fill="auto"/>
            <w:hideMark/>
          </w:tcPr>
          <w:p w:rsidR="00E660DB" w:rsidRPr="0089284E" w:rsidRDefault="00E660DB" w:rsidP="00355DB4">
            <w:pPr>
              <w:rPr>
                <w:rFonts w:asciiTheme="majorHAnsi" w:hAnsiTheme="majorHAnsi"/>
                <w:color w:val="000000"/>
                <w:sz w:val="16"/>
                <w:szCs w:val="16"/>
              </w:rPr>
            </w:pP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Inhabitants and stakeholders in the 3 countries aware/ unaware of Prespa values and informed on project activities</w:t>
            </w: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Environme</w:t>
            </w:r>
            <w:r w:rsidRPr="0089284E">
              <w:rPr>
                <w:rFonts w:asciiTheme="majorHAnsi" w:hAnsiTheme="majorHAnsi"/>
                <w:color w:val="000000"/>
                <w:sz w:val="16"/>
                <w:szCs w:val="16"/>
              </w:rPr>
              <w:br/>
              <w:t>ntal education/n ature interpretatio n programs executed by SPP in</w:t>
            </w:r>
            <w:r w:rsidRPr="0089284E">
              <w:rPr>
                <w:rFonts w:asciiTheme="majorHAnsi" w:hAnsiTheme="majorHAnsi"/>
                <w:color w:val="000000"/>
                <w:sz w:val="16"/>
                <w:szCs w:val="16"/>
              </w:rPr>
              <w:br/>
              <w:t>GR*-Prespa during recent past; SPP Information Center on Trans- boundary Prespa Park operating in Aghios Germanos; Info Center in</w:t>
            </w:r>
            <w:r w:rsidRPr="0089284E">
              <w:rPr>
                <w:rFonts w:asciiTheme="majorHAnsi" w:hAnsiTheme="majorHAnsi"/>
                <w:color w:val="000000"/>
                <w:sz w:val="16"/>
                <w:szCs w:val="16"/>
              </w:rPr>
              <w:br/>
              <w:t>Zagradec, Micro Prespa (AL).</w:t>
            </w:r>
          </w:p>
        </w:tc>
        <w:tc>
          <w:tcPr>
            <w:tcW w:w="252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Increased</w:t>
            </w:r>
            <w:r w:rsidRPr="0089284E">
              <w:rPr>
                <w:rFonts w:asciiTheme="majorHAnsi" w:hAnsiTheme="majorHAnsi"/>
                <w:color w:val="000000"/>
                <w:sz w:val="16"/>
                <w:szCs w:val="16"/>
              </w:rPr>
              <w:br/>
              <w:t>awareness of stakeholders on values of Prespa and project activities –</w:t>
            </w:r>
            <w:r w:rsidRPr="0089284E">
              <w:rPr>
                <w:rFonts w:asciiTheme="majorHAnsi" w:hAnsiTheme="majorHAnsi"/>
                <w:color w:val="000000"/>
                <w:sz w:val="16"/>
                <w:szCs w:val="16"/>
              </w:rPr>
              <w:br/>
              <w:t>20% by EoY 2 and 50% by EoY 4.</w:t>
            </w:r>
          </w:p>
        </w:tc>
        <w:tc>
          <w:tcPr>
            <w:tcW w:w="738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1.  Targeted educational programme have been implemented in the course of implementation of various project components (stakeholder meetings and on Prespa ecosystem consultations, workshops, publications, etc) (AL)</w:t>
            </w:r>
            <w:r w:rsidRPr="0089284E">
              <w:rPr>
                <w:rFonts w:asciiTheme="majorHAnsi" w:hAnsiTheme="majorHAnsi"/>
                <w:color w:val="000000"/>
                <w:sz w:val="16"/>
                <w:szCs w:val="16"/>
              </w:rPr>
              <w:br/>
              <w:t>2.  Various public awareness activities have been carried out, T-shirts, caps and pens with Prespa Park logo produced, and distributed, monthly newsletter,</w:t>
            </w:r>
            <w:r w:rsidRPr="0089284E">
              <w:rPr>
                <w:rFonts w:asciiTheme="majorHAnsi" w:hAnsiTheme="majorHAnsi"/>
                <w:color w:val="000000"/>
                <w:sz w:val="16"/>
                <w:szCs w:val="16"/>
              </w:rPr>
              <w:br/>
              <w:t>Journalist tour in Prespa region. (AL)</w:t>
            </w:r>
            <w:r w:rsidRPr="0089284E">
              <w:rPr>
                <w:rFonts w:asciiTheme="majorHAnsi" w:hAnsiTheme="majorHAnsi"/>
                <w:color w:val="000000"/>
                <w:sz w:val="16"/>
                <w:szCs w:val="16"/>
              </w:rPr>
              <w:br/>
              <w:t>3.  The information centre in Gorrica is being reshaped, updated and supplied with necessary material and logistic and fully operational (AL)</w:t>
            </w:r>
            <w:r w:rsidRPr="0089284E">
              <w:rPr>
                <w:rFonts w:asciiTheme="majorHAnsi" w:hAnsiTheme="majorHAnsi"/>
                <w:color w:val="000000"/>
                <w:sz w:val="16"/>
                <w:szCs w:val="16"/>
              </w:rPr>
              <w:br/>
              <w:t xml:space="preserve">4.  The institutions and local NGOs are fully involved in TB activities on studies and monitoring (AL)                                                          5.  The project organized a training with the tea gatherers in Prespa on tea (Sideritis Raeseri) conservation and sustainable gathering methods. Furthermore, number of stakeholders were made aware on the significance, conservation efforts of priorty species and habitats under the public awareness raising activities launched by the project. Appropriate materials were prepared and distributed widely in all 3 countries in Prespa. Furthermore, the project organized public awareness rasining activities with the primary and secondary schools in Albania and Macedonia. Presentations and workshops were organized with school age children, and the teachers in biology, geography and natural sciences were included in all workshops as a measure of rasining awareness. (TB).                                                                                           6. The project organized public screening in Prespa and Skopje of the documentary film In the Heart of the Balkans – The Pelicans of the Prespa Park produced by the Arte TV,  together with the Macedonian Ecological Society. (TB, MK).                                                   7. The National Capital Resource Centre established in Resen is fully functional and serves as a hub for knowledge and information on the Prespa region. The staff of the Centre also support the municipality of Resen to develop and implement varous projects on local level.  (MK)                                                                   8. Number of articles on Prespa watershed related issues have been published in national and local newspapaers, magazines and the municipal web site. </w:t>
            </w:r>
          </w:p>
        </w:tc>
      </w:tr>
      <w:tr w:rsidR="00E660DB" w:rsidRPr="0089284E" w:rsidTr="0089284E">
        <w:trPr>
          <w:trHeight w:val="3536"/>
        </w:trPr>
        <w:tc>
          <w:tcPr>
            <w:tcW w:w="1350" w:type="dxa"/>
            <w:vMerge/>
            <w:shd w:val="clear" w:color="auto" w:fill="auto"/>
            <w:hideMark/>
          </w:tcPr>
          <w:p w:rsidR="00E660DB" w:rsidRPr="0089284E" w:rsidRDefault="00E660DB" w:rsidP="00355DB4">
            <w:pPr>
              <w:rPr>
                <w:rFonts w:asciiTheme="majorHAnsi" w:hAnsiTheme="majorHAnsi"/>
                <w:color w:val="000000"/>
                <w:sz w:val="16"/>
                <w:szCs w:val="16"/>
              </w:rPr>
            </w:pP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NP and forest managers formulate trans-boundary management actions for priority trans- boundary forest biotopes [mountain meadows and rangelands of Galicica/Mali I Thate, juniper forest on Kalammas peninsula, Varnous Mountain – PPA (GR*) /Pelister PNP (MK)].</w:t>
            </w: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No consensus</w:t>
            </w:r>
            <w:r w:rsidRPr="0089284E">
              <w:rPr>
                <w:rFonts w:asciiTheme="majorHAnsi" w:hAnsiTheme="majorHAnsi"/>
                <w:color w:val="000000"/>
                <w:sz w:val="16"/>
                <w:szCs w:val="16"/>
              </w:rPr>
              <w:br/>
              <w:t>among managers regarding cooperative trans- boundary management of forest biotopes</w:t>
            </w:r>
          </w:p>
        </w:tc>
        <w:tc>
          <w:tcPr>
            <w:tcW w:w="252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Identification</w:t>
            </w:r>
            <w:r w:rsidRPr="0089284E">
              <w:rPr>
                <w:rFonts w:asciiTheme="majorHAnsi" w:hAnsiTheme="majorHAnsi"/>
                <w:color w:val="000000"/>
                <w:sz w:val="16"/>
                <w:szCs w:val="16"/>
              </w:rPr>
              <w:br/>
              <w:t>and prioritization of habitats by</w:t>
            </w:r>
            <w:r w:rsidRPr="0089284E">
              <w:rPr>
                <w:rFonts w:asciiTheme="majorHAnsi" w:hAnsiTheme="majorHAnsi"/>
                <w:color w:val="000000"/>
                <w:sz w:val="16"/>
                <w:szCs w:val="16"/>
              </w:rPr>
              <w:br/>
              <w:t>EoY1 according to the</w:t>
            </w:r>
            <w:r w:rsidRPr="0089284E">
              <w:rPr>
                <w:rFonts w:asciiTheme="majorHAnsi" w:hAnsiTheme="majorHAnsi"/>
                <w:color w:val="000000"/>
                <w:sz w:val="16"/>
                <w:szCs w:val="16"/>
              </w:rPr>
              <w:br/>
              <w:t>NATURA 2000 methodology or any other compatible one; Establishment</w:t>
            </w:r>
            <w:r w:rsidRPr="0089284E">
              <w:rPr>
                <w:rFonts w:asciiTheme="majorHAnsi" w:hAnsiTheme="majorHAnsi"/>
                <w:color w:val="000000"/>
                <w:sz w:val="16"/>
                <w:szCs w:val="16"/>
              </w:rPr>
              <w:br/>
              <w:t>of protection corridors (where feasible) in case of non-adjacent PAs by EoY 1;</w:t>
            </w:r>
            <w:r w:rsidRPr="0089284E">
              <w:rPr>
                <w:rFonts w:asciiTheme="majorHAnsi" w:hAnsiTheme="majorHAnsi"/>
                <w:color w:val="000000"/>
                <w:sz w:val="16"/>
                <w:szCs w:val="16"/>
              </w:rPr>
              <w:br/>
            </w:r>
            <w:r w:rsidRPr="0089284E">
              <w:rPr>
                <w:rFonts w:asciiTheme="majorHAnsi" w:hAnsiTheme="majorHAnsi"/>
                <w:color w:val="000000"/>
                <w:sz w:val="16"/>
                <w:szCs w:val="16"/>
              </w:rPr>
              <w:br/>
              <w:t>Development of management plans by EoY 2;</w:t>
            </w:r>
            <w:r w:rsidRPr="0089284E">
              <w:rPr>
                <w:rFonts w:asciiTheme="majorHAnsi" w:hAnsiTheme="majorHAnsi"/>
                <w:color w:val="000000"/>
                <w:sz w:val="16"/>
                <w:szCs w:val="16"/>
              </w:rPr>
              <w:br/>
            </w:r>
            <w:r w:rsidRPr="0089284E">
              <w:rPr>
                <w:rFonts w:asciiTheme="majorHAnsi" w:hAnsiTheme="majorHAnsi"/>
                <w:color w:val="000000"/>
                <w:sz w:val="16"/>
                <w:szCs w:val="16"/>
              </w:rPr>
              <w:br/>
              <w:t>Common monitoring of actions agreed and implemented by EoY 2;</w:t>
            </w:r>
            <w:r w:rsidRPr="0089284E">
              <w:rPr>
                <w:rFonts w:asciiTheme="majorHAnsi" w:hAnsiTheme="majorHAnsi"/>
                <w:color w:val="000000"/>
                <w:sz w:val="16"/>
                <w:szCs w:val="16"/>
              </w:rPr>
              <w:br/>
            </w:r>
            <w:r w:rsidRPr="0089284E">
              <w:rPr>
                <w:rFonts w:asciiTheme="majorHAnsi" w:hAnsiTheme="majorHAnsi"/>
                <w:color w:val="000000"/>
                <w:sz w:val="16"/>
                <w:szCs w:val="16"/>
              </w:rPr>
              <w:br/>
              <w:t>Pilot application of management actions by EoY</w:t>
            </w:r>
            <w:r w:rsidRPr="0089284E">
              <w:rPr>
                <w:rFonts w:asciiTheme="majorHAnsi" w:hAnsiTheme="majorHAnsi"/>
                <w:color w:val="000000"/>
                <w:sz w:val="16"/>
                <w:szCs w:val="16"/>
              </w:rPr>
              <w:br/>
              <w:t>3.</w:t>
            </w:r>
          </w:p>
        </w:tc>
        <w:tc>
          <w:tcPr>
            <w:tcW w:w="738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1. (see above) Conservation plans for transboundary priority species and habitats were prepared in this reporting period. The conservatiion plans include an analysys of threats and offer comprehensive set of measures for protection and conservation of the species and habitats. The plans are completed ans shared with the relevant stakeholders and further promoted through public events/public awareness activity.  (TB)                                                                                                                              2. The UNDP project is assiting KfW with inputs and assessment into the management planing proces, which will also address the priority transboundary forest biotopes (AL)</w:t>
            </w:r>
          </w:p>
        </w:tc>
      </w:tr>
      <w:tr w:rsidR="00E660DB" w:rsidRPr="0089284E" w:rsidTr="0089284E">
        <w:trPr>
          <w:trHeight w:val="117"/>
        </w:trPr>
        <w:tc>
          <w:tcPr>
            <w:tcW w:w="1350" w:type="dxa"/>
            <w:vMerge/>
            <w:shd w:val="clear" w:color="auto" w:fill="auto"/>
            <w:hideMark/>
          </w:tcPr>
          <w:p w:rsidR="00E660DB" w:rsidRPr="0089284E" w:rsidRDefault="00E660DB" w:rsidP="00355DB4">
            <w:pPr>
              <w:rPr>
                <w:rFonts w:asciiTheme="majorHAnsi" w:hAnsiTheme="majorHAnsi"/>
                <w:color w:val="000000"/>
                <w:sz w:val="16"/>
                <w:szCs w:val="16"/>
              </w:rPr>
            </w:pP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PPCC is/is not a legal entity under International Law</w:t>
            </w: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PPCC is an informal institution with no legal basis.</w:t>
            </w:r>
          </w:p>
        </w:tc>
        <w:tc>
          <w:tcPr>
            <w:tcW w:w="252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PPCC is legal entity as agreed to under trilateral agreement.</w:t>
            </w:r>
          </w:p>
        </w:tc>
        <w:tc>
          <w:tcPr>
            <w:tcW w:w="738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1. The Prespa Park Management Committee (PPMC) that replaced the interim PPCC under the new International Agreement on Prespa has a formal status (TB).                                                      2. Albanian Ministry of Environment (MoEFWA) has provided coninous support and assutance to the functionality and operation of the PPMC (AL)</w:t>
            </w:r>
          </w:p>
        </w:tc>
      </w:tr>
      <w:tr w:rsidR="00E660DB" w:rsidRPr="0089284E" w:rsidTr="0089284E">
        <w:trPr>
          <w:trHeight w:val="1646"/>
        </w:trPr>
        <w:tc>
          <w:tcPr>
            <w:tcW w:w="1350" w:type="dxa"/>
            <w:vMerge/>
            <w:shd w:val="clear" w:color="auto" w:fill="auto"/>
            <w:hideMark/>
          </w:tcPr>
          <w:p w:rsidR="00E660DB" w:rsidRPr="0089284E" w:rsidRDefault="00E660DB" w:rsidP="00355DB4">
            <w:pPr>
              <w:rPr>
                <w:rFonts w:asciiTheme="majorHAnsi" w:hAnsiTheme="majorHAnsi"/>
                <w:color w:val="000000"/>
                <w:sz w:val="16"/>
                <w:szCs w:val="16"/>
              </w:rPr>
            </w:pP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Rare water-bird conservation through trans-boundary protection of breeding and nesting habitats in MK, AL and GR*.</w:t>
            </w: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Reedbed and wet meadows under some management in GR*, but not in MK and AL;</w:t>
            </w:r>
            <w:r w:rsidRPr="0089284E">
              <w:rPr>
                <w:rFonts w:asciiTheme="majorHAnsi" w:hAnsiTheme="majorHAnsi"/>
                <w:color w:val="000000"/>
                <w:sz w:val="16"/>
                <w:szCs w:val="16"/>
              </w:rPr>
              <w:br/>
              <w:t>No sufficient wardening applied in MK, AL and GR*.</w:t>
            </w:r>
          </w:p>
        </w:tc>
        <w:tc>
          <w:tcPr>
            <w:tcW w:w="252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Sub-Working Group on Birdlife formulates</w:t>
            </w:r>
            <w:r w:rsidRPr="0089284E">
              <w:rPr>
                <w:rFonts w:asciiTheme="majorHAnsi" w:hAnsiTheme="majorHAnsi"/>
                <w:color w:val="000000"/>
                <w:sz w:val="16"/>
                <w:szCs w:val="16"/>
              </w:rPr>
              <w:br/>
              <w:t>trans-boundary conservation actions for water birds in both lakes by EoY1;</w:t>
            </w:r>
            <w:r w:rsidRPr="0089284E">
              <w:rPr>
                <w:rFonts w:asciiTheme="majorHAnsi" w:hAnsiTheme="majorHAnsi"/>
                <w:color w:val="000000"/>
                <w:sz w:val="16"/>
                <w:szCs w:val="16"/>
              </w:rPr>
              <w:br/>
            </w:r>
            <w:r w:rsidRPr="0089284E">
              <w:rPr>
                <w:rFonts w:asciiTheme="majorHAnsi" w:hAnsiTheme="majorHAnsi"/>
                <w:color w:val="000000"/>
                <w:sz w:val="16"/>
                <w:szCs w:val="16"/>
              </w:rPr>
              <w:br/>
              <w:t>Pilot conservation actions applied by EoY2; Monitoring of pilot actions.</w:t>
            </w:r>
          </w:p>
        </w:tc>
        <w:tc>
          <w:tcPr>
            <w:tcW w:w="738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 xml:space="preserve">1. Conservation plans for transboundary priority species and habitats were prepared in this reporting period. The conservatiion plans include an analysys of threats and offer comprehensive set of measures for protection and conservation of the species and habitats. The plans are completed ans shared with the relevant stakeholders and further promoted through public events/public awareness activity.  (TB)                                                                                                                                                                                                               </w:t>
            </w:r>
            <w:r w:rsidRPr="0089284E">
              <w:rPr>
                <w:rFonts w:asciiTheme="majorHAnsi" w:hAnsiTheme="majorHAnsi"/>
                <w:color w:val="000000"/>
                <w:sz w:val="16"/>
                <w:szCs w:val="16"/>
              </w:rPr>
              <w:br/>
              <w:t xml:space="preserve">2. A 5-year conserv ation plan is developed for Prespa reedbeds. The plan analyses the threats and proposes measures and actions including controlof the  human induced oscillations in the water level; Mitigation of  the impacts from siltation processes on reedbeds in Micro Prespa Lake through modification of management practices; Minimization of the pressure/impact on reedbeds from uncontrolled land use; Promotion and implementation of appropriate management of the reedbeds; Improvement of the general viability of the reedbeds through better implementation of the existing legislation; Improvement of the knowledge and  data about the reedbeds and raising of public and stakeholder awareness about the value of the habitat and the need for its proper management.(TB)                                                                  3. The Ezerani management plan includes conservation measures for reedbed and birds. (MK)                                                                 </w:t>
            </w:r>
            <w:r w:rsidRPr="0089284E">
              <w:rPr>
                <w:rFonts w:asciiTheme="majorHAnsi" w:hAnsiTheme="majorHAnsi"/>
                <w:color w:val="000000"/>
                <w:sz w:val="16"/>
                <w:szCs w:val="16"/>
              </w:rPr>
              <w:br/>
              <w:t>4. Prespa National Park maintains inventory of forest trees, survey on bat colonies, and protection of endangered species (AL)</w:t>
            </w:r>
            <w:r w:rsidRPr="0089284E">
              <w:rPr>
                <w:rFonts w:asciiTheme="majorHAnsi" w:hAnsiTheme="majorHAnsi"/>
                <w:color w:val="000000"/>
                <w:sz w:val="16"/>
                <w:szCs w:val="16"/>
              </w:rPr>
              <w:br/>
              <w:t>5. The local institutions and NGOs are involved in TB activities on studies and monitoring (AL)</w:t>
            </w:r>
            <w:r w:rsidRPr="0089284E">
              <w:rPr>
                <w:rFonts w:asciiTheme="majorHAnsi" w:hAnsiTheme="majorHAnsi"/>
                <w:color w:val="000000"/>
                <w:sz w:val="16"/>
                <w:szCs w:val="16"/>
              </w:rPr>
              <w:br/>
              <w:t xml:space="preserve">6. The former result of a diminished extensive reeds population in the lake in a length of about 500 meters is remarkably being maintained by the PNP and KfW program (AL)                                </w:t>
            </w:r>
          </w:p>
        </w:tc>
      </w:tr>
      <w:tr w:rsidR="00E660DB" w:rsidRPr="0089284E" w:rsidTr="0089284E">
        <w:trPr>
          <w:trHeight w:val="3360"/>
        </w:trPr>
        <w:tc>
          <w:tcPr>
            <w:tcW w:w="1350" w:type="dxa"/>
            <w:vMerge/>
            <w:shd w:val="clear" w:color="auto" w:fill="auto"/>
            <w:hideMark/>
          </w:tcPr>
          <w:p w:rsidR="00E660DB" w:rsidRPr="0089284E" w:rsidRDefault="00E660DB" w:rsidP="00355DB4">
            <w:pPr>
              <w:rPr>
                <w:rFonts w:asciiTheme="majorHAnsi" w:hAnsiTheme="majorHAnsi"/>
                <w:color w:val="000000"/>
                <w:sz w:val="16"/>
                <w:szCs w:val="16"/>
              </w:rPr>
            </w:pP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Status of agreement of transboundary water management to achieve good ecological water status in the water bodies of the Prespa Park. Coordination mechanism established through regular operation of Working Group on Water Management (WGWM).</w:t>
            </w: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No common agreed targets of water management</w:t>
            </w:r>
          </w:p>
        </w:tc>
        <w:tc>
          <w:tcPr>
            <w:tcW w:w="252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Establishment of the trilateral WGWM by EoY 1; monitoring; agreement of targets for TB water management by EoY4</w:t>
            </w:r>
          </w:p>
        </w:tc>
        <w:tc>
          <w:tcPr>
            <w:tcW w:w="738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 xml:space="preserve">1.While the Prespa Park Management Committee (PPMC) is still not operational and thus the Water Management Working Group is not estaplished yet, the International Agreement for Prespa demonstrates a commitment of the national authorities to provide funding for transboudary governance and related institutions.  At the informal PPMC meeting held in June 2012, the Ministries representatives, Mayors and NGOs from the three countries  re-confirmed thiir intention to work to on accelerating the process of operationalization of the PPMC as well as establishment of the Water Management Working Group. It is expected that this will be operationalised by end of 2012, as soon as the Prespa Agreement is ratified by the governments of Macedonia and Greece. (TB)            </w:t>
            </w:r>
          </w:p>
        </w:tc>
      </w:tr>
      <w:tr w:rsidR="00E660DB" w:rsidRPr="0089284E" w:rsidTr="0089284E">
        <w:trPr>
          <w:trHeight w:val="2520"/>
        </w:trPr>
        <w:tc>
          <w:tcPr>
            <w:tcW w:w="1350" w:type="dxa"/>
            <w:vMerge/>
            <w:shd w:val="clear" w:color="auto" w:fill="auto"/>
            <w:hideMark/>
          </w:tcPr>
          <w:p w:rsidR="00E660DB" w:rsidRPr="0089284E" w:rsidRDefault="00E660DB" w:rsidP="00355DB4">
            <w:pPr>
              <w:rPr>
                <w:rFonts w:asciiTheme="majorHAnsi" w:hAnsiTheme="majorHAnsi"/>
                <w:color w:val="000000"/>
                <w:sz w:val="16"/>
                <w:szCs w:val="16"/>
              </w:rPr>
            </w:pP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 xml:space="preserve">Three states agree/ disagree on transboundary habitat conservation priorities that reflect ecological management objectives for sustainable use and conservation of species and ecosystem health and agree upon specific programmes </w:t>
            </w: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Management regime is not aligned regarding basin-wide important species and habitats</w:t>
            </w:r>
          </w:p>
        </w:tc>
        <w:tc>
          <w:tcPr>
            <w:tcW w:w="252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 xml:space="preserve">Three states agree on transboundary habitat conservation priorities that reflect ecological management objectives. Two habitat-related pilot projects agreed by EoY 1; relevant management activities implemented by EoY 3. </w:t>
            </w:r>
          </w:p>
        </w:tc>
        <w:tc>
          <w:tcPr>
            <w:tcW w:w="738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 xml:space="preserve">1. (above) Priority species and habitat for conservation were defined in 2010 within the Monitoring and Conservation Working Group. The Conservation plans for transboundary priority species and habitats were prepared in this reporting period. The conservatiion plans include an analysys of threats and offer comprehensive set of measures for protection and conservation of the species and habitats. The plans are completed ans shared with the relevant stakeholders and further promoted through public events/public awareness activity.  (TB)                                                                                                                         </w:t>
            </w:r>
          </w:p>
        </w:tc>
      </w:tr>
      <w:tr w:rsidR="00E660DB" w:rsidRPr="0089284E" w:rsidTr="0089284E">
        <w:trPr>
          <w:trHeight w:val="3080"/>
        </w:trPr>
        <w:tc>
          <w:tcPr>
            <w:tcW w:w="1350" w:type="dxa"/>
            <w:vMerge/>
            <w:shd w:val="clear" w:color="auto" w:fill="auto"/>
            <w:hideMark/>
          </w:tcPr>
          <w:p w:rsidR="00E660DB" w:rsidRPr="0089284E" w:rsidRDefault="00E660DB" w:rsidP="00355DB4">
            <w:pPr>
              <w:rPr>
                <w:rFonts w:asciiTheme="majorHAnsi" w:hAnsiTheme="majorHAnsi"/>
                <w:color w:val="000000"/>
                <w:sz w:val="16"/>
                <w:szCs w:val="16"/>
              </w:rPr>
            </w:pP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 xml:space="preserve">Three states agree on trans-boundary fish conservation priorities that reflect ecological management objectives for sustainable use and conservation of native species and aquatic ecosystem health and agree upon specific program of measures for cooperative fish management.  </w:t>
            </w: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 xml:space="preserve">Management regime does not reflect ecosystem objectives, though three countries ban fishing during spawning season. </w:t>
            </w:r>
          </w:p>
        </w:tc>
        <w:tc>
          <w:tcPr>
            <w:tcW w:w="252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 xml:space="preserve">Three states cooperate on enforcement; monitoring; and research by EoY 3. </w:t>
            </w:r>
          </w:p>
        </w:tc>
        <w:tc>
          <w:tcPr>
            <w:tcW w:w="738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1. The first transboundary Fish and Fisheries Management Plan for the Prespa Lake was completed at the beginning of 2012.  Amongst other measures, the Plan proposes a total ban on fishing Prespa barbell for 6 years period and a 3 years ban on fishing Prespa Trout from the tributaries (for more information on the plan see above).(TB)</w:t>
            </w:r>
          </w:p>
        </w:tc>
      </w:tr>
      <w:tr w:rsidR="00E660DB" w:rsidRPr="0089284E" w:rsidTr="0089284E">
        <w:trPr>
          <w:trHeight w:val="746"/>
        </w:trPr>
        <w:tc>
          <w:tcPr>
            <w:tcW w:w="1350" w:type="dxa"/>
            <w:vMerge/>
            <w:shd w:val="clear" w:color="auto" w:fill="auto"/>
            <w:hideMark/>
          </w:tcPr>
          <w:p w:rsidR="00E660DB" w:rsidRPr="0089284E" w:rsidRDefault="00E660DB" w:rsidP="00355DB4">
            <w:pPr>
              <w:rPr>
                <w:rFonts w:asciiTheme="majorHAnsi" w:hAnsiTheme="majorHAnsi"/>
                <w:color w:val="000000"/>
                <w:sz w:val="16"/>
                <w:szCs w:val="16"/>
              </w:rPr>
            </w:pP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Robust shared database on priority ecosystem and species health parameters</w:t>
            </w: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No shared database w/ updated information; x-boundary discussions occur w/no support data.</w:t>
            </w:r>
          </w:p>
        </w:tc>
        <w:tc>
          <w:tcPr>
            <w:tcW w:w="252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MCWG or relevant Subworking Group defines parameters and rules for access to database; Shared database populated with reliable data supports x-boundary discussions.</w:t>
            </w:r>
          </w:p>
        </w:tc>
        <w:tc>
          <w:tcPr>
            <w:tcW w:w="738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 xml:space="preserve">Already reported in the previous period. Once the PPMC is fully operational, a decision on how to maintain the database and how to exchange the information will be made. </w:t>
            </w:r>
          </w:p>
        </w:tc>
      </w:tr>
      <w:tr w:rsidR="00E660DB" w:rsidRPr="0089284E" w:rsidTr="0089284E">
        <w:trPr>
          <w:trHeight w:val="1466"/>
        </w:trPr>
        <w:tc>
          <w:tcPr>
            <w:tcW w:w="1350" w:type="dxa"/>
            <w:vMerge/>
            <w:shd w:val="clear" w:color="auto" w:fill="auto"/>
            <w:hideMark/>
          </w:tcPr>
          <w:p w:rsidR="00E660DB" w:rsidRPr="0089284E" w:rsidRDefault="00E660DB" w:rsidP="00355DB4">
            <w:pPr>
              <w:rPr>
                <w:rFonts w:asciiTheme="majorHAnsi" w:hAnsiTheme="majorHAnsi"/>
                <w:color w:val="000000"/>
                <w:sz w:val="16"/>
                <w:szCs w:val="16"/>
              </w:rPr>
            </w:pP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 xml:space="preserve">Reduction in level of threat to endemic fish posed by exotics in all 3 countries. Conservation of genetic diversity of endemic fish species in all 3 countries. </w:t>
            </w: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Not understood or even recognized as a problem in MK, AL and GR. SPP holds long term data on native, endemic and introduced fish species.</w:t>
            </w:r>
          </w:p>
        </w:tc>
        <w:tc>
          <w:tcPr>
            <w:tcW w:w="252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 xml:space="preserve">Priority threats to endemic fish from exotics, habitat change, and overfishing and re-introductions understood by EoY1; Absolute prevention of introductions of predatory fish species of potential commercial value interest; Management action agreed by EoY 2; Pilot measures underway to reduce them by EoY 4. </w:t>
            </w:r>
          </w:p>
        </w:tc>
        <w:tc>
          <w:tcPr>
            <w:tcW w:w="738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 xml:space="preserve">1. The Fisheries Management Plan is prepared and respective recommendations duly taken into account </w:t>
            </w:r>
            <w:r w:rsidRPr="0089284E">
              <w:rPr>
                <w:rFonts w:asciiTheme="majorHAnsi" w:hAnsiTheme="majorHAnsi"/>
                <w:color w:val="000000"/>
                <w:sz w:val="16"/>
                <w:szCs w:val="16"/>
              </w:rPr>
              <w:br/>
              <w:t>Intensive public awareness and capacity building of key stakeholders. (AL)</w:t>
            </w:r>
            <w:r w:rsidRPr="0089284E">
              <w:rPr>
                <w:rFonts w:asciiTheme="majorHAnsi" w:hAnsiTheme="majorHAnsi"/>
                <w:color w:val="000000"/>
                <w:sz w:val="16"/>
                <w:szCs w:val="16"/>
              </w:rPr>
              <w:br/>
              <w:t>2.  Small scaled actions formerly taken by the project are being replicated form the fisherman associations in order to maintain the lake area of app. 40 ha under improved ecosystem status (AL)                                                                                                    3. The first transboundary Fish and Fisheries Management Plan for Prespa was completed at the beginning of 2012. Amongst other measures, the plan proposes a total ban on fishing Prespa barbell for 6 years period and a 3 years ban on fishing Prespa Trout from the tributaries (for more information on the plan see above).(TB)</w:t>
            </w:r>
          </w:p>
        </w:tc>
      </w:tr>
      <w:tr w:rsidR="00E660DB" w:rsidRPr="0089284E" w:rsidTr="0089284E">
        <w:trPr>
          <w:trHeight w:val="656"/>
        </w:trPr>
        <w:tc>
          <w:tcPr>
            <w:tcW w:w="1350" w:type="dxa"/>
            <w:vMerge/>
            <w:shd w:val="clear" w:color="auto" w:fill="auto"/>
            <w:hideMark/>
          </w:tcPr>
          <w:p w:rsidR="00E660DB" w:rsidRPr="0089284E" w:rsidRDefault="00E660DB" w:rsidP="00355DB4">
            <w:pPr>
              <w:rPr>
                <w:rFonts w:asciiTheme="majorHAnsi" w:hAnsiTheme="majorHAnsi"/>
                <w:color w:val="000000"/>
                <w:sz w:val="16"/>
                <w:szCs w:val="16"/>
              </w:rPr>
            </w:pP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Wetland vegetation in GR and AL and MK are managed and their habitat values enhanced.</w:t>
            </w: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Wet meadows are under some management in GR (with 100 ha of wet meadows in Micro Prespa) but not in AL</w:t>
            </w:r>
          </w:p>
        </w:tc>
        <w:tc>
          <w:tcPr>
            <w:tcW w:w="252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Wet meadows in GR are restored and properly managed in GR-Prespa (targeting at the maintenance of minimum 100 ha);</w:t>
            </w:r>
            <w:r w:rsidRPr="0089284E">
              <w:rPr>
                <w:rFonts w:asciiTheme="majorHAnsi" w:hAnsiTheme="majorHAnsi"/>
                <w:color w:val="000000"/>
                <w:sz w:val="16"/>
                <w:szCs w:val="16"/>
              </w:rPr>
              <w:br/>
              <w:t>Pilot projects are starting in AL-Prespa.</w:t>
            </w:r>
          </w:p>
        </w:tc>
        <w:tc>
          <w:tcPr>
            <w:tcW w:w="738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1. The fisherman associations in AL Prespa continued efforts to sustain improved ecosystems situation of the lake area (40 ha) and clean navigation channels in Small Prespa (reeds removal) diminishing also the extensive reeds population in the lake (i a length of about 500 meters), and fish traps in Big Prespa Lake (reducing also the usage ‘llovizhda’) (AL)</w:t>
            </w:r>
          </w:p>
        </w:tc>
      </w:tr>
      <w:tr w:rsidR="00E660DB" w:rsidRPr="0089284E" w:rsidTr="0089284E">
        <w:trPr>
          <w:trHeight w:val="2132"/>
        </w:trPr>
        <w:tc>
          <w:tcPr>
            <w:tcW w:w="1350" w:type="dxa"/>
            <w:vMerge/>
            <w:shd w:val="clear" w:color="auto" w:fill="auto"/>
            <w:hideMark/>
          </w:tcPr>
          <w:p w:rsidR="00E660DB" w:rsidRPr="0089284E" w:rsidRDefault="00E660DB" w:rsidP="00355DB4">
            <w:pPr>
              <w:rPr>
                <w:rFonts w:asciiTheme="majorHAnsi" w:hAnsiTheme="majorHAnsi"/>
                <w:color w:val="000000"/>
                <w:sz w:val="16"/>
                <w:szCs w:val="16"/>
              </w:rPr>
            </w:pP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Tri-national ecotourism management plan is/is not endorsed and promotion underway.  Network of operational Information Centres in all 3 States.</w:t>
            </w:r>
          </w:p>
        </w:tc>
        <w:tc>
          <w:tcPr>
            <w:tcW w:w="153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No regional tourism management planning.</w:t>
            </w:r>
            <w:r w:rsidRPr="0089284E">
              <w:rPr>
                <w:rFonts w:asciiTheme="majorHAnsi" w:hAnsiTheme="majorHAnsi"/>
                <w:color w:val="000000"/>
                <w:sz w:val="16"/>
                <w:szCs w:val="16"/>
              </w:rPr>
              <w:br/>
              <w:t xml:space="preserve">SPP Info Centre operational in GR; operation of more Info Centres by Protected area authority-GR imminent; Info Centre in Gorica; </w:t>
            </w:r>
          </w:p>
        </w:tc>
        <w:tc>
          <w:tcPr>
            <w:tcW w:w="252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New tourism management and investment plan in place by year 5.</w:t>
            </w:r>
            <w:r w:rsidRPr="0089284E">
              <w:rPr>
                <w:rFonts w:asciiTheme="majorHAnsi" w:hAnsiTheme="majorHAnsi"/>
                <w:color w:val="000000"/>
                <w:sz w:val="16"/>
                <w:szCs w:val="16"/>
              </w:rPr>
              <w:br/>
              <w:t>Ensure the capacity and viability of Info Centres in all 3 sides; Network these Info Centres</w:t>
            </w:r>
          </w:p>
        </w:tc>
        <w:tc>
          <w:tcPr>
            <w:tcW w:w="7380" w:type="dxa"/>
            <w:shd w:val="clear" w:color="auto" w:fill="auto"/>
            <w:hideMark/>
          </w:tcPr>
          <w:p w:rsidR="00E660DB" w:rsidRPr="0089284E" w:rsidRDefault="00E660DB" w:rsidP="00355DB4">
            <w:pPr>
              <w:rPr>
                <w:rFonts w:asciiTheme="majorHAnsi" w:hAnsiTheme="majorHAnsi"/>
                <w:color w:val="000000"/>
                <w:sz w:val="16"/>
                <w:szCs w:val="16"/>
              </w:rPr>
            </w:pPr>
            <w:r w:rsidRPr="0089284E">
              <w:rPr>
                <w:rFonts w:asciiTheme="majorHAnsi" w:hAnsiTheme="majorHAnsi"/>
                <w:color w:val="000000"/>
                <w:sz w:val="16"/>
                <w:szCs w:val="16"/>
              </w:rPr>
              <w:t>1. The Transboundary Strategy for Sustainable Tourism and an Action Plan for the Prespa region was completed in this reporting period. The Strategy was prepared in a participatory manner including stakeholders from all three counries on local and national level. The overall aim of the Strategy is to enhance sustainable economic and social development of local societies and the wise use of natural resources. In particular the Strategy outlines the way forward forintegrating tourism into the overall development policies and patterns of the region and the countries; Providing a rational basis for decision-making by both the public and private sectors on tourism development;  Optimising and balancing economic, environmental and social benefits of tourism; Laying the foundations for successful implementation of tourism policies;  Initiating effective coordination and cooperation of stakeholders in the three countries; and Emphasizing the direction towards nature-based, sustainable tourism development. An integral part of the tourism strategy is five year action plan  This identifies key actions and measures, priority levels, indicative budgets, responsible parties, timing, and monitoring mechanisms as well as success criteria. Pilot projects for immediate action are also suggested. The Strategy was endorsed by the Municipalities in Prespa i.e. Municipality of Resen, Municipality of Liqenas and the Municipality of Prespa in Greece. The municipalities are using the document for further fundraisning. (TB)</w:t>
            </w:r>
            <w:r w:rsidRPr="0089284E">
              <w:rPr>
                <w:rFonts w:asciiTheme="majorHAnsi" w:hAnsiTheme="majorHAnsi"/>
                <w:color w:val="000000"/>
                <w:sz w:val="16"/>
                <w:szCs w:val="16"/>
              </w:rPr>
              <w:br/>
              <w:t>2.  The contributin and input to regional torusim strategy and action plan are provided (AL)</w:t>
            </w:r>
            <w:r w:rsidRPr="0089284E">
              <w:rPr>
                <w:rFonts w:asciiTheme="majorHAnsi" w:hAnsiTheme="majorHAnsi"/>
                <w:color w:val="000000"/>
                <w:sz w:val="16"/>
                <w:szCs w:val="16"/>
              </w:rPr>
              <w:br/>
              <w:t>3.  The locla authorities and PNP with KfW are refering to this strategy for the future activities in the sector: (AL)</w:t>
            </w:r>
          </w:p>
        </w:tc>
      </w:tr>
      <w:tr w:rsidR="00E660DB" w:rsidRPr="0089284E" w:rsidTr="0089284E">
        <w:trPr>
          <w:trHeight w:val="117"/>
        </w:trPr>
        <w:tc>
          <w:tcPr>
            <w:tcW w:w="1350" w:type="dxa"/>
            <w:shd w:val="clear" w:color="auto" w:fill="auto"/>
            <w:hideMark/>
          </w:tcPr>
          <w:p w:rsidR="00E660DB" w:rsidRPr="004F4FCE" w:rsidRDefault="00E660DB" w:rsidP="00355DB4">
            <w:pPr>
              <w:rPr>
                <w:rFonts w:asciiTheme="majorHAnsi" w:hAnsiTheme="majorHAnsi"/>
                <w:color w:val="000000"/>
                <w:sz w:val="16"/>
                <w:szCs w:val="16"/>
              </w:rPr>
            </w:pPr>
            <w:r w:rsidRPr="00981CE9">
              <w:rPr>
                <w:rFonts w:asciiTheme="majorHAnsi" w:hAnsiTheme="majorHAnsi"/>
                <w:color w:val="000000"/>
                <w:sz w:val="16"/>
                <w:szCs w:val="16"/>
              </w:rPr>
              <w:t>Outcome 5: Lessons learned and adaptive management of project</w:t>
            </w:r>
          </w:p>
        </w:tc>
        <w:tc>
          <w:tcPr>
            <w:tcW w:w="1530" w:type="dxa"/>
            <w:shd w:val="clear" w:color="auto" w:fill="auto"/>
            <w:hideMark/>
          </w:tcPr>
          <w:p w:rsidR="00E660DB" w:rsidRPr="00E47796" w:rsidRDefault="00E660DB" w:rsidP="00355DB4">
            <w:pPr>
              <w:rPr>
                <w:rFonts w:asciiTheme="majorHAnsi" w:hAnsiTheme="majorHAnsi"/>
                <w:color w:val="000000"/>
                <w:sz w:val="16"/>
                <w:szCs w:val="16"/>
              </w:rPr>
            </w:pPr>
            <w:r w:rsidRPr="00FC1E0C">
              <w:rPr>
                <w:rFonts w:asciiTheme="majorHAnsi" w:hAnsiTheme="majorHAnsi"/>
                <w:color w:val="000000"/>
                <w:sz w:val="16"/>
                <w:szCs w:val="16"/>
              </w:rPr>
              <w:t>Effective delivery rate</w:t>
            </w:r>
          </w:p>
        </w:tc>
        <w:tc>
          <w:tcPr>
            <w:tcW w:w="1530" w:type="dxa"/>
            <w:shd w:val="clear" w:color="auto" w:fill="auto"/>
            <w:hideMark/>
          </w:tcPr>
          <w:p w:rsidR="00E660DB" w:rsidRPr="00522AD6" w:rsidRDefault="00E660DB" w:rsidP="00355DB4">
            <w:pPr>
              <w:rPr>
                <w:rFonts w:asciiTheme="majorHAnsi" w:hAnsiTheme="majorHAnsi"/>
                <w:color w:val="000000"/>
                <w:sz w:val="16"/>
                <w:szCs w:val="16"/>
              </w:rPr>
            </w:pPr>
            <w:r w:rsidRPr="00522AD6">
              <w:rPr>
                <w:rFonts w:asciiTheme="majorHAnsi" w:hAnsiTheme="majorHAnsi"/>
                <w:color w:val="000000"/>
                <w:sz w:val="16"/>
                <w:szCs w:val="16"/>
              </w:rPr>
              <w:t>Block B</w:t>
            </w:r>
            <w:r w:rsidRPr="00522AD6">
              <w:rPr>
                <w:rFonts w:asciiTheme="majorHAnsi" w:hAnsiTheme="majorHAnsi"/>
                <w:color w:val="000000"/>
                <w:sz w:val="16"/>
                <w:szCs w:val="16"/>
              </w:rPr>
              <w:br/>
              <w:t>delivery</w:t>
            </w:r>
          </w:p>
        </w:tc>
        <w:tc>
          <w:tcPr>
            <w:tcW w:w="2520" w:type="dxa"/>
            <w:shd w:val="clear" w:color="auto" w:fill="auto"/>
            <w:hideMark/>
          </w:tcPr>
          <w:p w:rsidR="00E660DB" w:rsidRPr="00C24A6A" w:rsidRDefault="00E660DB" w:rsidP="00355DB4">
            <w:pPr>
              <w:rPr>
                <w:rFonts w:asciiTheme="majorHAnsi" w:hAnsiTheme="majorHAnsi"/>
                <w:color w:val="000000"/>
                <w:sz w:val="16"/>
                <w:szCs w:val="16"/>
              </w:rPr>
            </w:pPr>
            <w:r w:rsidRPr="00C24A6A">
              <w:rPr>
                <w:rFonts w:asciiTheme="majorHAnsi" w:hAnsiTheme="majorHAnsi"/>
                <w:color w:val="000000"/>
                <w:sz w:val="16"/>
                <w:szCs w:val="16"/>
              </w:rPr>
              <w:t>As good or better than Block B delivery rate</w:t>
            </w:r>
          </w:p>
        </w:tc>
        <w:tc>
          <w:tcPr>
            <w:tcW w:w="7380" w:type="dxa"/>
            <w:shd w:val="clear" w:color="auto" w:fill="auto"/>
            <w:hideMark/>
          </w:tcPr>
          <w:p w:rsidR="00E660DB" w:rsidRPr="00575C91" w:rsidRDefault="00E660DB" w:rsidP="00355DB4">
            <w:pPr>
              <w:rPr>
                <w:rFonts w:asciiTheme="majorHAnsi" w:hAnsiTheme="majorHAnsi"/>
                <w:color w:val="000000"/>
                <w:sz w:val="16"/>
                <w:szCs w:val="16"/>
              </w:rPr>
            </w:pPr>
            <w:r w:rsidRPr="004B7788">
              <w:rPr>
                <w:rFonts w:asciiTheme="majorHAnsi" w:hAnsiTheme="majorHAnsi"/>
                <w:color w:val="000000"/>
                <w:sz w:val="16"/>
                <w:szCs w:val="16"/>
              </w:rPr>
              <w:t xml:space="preserve">1. Only for the </w:t>
            </w:r>
            <w:r w:rsidRPr="00C1010D">
              <w:rPr>
                <w:rFonts w:asciiTheme="majorHAnsi" w:hAnsiTheme="majorHAnsi"/>
                <w:color w:val="000000"/>
                <w:sz w:val="16"/>
                <w:szCs w:val="16"/>
              </w:rPr>
              <w:t>reporting period: 87,245.62 USD are disbursed (consultancies, trainings, awareness, actions, equipment, monitoring, etc.). Delivery till June 2012 is 100 % (AL)                           2. Total delivery for the MK component is 1.469.253 USD till end of J</w:t>
            </w:r>
            <w:r w:rsidRPr="00575C91">
              <w:rPr>
                <w:rFonts w:asciiTheme="majorHAnsi" w:hAnsiTheme="majorHAnsi"/>
                <w:color w:val="000000"/>
                <w:sz w:val="16"/>
                <w:szCs w:val="16"/>
              </w:rPr>
              <w:t>une or 99.64 %. (MK)                                                                                           3. Total delivery for the component by end of June 2012 is 1.539.181 USD or 95.6 %.(TB)</w:t>
            </w:r>
          </w:p>
        </w:tc>
      </w:tr>
      <w:tr w:rsidR="00E660DB" w:rsidRPr="0089284E" w:rsidTr="0089284E">
        <w:trPr>
          <w:trHeight w:val="117"/>
        </w:trPr>
        <w:tc>
          <w:tcPr>
            <w:tcW w:w="1350" w:type="dxa"/>
            <w:shd w:val="clear" w:color="auto" w:fill="auto"/>
            <w:hideMark/>
          </w:tcPr>
          <w:p w:rsidR="00E660DB" w:rsidRPr="00981CE9" w:rsidRDefault="00E660DB" w:rsidP="00355DB4">
            <w:pPr>
              <w:rPr>
                <w:rFonts w:asciiTheme="majorHAnsi" w:hAnsiTheme="majorHAnsi"/>
                <w:color w:val="000000"/>
                <w:sz w:val="16"/>
                <w:szCs w:val="16"/>
              </w:rPr>
            </w:pPr>
            <w:r w:rsidRPr="00981CE9">
              <w:rPr>
                <w:rFonts w:asciiTheme="majorHAnsi" w:hAnsiTheme="majorHAnsi"/>
                <w:color w:val="000000"/>
                <w:sz w:val="16"/>
                <w:szCs w:val="16"/>
              </w:rPr>
              <w:t> </w:t>
            </w:r>
          </w:p>
        </w:tc>
        <w:tc>
          <w:tcPr>
            <w:tcW w:w="1530" w:type="dxa"/>
            <w:shd w:val="clear" w:color="auto" w:fill="auto"/>
            <w:hideMark/>
          </w:tcPr>
          <w:p w:rsidR="00E660DB" w:rsidRPr="00FC1E0C" w:rsidRDefault="00E660DB" w:rsidP="00355DB4">
            <w:pPr>
              <w:rPr>
                <w:rFonts w:asciiTheme="majorHAnsi" w:hAnsiTheme="majorHAnsi"/>
                <w:color w:val="000000"/>
                <w:sz w:val="16"/>
                <w:szCs w:val="16"/>
              </w:rPr>
            </w:pPr>
            <w:r w:rsidRPr="004F4FCE">
              <w:rPr>
                <w:rFonts w:asciiTheme="majorHAnsi" w:hAnsiTheme="majorHAnsi"/>
                <w:color w:val="000000"/>
                <w:sz w:val="16"/>
                <w:szCs w:val="16"/>
              </w:rPr>
              <w:t>Positive evaluations</w:t>
            </w:r>
          </w:p>
        </w:tc>
        <w:tc>
          <w:tcPr>
            <w:tcW w:w="1530" w:type="dxa"/>
            <w:shd w:val="clear" w:color="auto" w:fill="auto"/>
            <w:hideMark/>
          </w:tcPr>
          <w:p w:rsidR="00E660DB" w:rsidRPr="00522AD6" w:rsidRDefault="00E660DB" w:rsidP="00355DB4">
            <w:pPr>
              <w:rPr>
                <w:rFonts w:asciiTheme="majorHAnsi" w:hAnsiTheme="majorHAnsi"/>
                <w:color w:val="000000"/>
                <w:sz w:val="16"/>
                <w:szCs w:val="16"/>
              </w:rPr>
            </w:pPr>
            <w:r w:rsidRPr="00E47796">
              <w:rPr>
                <w:rFonts w:asciiTheme="majorHAnsi" w:hAnsiTheme="majorHAnsi"/>
                <w:color w:val="000000"/>
                <w:sz w:val="16"/>
                <w:szCs w:val="16"/>
              </w:rPr>
              <w:t>First evaluation</w:t>
            </w:r>
          </w:p>
        </w:tc>
        <w:tc>
          <w:tcPr>
            <w:tcW w:w="2520" w:type="dxa"/>
            <w:shd w:val="clear" w:color="auto" w:fill="auto"/>
            <w:hideMark/>
          </w:tcPr>
          <w:p w:rsidR="00E660DB" w:rsidRPr="004B7788" w:rsidRDefault="00E660DB" w:rsidP="00355DB4">
            <w:pPr>
              <w:rPr>
                <w:rFonts w:asciiTheme="majorHAnsi" w:hAnsiTheme="majorHAnsi"/>
                <w:color w:val="000000"/>
                <w:sz w:val="16"/>
                <w:szCs w:val="16"/>
              </w:rPr>
            </w:pPr>
            <w:r w:rsidRPr="00C24A6A">
              <w:rPr>
                <w:rFonts w:asciiTheme="majorHAnsi" w:hAnsiTheme="majorHAnsi"/>
                <w:color w:val="000000"/>
                <w:sz w:val="16"/>
                <w:szCs w:val="16"/>
              </w:rPr>
              <w:t>Improvement with</w:t>
            </w:r>
            <w:r w:rsidRPr="004B7788">
              <w:rPr>
                <w:rFonts w:asciiTheme="majorHAnsi" w:hAnsiTheme="majorHAnsi"/>
                <w:color w:val="000000"/>
                <w:sz w:val="16"/>
                <w:szCs w:val="16"/>
              </w:rPr>
              <w:t xml:space="preserve"> each</w:t>
            </w:r>
            <w:r w:rsidRPr="004B7788">
              <w:rPr>
                <w:rFonts w:asciiTheme="majorHAnsi" w:hAnsiTheme="majorHAnsi"/>
                <w:color w:val="000000"/>
                <w:sz w:val="16"/>
                <w:szCs w:val="16"/>
              </w:rPr>
              <w:br/>
              <w:t>successive evaluation.</w:t>
            </w:r>
          </w:p>
        </w:tc>
        <w:tc>
          <w:tcPr>
            <w:tcW w:w="7380" w:type="dxa"/>
            <w:shd w:val="clear" w:color="auto" w:fill="auto"/>
            <w:hideMark/>
          </w:tcPr>
          <w:p w:rsidR="00E660DB" w:rsidRPr="00C1010D" w:rsidRDefault="00E660DB" w:rsidP="00355DB4">
            <w:pPr>
              <w:rPr>
                <w:rFonts w:asciiTheme="majorHAnsi" w:hAnsiTheme="majorHAnsi"/>
                <w:color w:val="000000"/>
                <w:sz w:val="16"/>
                <w:szCs w:val="16"/>
              </w:rPr>
            </w:pPr>
            <w:r w:rsidRPr="00C1010D">
              <w:rPr>
                <w:rFonts w:asciiTheme="majorHAnsi" w:hAnsiTheme="majorHAnsi"/>
                <w:color w:val="000000"/>
                <w:sz w:val="16"/>
                <w:szCs w:val="16"/>
              </w:rPr>
              <w:t>1. The terminal project evaluation of the project started in June 2012. The final report is expected by end of September/beginning of October  2012. (TB, MK, AL)</w:t>
            </w:r>
          </w:p>
        </w:tc>
      </w:tr>
    </w:tbl>
    <w:p w:rsidR="00A3786D" w:rsidRPr="000A3C73" w:rsidRDefault="00E660DB" w:rsidP="00FF608B">
      <w:pPr>
        <w:pStyle w:val="BodyText"/>
        <w:numPr>
          <w:ilvl w:val="0"/>
          <w:numId w:val="0"/>
        </w:numPr>
        <w:rPr>
          <w:b/>
        </w:rPr>
      </w:pPr>
      <w:r w:rsidRPr="000A3C73" w:rsidDel="00E660DB">
        <w:rPr>
          <w:b/>
          <w:highlight w:val="yellow"/>
        </w:rPr>
        <w:t xml:space="preserve"> </w:t>
      </w:r>
    </w:p>
    <w:p w:rsidR="00836015" w:rsidRPr="000A3C73" w:rsidRDefault="00836015" w:rsidP="00FF608B">
      <w:pPr>
        <w:pStyle w:val="BodyText"/>
        <w:numPr>
          <w:ilvl w:val="0"/>
          <w:numId w:val="0"/>
        </w:numPr>
        <w:rPr>
          <w:b/>
        </w:rPr>
      </w:pPr>
    </w:p>
    <w:p w:rsidR="00836015" w:rsidRPr="000A3C73" w:rsidRDefault="00836015" w:rsidP="00FF608B">
      <w:pPr>
        <w:pStyle w:val="BodyText"/>
        <w:numPr>
          <w:ilvl w:val="0"/>
          <w:numId w:val="0"/>
        </w:numPr>
        <w:rPr>
          <w:b/>
        </w:rPr>
        <w:sectPr w:rsidR="00836015" w:rsidRPr="000A3C73" w:rsidSect="0089284E">
          <w:headerReference w:type="default" r:id="rId46"/>
          <w:pgSz w:w="15840" w:h="12240" w:orient="landscape"/>
          <w:pgMar w:top="1440" w:right="720" w:bottom="1440" w:left="720" w:header="720" w:footer="720" w:gutter="0"/>
          <w:cols w:space="720"/>
        </w:sectPr>
      </w:pPr>
    </w:p>
    <w:p w:rsidR="00453F22" w:rsidRPr="000A3C73" w:rsidRDefault="006A6E2F" w:rsidP="00FF608B">
      <w:pPr>
        <w:pStyle w:val="BodyText"/>
        <w:numPr>
          <w:ilvl w:val="0"/>
          <w:numId w:val="0"/>
        </w:numPr>
        <w:rPr>
          <w:b/>
        </w:rPr>
      </w:pPr>
      <w:r w:rsidRPr="0089284E">
        <w:rPr>
          <w:b/>
        </w:rPr>
        <w:t xml:space="preserve">Annex </w:t>
      </w:r>
      <w:r w:rsidR="00074643">
        <w:rPr>
          <w:b/>
        </w:rPr>
        <w:t>4</w:t>
      </w:r>
      <w:r w:rsidR="00C01501" w:rsidRPr="0089284E">
        <w:rPr>
          <w:b/>
        </w:rPr>
        <w:t xml:space="preserve">: </w:t>
      </w:r>
      <w:r w:rsidR="00005252" w:rsidRPr="005D4348">
        <w:rPr>
          <w:b/>
        </w:rPr>
        <w:t>Follow-up to Mid-term Evaluation Recommendations</w:t>
      </w:r>
    </w:p>
    <w:tbl>
      <w:tblPr>
        <w:tblStyle w:val="TableGrid"/>
        <w:tblW w:w="0" w:type="auto"/>
        <w:tblLayout w:type="fixed"/>
        <w:tblLook w:val="04A0"/>
      </w:tblPr>
      <w:tblGrid>
        <w:gridCol w:w="4428"/>
        <w:gridCol w:w="990"/>
        <w:gridCol w:w="3438"/>
      </w:tblGrid>
      <w:tr w:rsidR="00005252" w:rsidRPr="005F06CA" w:rsidTr="005D4348">
        <w:tc>
          <w:tcPr>
            <w:tcW w:w="4428" w:type="dxa"/>
          </w:tcPr>
          <w:p w:rsidR="00005252" w:rsidRPr="005F06CA" w:rsidRDefault="00005252" w:rsidP="005D4348">
            <w:pPr>
              <w:rPr>
                <w:b/>
                <w:sz w:val="20"/>
                <w:szCs w:val="20"/>
              </w:rPr>
            </w:pPr>
            <w:r w:rsidRPr="005F06CA">
              <w:rPr>
                <w:b/>
                <w:sz w:val="20"/>
                <w:szCs w:val="20"/>
              </w:rPr>
              <w:t>Recommendation</w:t>
            </w:r>
          </w:p>
        </w:tc>
        <w:tc>
          <w:tcPr>
            <w:tcW w:w="990" w:type="dxa"/>
          </w:tcPr>
          <w:p w:rsidR="00005252" w:rsidRPr="005F06CA" w:rsidRDefault="00005252" w:rsidP="005D4348">
            <w:pPr>
              <w:rPr>
                <w:b/>
                <w:sz w:val="20"/>
                <w:szCs w:val="20"/>
              </w:rPr>
            </w:pPr>
            <w:r w:rsidRPr="005F06CA">
              <w:rPr>
                <w:b/>
                <w:sz w:val="20"/>
                <w:szCs w:val="20"/>
              </w:rPr>
              <w:t>Fulfilled</w:t>
            </w:r>
          </w:p>
        </w:tc>
        <w:tc>
          <w:tcPr>
            <w:tcW w:w="3438" w:type="dxa"/>
          </w:tcPr>
          <w:p w:rsidR="00005252" w:rsidRPr="005F06CA" w:rsidRDefault="00005252" w:rsidP="005D4348">
            <w:pPr>
              <w:rPr>
                <w:b/>
                <w:sz w:val="20"/>
                <w:szCs w:val="20"/>
              </w:rPr>
            </w:pPr>
            <w:r w:rsidRPr="005F06CA">
              <w:rPr>
                <w:b/>
                <w:sz w:val="20"/>
                <w:szCs w:val="20"/>
              </w:rPr>
              <w:t>Notes</w:t>
            </w:r>
          </w:p>
        </w:tc>
      </w:tr>
      <w:tr w:rsidR="00005252" w:rsidRPr="005F06CA" w:rsidTr="005D4348">
        <w:tc>
          <w:tcPr>
            <w:tcW w:w="4428" w:type="dxa"/>
          </w:tcPr>
          <w:p w:rsidR="00005252" w:rsidRPr="005F06CA" w:rsidRDefault="00005252" w:rsidP="005D4348">
            <w:pPr>
              <w:rPr>
                <w:sz w:val="20"/>
                <w:szCs w:val="20"/>
              </w:rPr>
            </w:pPr>
            <w:r w:rsidRPr="005F06CA">
              <w:rPr>
                <w:sz w:val="20"/>
                <w:szCs w:val="20"/>
              </w:rPr>
              <w:t>The Project replaces the position of International Transboundary Advisor and the current PPCC Secretariat with fully professional national staff.</w:t>
            </w:r>
          </w:p>
        </w:tc>
        <w:tc>
          <w:tcPr>
            <w:tcW w:w="990" w:type="dxa"/>
          </w:tcPr>
          <w:p w:rsidR="00005252" w:rsidRPr="005F06CA" w:rsidRDefault="00005252" w:rsidP="005D4348">
            <w:pPr>
              <w:rPr>
                <w:sz w:val="20"/>
                <w:szCs w:val="20"/>
              </w:rPr>
            </w:pPr>
            <w:r w:rsidRPr="005F06CA">
              <w:rPr>
                <w:sz w:val="20"/>
                <w:szCs w:val="20"/>
              </w:rPr>
              <w:t>N</w:t>
            </w:r>
          </w:p>
        </w:tc>
        <w:tc>
          <w:tcPr>
            <w:tcW w:w="3438" w:type="dxa"/>
          </w:tcPr>
          <w:p w:rsidR="00005252" w:rsidRPr="005F06CA" w:rsidRDefault="00005252" w:rsidP="005D4348">
            <w:pPr>
              <w:rPr>
                <w:sz w:val="20"/>
                <w:szCs w:val="20"/>
              </w:rPr>
            </w:pPr>
            <w:r>
              <w:rPr>
                <w:sz w:val="20"/>
                <w:szCs w:val="20"/>
              </w:rPr>
              <w:t>The project was not in a financial or political position to replace the PPCC Secretariat</w:t>
            </w:r>
          </w:p>
        </w:tc>
      </w:tr>
      <w:tr w:rsidR="00005252" w:rsidRPr="005F06CA" w:rsidTr="005D4348">
        <w:tc>
          <w:tcPr>
            <w:tcW w:w="4428" w:type="dxa"/>
          </w:tcPr>
          <w:p w:rsidR="00005252" w:rsidRPr="005F06CA" w:rsidRDefault="00005252" w:rsidP="005D4348">
            <w:pPr>
              <w:rPr>
                <w:sz w:val="20"/>
                <w:szCs w:val="20"/>
              </w:rPr>
            </w:pPr>
            <w:r w:rsidRPr="005F06CA">
              <w:rPr>
                <w:sz w:val="20"/>
                <w:szCs w:val="20"/>
              </w:rPr>
              <w:t>UNDP-GEF again requests the Greek Government to honour the financial commitments it made to the Project and applies the requisite level of pressure through its office until this is achieved.</w:t>
            </w:r>
          </w:p>
        </w:tc>
        <w:tc>
          <w:tcPr>
            <w:tcW w:w="990" w:type="dxa"/>
          </w:tcPr>
          <w:p w:rsidR="00005252" w:rsidRPr="005F06CA" w:rsidRDefault="00005252" w:rsidP="005D4348">
            <w:pPr>
              <w:rPr>
                <w:sz w:val="20"/>
                <w:szCs w:val="20"/>
              </w:rPr>
            </w:pPr>
            <w:r>
              <w:rPr>
                <w:sz w:val="20"/>
                <w:szCs w:val="20"/>
              </w:rPr>
              <w:t>Y</w:t>
            </w:r>
          </w:p>
        </w:tc>
        <w:tc>
          <w:tcPr>
            <w:tcW w:w="3438" w:type="dxa"/>
          </w:tcPr>
          <w:p w:rsidR="00005252" w:rsidRPr="005F06CA" w:rsidRDefault="00005252" w:rsidP="005D4348">
            <w:pPr>
              <w:rPr>
                <w:sz w:val="20"/>
                <w:szCs w:val="20"/>
              </w:rPr>
            </w:pPr>
          </w:p>
        </w:tc>
      </w:tr>
      <w:tr w:rsidR="00005252" w:rsidRPr="005F06CA" w:rsidTr="005D4348">
        <w:tc>
          <w:tcPr>
            <w:tcW w:w="4428" w:type="dxa"/>
          </w:tcPr>
          <w:p w:rsidR="00005252" w:rsidRPr="005F06CA" w:rsidRDefault="00005252" w:rsidP="005D4348">
            <w:pPr>
              <w:rPr>
                <w:sz w:val="20"/>
                <w:szCs w:val="20"/>
              </w:rPr>
            </w:pPr>
            <w:r w:rsidRPr="005F06CA">
              <w:rPr>
                <w:sz w:val="20"/>
                <w:szCs w:val="20"/>
              </w:rPr>
              <w:t xml:space="preserve">The Project’s oversight arrangements </w:t>
            </w:r>
            <w:r>
              <w:rPr>
                <w:sz w:val="20"/>
                <w:szCs w:val="20"/>
              </w:rPr>
              <w:t xml:space="preserve">are re-examined with a view to </w:t>
            </w:r>
            <w:r w:rsidRPr="005F06CA">
              <w:rPr>
                <w:sz w:val="20"/>
                <w:szCs w:val="20"/>
              </w:rPr>
              <w:t>ensuring maximisation of their relevance and effectiveness in meeting the Project’s requirements.</w:t>
            </w:r>
          </w:p>
        </w:tc>
        <w:tc>
          <w:tcPr>
            <w:tcW w:w="990" w:type="dxa"/>
          </w:tcPr>
          <w:p w:rsidR="00005252" w:rsidRPr="005F06CA" w:rsidRDefault="00005252" w:rsidP="005D4348">
            <w:pPr>
              <w:rPr>
                <w:sz w:val="20"/>
                <w:szCs w:val="20"/>
              </w:rPr>
            </w:pPr>
            <w:r>
              <w:rPr>
                <w:sz w:val="20"/>
                <w:szCs w:val="20"/>
              </w:rPr>
              <w:t>?</w:t>
            </w:r>
          </w:p>
        </w:tc>
        <w:tc>
          <w:tcPr>
            <w:tcW w:w="3438" w:type="dxa"/>
          </w:tcPr>
          <w:p w:rsidR="00005252" w:rsidRPr="005F06CA" w:rsidRDefault="00005252" w:rsidP="005D4348">
            <w:pPr>
              <w:rPr>
                <w:sz w:val="20"/>
                <w:szCs w:val="20"/>
              </w:rPr>
            </w:pPr>
            <w:r>
              <w:rPr>
                <w:sz w:val="20"/>
                <w:szCs w:val="20"/>
              </w:rPr>
              <w:t xml:space="preserve">No significant changes made in oversight arrangements. Role of the PPCC as the POC were initially clarified in February 2008 (prior to the MTE). </w:t>
            </w:r>
          </w:p>
        </w:tc>
      </w:tr>
      <w:tr w:rsidR="00005252" w:rsidRPr="005F06CA" w:rsidTr="005D4348">
        <w:tc>
          <w:tcPr>
            <w:tcW w:w="4428" w:type="dxa"/>
          </w:tcPr>
          <w:p w:rsidR="00005252" w:rsidRPr="005F06CA" w:rsidRDefault="00005252" w:rsidP="005D4348">
            <w:pPr>
              <w:rPr>
                <w:sz w:val="20"/>
                <w:szCs w:val="20"/>
              </w:rPr>
            </w:pPr>
            <w:r w:rsidRPr="005F06CA">
              <w:rPr>
                <w:sz w:val="20"/>
                <w:szCs w:val="20"/>
              </w:rPr>
              <w:t>The replacement option for the International Transboundary Advisor should report technically directly to the Regional Technical Advisor in Bratislava.</w:t>
            </w:r>
          </w:p>
        </w:tc>
        <w:tc>
          <w:tcPr>
            <w:tcW w:w="990" w:type="dxa"/>
          </w:tcPr>
          <w:p w:rsidR="00005252" w:rsidRPr="005F06CA" w:rsidRDefault="00005252" w:rsidP="005D4348">
            <w:pPr>
              <w:rPr>
                <w:sz w:val="20"/>
                <w:szCs w:val="20"/>
              </w:rPr>
            </w:pPr>
            <w:r>
              <w:rPr>
                <w:sz w:val="20"/>
                <w:szCs w:val="20"/>
              </w:rPr>
              <w:t>N</w:t>
            </w:r>
          </w:p>
        </w:tc>
        <w:tc>
          <w:tcPr>
            <w:tcW w:w="3438" w:type="dxa"/>
          </w:tcPr>
          <w:p w:rsidR="00005252" w:rsidRPr="005F06CA" w:rsidRDefault="00005252" w:rsidP="005D4348">
            <w:pPr>
              <w:rPr>
                <w:sz w:val="20"/>
                <w:szCs w:val="20"/>
              </w:rPr>
            </w:pPr>
            <w:r>
              <w:rPr>
                <w:sz w:val="20"/>
                <w:szCs w:val="20"/>
              </w:rPr>
              <w:t>While theoretically possible, such an arrangement was not practical for UNDP or for project implementation, and its value was not certain.</w:t>
            </w:r>
          </w:p>
        </w:tc>
      </w:tr>
      <w:tr w:rsidR="00005252" w:rsidRPr="005F06CA" w:rsidTr="005D4348">
        <w:tc>
          <w:tcPr>
            <w:tcW w:w="4428" w:type="dxa"/>
          </w:tcPr>
          <w:p w:rsidR="00005252" w:rsidRPr="005F06CA" w:rsidRDefault="00005252" w:rsidP="005D4348">
            <w:pPr>
              <w:rPr>
                <w:sz w:val="20"/>
                <w:szCs w:val="20"/>
              </w:rPr>
            </w:pPr>
            <w:r w:rsidRPr="005F06CA">
              <w:rPr>
                <w:sz w:val="20"/>
                <w:szCs w:val="20"/>
              </w:rPr>
              <w:t>UNDP-MK should review its procedures and staffing levels to better service Project implementation and streamline procedures enabling Project staff to spend more time on technical activities and less on bureaucratic procedures.</w:t>
            </w:r>
          </w:p>
        </w:tc>
        <w:tc>
          <w:tcPr>
            <w:tcW w:w="990" w:type="dxa"/>
          </w:tcPr>
          <w:p w:rsidR="00005252" w:rsidRPr="005F06CA" w:rsidRDefault="00005252" w:rsidP="005D4348">
            <w:pPr>
              <w:rPr>
                <w:sz w:val="20"/>
                <w:szCs w:val="20"/>
              </w:rPr>
            </w:pPr>
            <w:r>
              <w:rPr>
                <w:sz w:val="20"/>
                <w:szCs w:val="20"/>
              </w:rPr>
              <w:t>?</w:t>
            </w:r>
          </w:p>
        </w:tc>
        <w:tc>
          <w:tcPr>
            <w:tcW w:w="3438" w:type="dxa"/>
          </w:tcPr>
          <w:p w:rsidR="00005252" w:rsidRPr="005F06CA" w:rsidRDefault="00005252" w:rsidP="005D4348">
            <w:pPr>
              <w:rPr>
                <w:sz w:val="20"/>
                <w:szCs w:val="20"/>
              </w:rPr>
            </w:pPr>
            <w:r>
              <w:rPr>
                <w:sz w:val="20"/>
                <w:szCs w:val="20"/>
              </w:rPr>
              <w:t>Unclear if a specific review was carried out, but according to project participants administrative bureaucracy improved after the initial stages of the project.</w:t>
            </w:r>
          </w:p>
        </w:tc>
      </w:tr>
      <w:tr w:rsidR="00005252" w:rsidRPr="005F06CA" w:rsidTr="005D4348">
        <w:tc>
          <w:tcPr>
            <w:tcW w:w="4428" w:type="dxa"/>
          </w:tcPr>
          <w:p w:rsidR="00005252" w:rsidRPr="005F06CA" w:rsidRDefault="00005252" w:rsidP="005D4348">
            <w:pPr>
              <w:rPr>
                <w:sz w:val="20"/>
                <w:szCs w:val="20"/>
              </w:rPr>
            </w:pPr>
            <w:r w:rsidRPr="005F06CA">
              <w:rPr>
                <w:sz w:val="20"/>
                <w:szCs w:val="20"/>
              </w:rPr>
              <w:t>UNDP-AL ensures that the Project staff of the Albanian component remain in post subject to satisfactory performance evaluations</w:t>
            </w:r>
          </w:p>
        </w:tc>
        <w:tc>
          <w:tcPr>
            <w:tcW w:w="990" w:type="dxa"/>
          </w:tcPr>
          <w:p w:rsidR="00005252" w:rsidRPr="005F06CA" w:rsidRDefault="00005252" w:rsidP="005D4348">
            <w:pPr>
              <w:rPr>
                <w:sz w:val="20"/>
                <w:szCs w:val="20"/>
              </w:rPr>
            </w:pPr>
            <w:r>
              <w:rPr>
                <w:sz w:val="20"/>
                <w:szCs w:val="20"/>
              </w:rPr>
              <w:t>?</w:t>
            </w:r>
          </w:p>
        </w:tc>
        <w:tc>
          <w:tcPr>
            <w:tcW w:w="3438" w:type="dxa"/>
          </w:tcPr>
          <w:p w:rsidR="00005252" w:rsidRPr="005F06CA" w:rsidRDefault="00005252" w:rsidP="005D4348">
            <w:pPr>
              <w:rPr>
                <w:sz w:val="20"/>
                <w:szCs w:val="20"/>
              </w:rPr>
            </w:pPr>
            <w:r>
              <w:rPr>
                <w:sz w:val="20"/>
                <w:szCs w:val="20"/>
              </w:rPr>
              <w:t xml:space="preserve">This does not appear to have been an ongoing issue, and the UNDP-AL project staff have been consistently in place through the life of the project. </w:t>
            </w:r>
          </w:p>
        </w:tc>
      </w:tr>
      <w:tr w:rsidR="00005252" w:rsidRPr="005F06CA" w:rsidTr="005D4348">
        <w:tc>
          <w:tcPr>
            <w:tcW w:w="4428" w:type="dxa"/>
          </w:tcPr>
          <w:p w:rsidR="00005252" w:rsidRPr="005F06CA" w:rsidRDefault="00005252" w:rsidP="005D4348">
            <w:pPr>
              <w:rPr>
                <w:sz w:val="20"/>
                <w:szCs w:val="20"/>
              </w:rPr>
            </w:pPr>
            <w:r w:rsidRPr="005F06CA">
              <w:rPr>
                <w:sz w:val="20"/>
                <w:szCs w:val="20"/>
              </w:rPr>
              <w:t>A professional communications specialist should be hired to implement the Communications, Education and Public Awareness Strategy and to manage transboundary information and knowledge effectively.</w:t>
            </w:r>
          </w:p>
        </w:tc>
        <w:tc>
          <w:tcPr>
            <w:tcW w:w="990" w:type="dxa"/>
          </w:tcPr>
          <w:p w:rsidR="00005252" w:rsidRPr="005F06CA" w:rsidRDefault="00005252" w:rsidP="005D4348">
            <w:pPr>
              <w:rPr>
                <w:sz w:val="20"/>
                <w:szCs w:val="20"/>
              </w:rPr>
            </w:pPr>
            <w:r>
              <w:rPr>
                <w:sz w:val="20"/>
                <w:szCs w:val="20"/>
              </w:rPr>
              <w:t>Y</w:t>
            </w:r>
          </w:p>
        </w:tc>
        <w:tc>
          <w:tcPr>
            <w:tcW w:w="3438" w:type="dxa"/>
          </w:tcPr>
          <w:p w:rsidR="00005252" w:rsidRPr="005F06CA" w:rsidRDefault="00005252" w:rsidP="005D4348">
            <w:pPr>
              <w:rPr>
                <w:sz w:val="20"/>
                <w:szCs w:val="20"/>
              </w:rPr>
            </w:pPr>
            <w:r>
              <w:rPr>
                <w:sz w:val="20"/>
                <w:szCs w:val="20"/>
              </w:rPr>
              <w:t xml:space="preserve">Significant additional attention was devoted to communications aspects in the second half of the project. </w:t>
            </w:r>
          </w:p>
        </w:tc>
      </w:tr>
      <w:tr w:rsidR="00005252" w:rsidRPr="005F06CA" w:rsidTr="005D4348">
        <w:tc>
          <w:tcPr>
            <w:tcW w:w="4428" w:type="dxa"/>
          </w:tcPr>
          <w:p w:rsidR="00005252" w:rsidRPr="005F06CA" w:rsidRDefault="00005252" w:rsidP="005D4348">
            <w:pPr>
              <w:rPr>
                <w:sz w:val="20"/>
                <w:szCs w:val="20"/>
              </w:rPr>
            </w:pPr>
            <w:r w:rsidRPr="005F06CA">
              <w:rPr>
                <w:sz w:val="20"/>
                <w:szCs w:val="20"/>
              </w:rPr>
              <w:t>The Albanian component of the Project should develop a contingency plan as to how it intends to implement or amend those activities to be conducted in concert with the KfW project should there be further delays to that project’s commencement beyond September 2009.</w:t>
            </w:r>
          </w:p>
        </w:tc>
        <w:tc>
          <w:tcPr>
            <w:tcW w:w="990" w:type="dxa"/>
          </w:tcPr>
          <w:p w:rsidR="00005252" w:rsidRPr="005F06CA" w:rsidRDefault="00005252" w:rsidP="005D4348">
            <w:pPr>
              <w:rPr>
                <w:sz w:val="20"/>
                <w:szCs w:val="20"/>
              </w:rPr>
            </w:pPr>
            <w:r>
              <w:rPr>
                <w:sz w:val="20"/>
                <w:szCs w:val="20"/>
              </w:rPr>
              <w:t>Y / ?</w:t>
            </w:r>
          </w:p>
        </w:tc>
        <w:tc>
          <w:tcPr>
            <w:tcW w:w="3438" w:type="dxa"/>
          </w:tcPr>
          <w:p w:rsidR="00005252" w:rsidRPr="005F06CA" w:rsidRDefault="00005252" w:rsidP="005D4348">
            <w:pPr>
              <w:rPr>
                <w:sz w:val="20"/>
                <w:szCs w:val="20"/>
              </w:rPr>
            </w:pPr>
            <w:r>
              <w:rPr>
                <w:sz w:val="20"/>
                <w:szCs w:val="20"/>
              </w:rPr>
              <w:t xml:space="preserve">Unclear if a specific contingency plan was developed, but the Albanian component activities moved ahead, while the KfW activities remained stalled until late 2011. </w:t>
            </w:r>
          </w:p>
        </w:tc>
      </w:tr>
      <w:tr w:rsidR="00005252" w:rsidRPr="005F06CA" w:rsidTr="005D4348">
        <w:tc>
          <w:tcPr>
            <w:tcW w:w="4428" w:type="dxa"/>
          </w:tcPr>
          <w:p w:rsidR="00005252" w:rsidRPr="005F06CA" w:rsidRDefault="00005252" w:rsidP="005D4348">
            <w:pPr>
              <w:rPr>
                <w:sz w:val="20"/>
                <w:szCs w:val="20"/>
              </w:rPr>
            </w:pPr>
            <w:r w:rsidRPr="005F06CA">
              <w:rPr>
                <w:sz w:val="20"/>
                <w:szCs w:val="20"/>
              </w:rPr>
              <w:t>A rigorous system of computer back-up, especially for the GIS, should be instigated with two back-up copies being stored in separate locations and backed up alternately.  It would be preferable if one of these was stored within a fire-proof safe within the office.  Similarly, back-up lists of computer passwords should be stored securely</w:t>
            </w:r>
          </w:p>
        </w:tc>
        <w:tc>
          <w:tcPr>
            <w:tcW w:w="990" w:type="dxa"/>
          </w:tcPr>
          <w:p w:rsidR="00005252" w:rsidRPr="005F06CA" w:rsidRDefault="00005252" w:rsidP="005D4348">
            <w:pPr>
              <w:rPr>
                <w:sz w:val="20"/>
                <w:szCs w:val="20"/>
              </w:rPr>
            </w:pPr>
            <w:r>
              <w:rPr>
                <w:sz w:val="20"/>
                <w:szCs w:val="20"/>
              </w:rPr>
              <w:t>Y</w:t>
            </w:r>
          </w:p>
        </w:tc>
        <w:tc>
          <w:tcPr>
            <w:tcW w:w="3438" w:type="dxa"/>
          </w:tcPr>
          <w:p w:rsidR="00005252" w:rsidRPr="005F06CA" w:rsidRDefault="00005252" w:rsidP="005D4348">
            <w:pPr>
              <w:rPr>
                <w:sz w:val="20"/>
                <w:szCs w:val="20"/>
              </w:rPr>
            </w:pPr>
            <w:r>
              <w:rPr>
                <w:sz w:val="20"/>
                <w:szCs w:val="20"/>
              </w:rPr>
              <w:t xml:space="preserve">Back-up procedures were implemented.  </w:t>
            </w:r>
          </w:p>
        </w:tc>
      </w:tr>
      <w:tr w:rsidR="00005252" w:rsidRPr="005F06CA" w:rsidTr="005D4348">
        <w:tc>
          <w:tcPr>
            <w:tcW w:w="4428" w:type="dxa"/>
          </w:tcPr>
          <w:p w:rsidR="00005252" w:rsidRPr="005F06CA" w:rsidRDefault="00005252" w:rsidP="005D4348">
            <w:pPr>
              <w:rPr>
                <w:sz w:val="20"/>
                <w:szCs w:val="20"/>
              </w:rPr>
            </w:pPr>
            <w:r w:rsidRPr="005F06CA">
              <w:rPr>
                <w:sz w:val="20"/>
                <w:szCs w:val="20"/>
              </w:rPr>
              <w:t>The GEF logo should be included appropriately on all signs, banners, and publications in Albania.</w:t>
            </w:r>
          </w:p>
        </w:tc>
        <w:tc>
          <w:tcPr>
            <w:tcW w:w="990" w:type="dxa"/>
          </w:tcPr>
          <w:p w:rsidR="00005252" w:rsidRPr="005F06CA" w:rsidRDefault="00005252" w:rsidP="005D4348">
            <w:pPr>
              <w:rPr>
                <w:sz w:val="20"/>
                <w:szCs w:val="20"/>
              </w:rPr>
            </w:pPr>
            <w:r>
              <w:rPr>
                <w:sz w:val="20"/>
                <w:szCs w:val="20"/>
              </w:rPr>
              <w:t>Y</w:t>
            </w:r>
          </w:p>
        </w:tc>
        <w:tc>
          <w:tcPr>
            <w:tcW w:w="3438" w:type="dxa"/>
          </w:tcPr>
          <w:p w:rsidR="00005252" w:rsidRPr="005F06CA" w:rsidRDefault="00005252" w:rsidP="005D4348">
            <w:pPr>
              <w:rPr>
                <w:sz w:val="20"/>
                <w:szCs w:val="20"/>
              </w:rPr>
            </w:pPr>
            <w:r>
              <w:rPr>
                <w:sz w:val="20"/>
                <w:szCs w:val="20"/>
              </w:rPr>
              <w:t xml:space="preserve">This was not investigated to the Nth degree by the terminal evaluation, but it appears that improvements in this regard were made. </w:t>
            </w:r>
          </w:p>
        </w:tc>
      </w:tr>
      <w:tr w:rsidR="00005252" w:rsidRPr="005F06CA" w:rsidTr="005D4348">
        <w:tc>
          <w:tcPr>
            <w:tcW w:w="4428" w:type="dxa"/>
          </w:tcPr>
          <w:p w:rsidR="00005252" w:rsidRPr="005F06CA" w:rsidRDefault="00005252" w:rsidP="005D4348">
            <w:pPr>
              <w:rPr>
                <w:sz w:val="20"/>
                <w:szCs w:val="20"/>
              </w:rPr>
            </w:pPr>
            <w:r w:rsidRPr="005F06CA">
              <w:rPr>
                <w:sz w:val="20"/>
                <w:szCs w:val="20"/>
              </w:rPr>
              <w:t>The Project indicators should be re-examined and minor changes effected.</w:t>
            </w:r>
          </w:p>
        </w:tc>
        <w:tc>
          <w:tcPr>
            <w:tcW w:w="990" w:type="dxa"/>
          </w:tcPr>
          <w:p w:rsidR="00005252" w:rsidRPr="005F06CA" w:rsidRDefault="00005252" w:rsidP="005D4348">
            <w:pPr>
              <w:rPr>
                <w:sz w:val="20"/>
                <w:szCs w:val="20"/>
              </w:rPr>
            </w:pPr>
            <w:r>
              <w:rPr>
                <w:sz w:val="20"/>
                <w:szCs w:val="20"/>
              </w:rPr>
              <w:t>N</w:t>
            </w:r>
          </w:p>
        </w:tc>
        <w:tc>
          <w:tcPr>
            <w:tcW w:w="3438" w:type="dxa"/>
          </w:tcPr>
          <w:p w:rsidR="00005252" w:rsidRPr="005F06CA" w:rsidRDefault="00005252" w:rsidP="005D4348">
            <w:pPr>
              <w:rPr>
                <w:sz w:val="20"/>
                <w:szCs w:val="20"/>
              </w:rPr>
            </w:pPr>
            <w:r>
              <w:rPr>
                <w:sz w:val="20"/>
                <w:szCs w:val="20"/>
              </w:rPr>
              <w:t>It does not appear that the logframe indicators and targets were formally revised following the MTE.</w:t>
            </w:r>
          </w:p>
        </w:tc>
      </w:tr>
      <w:tr w:rsidR="00005252" w:rsidRPr="005F06CA" w:rsidTr="005D4348">
        <w:tc>
          <w:tcPr>
            <w:tcW w:w="4428" w:type="dxa"/>
          </w:tcPr>
          <w:p w:rsidR="00005252" w:rsidRPr="005F06CA" w:rsidRDefault="00005252" w:rsidP="005D4348">
            <w:pPr>
              <w:rPr>
                <w:sz w:val="20"/>
                <w:szCs w:val="20"/>
              </w:rPr>
            </w:pPr>
            <w:r w:rsidRPr="005F06CA">
              <w:rPr>
                <w:sz w:val="20"/>
                <w:szCs w:val="20"/>
              </w:rPr>
              <w:t xml:space="preserve">The Deputy Resident Representative of the UNDP-MK Office should examine the staff performance evaluation of the ITA retrospectively and act on her findings </w:t>
            </w:r>
          </w:p>
        </w:tc>
        <w:tc>
          <w:tcPr>
            <w:tcW w:w="990" w:type="dxa"/>
          </w:tcPr>
          <w:p w:rsidR="00005252" w:rsidRPr="005F06CA" w:rsidRDefault="00005252" w:rsidP="005D4348">
            <w:pPr>
              <w:rPr>
                <w:sz w:val="20"/>
                <w:szCs w:val="20"/>
              </w:rPr>
            </w:pPr>
            <w:r>
              <w:rPr>
                <w:sz w:val="20"/>
                <w:szCs w:val="20"/>
              </w:rPr>
              <w:t>?</w:t>
            </w:r>
          </w:p>
        </w:tc>
        <w:tc>
          <w:tcPr>
            <w:tcW w:w="3438" w:type="dxa"/>
          </w:tcPr>
          <w:p w:rsidR="00005252" w:rsidRPr="005F06CA" w:rsidRDefault="00005252" w:rsidP="005D4348">
            <w:pPr>
              <w:rPr>
                <w:sz w:val="20"/>
                <w:szCs w:val="20"/>
              </w:rPr>
            </w:pPr>
            <w:r>
              <w:rPr>
                <w:sz w:val="20"/>
                <w:szCs w:val="20"/>
              </w:rPr>
              <w:t>Unclear what specific procedures were followed, but there do not appear to be any outstanding substantive issues between the ITA and UNDP Macedonia office.</w:t>
            </w:r>
          </w:p>
        </w:tc>
      </w:tr>
      <w:tr w:rsidR="00005252" w:rsidRPr="005F06CA" w:rsidTr="005D4348">
        <w:tc>
          <w:tcPr>
            <w:tcW w:w="4428" w:type="dxa"/>
          </w:tcPr>
          <w:p w:rsidR="00005252" w:rsidRPr="005F06CA" w:rsidRDefault="00005252" w:rsidP="005D4348">
            <w:pPr>
              <w:rPr>
                <w:sz w:val="20"/>
                <w:szCs w:val="20"/>
              </w:rPr>
            </w:pPr>
            <w:r w:rsidRPr="005F06CA">
              <w:rPr>
                <w:sz w:val="20"/>
                <w:szCs w:val="20"/>
              </w:rPr>
              <w:t>The right bank of the Golema Reka Restoration Phase I should be planted to favour biodiversity and public access should be denied to that bank.</w:t>
            </w:r>
          </w:p>
        </w:tc>
        <w:tc>
          <w:tcPr>
            <w:tcW w:w="990" w:type="dxa"/>
          </w:tcPr>
          <w:p w:rsidR="00005252" w:rsidRPr="005F06CA" w:rsidRDefault="00005252" w:rsidP="005D4348">
            <w:pPr>
              <w:rPr>
                <w:sz w:val="20"/>
                <w:szCs w:val="20"/>
              </w:rPr>
            </w:pPr>
            <w:r>
              <w:rPr>
                <w:sz w:val="20"/>
                <w:szCs w:val="20"/>
              </w:rPr>
              <w:t>N</w:t>
            </w:r>
          </w:p>
        </w:tc>
        <w:tc>
          <w:tcPr>
            <w:tcW w:w="3438" w:type="dxa"/>
          </w:tcPr>
          <w:p w:rsidR="00005252" w:rsidRPr="005F06CA" w:rsidRDefault="00005252" w:rsidP="005D4348">
            <w:pPr>
              <w:rPr>
                <w:sz w:val="20"/>
                <w:szCs w:val="20"/>
              </w:rPr>
            </w:pPr>
            <w:r>
              <w:rPr>
                <w:sz w:val="20"/>
                <w:szCs w:val="20"/>
              </w:rPr>
              <w:t xml:space="preserve">It does not appear that this was a practical or feasible recommendation for the project. </w:t>
            </w:r>
          </w:p>
        </w:tc>
      </w:tr>
      <w:tr w:rsidR="00005252" w:rsidRPr="005F06CA" w:rsidTr="005D4348">
        <w:tc>
          <w:tcPr>
            <w:tcW w:w="4428" w:type="dxa"/>
          </w:tcPr>
          <w:p w:rsidR="00005252" w:rsidRPr="005F06CA" w:rsidRDefault="00005252" w:rsidP="005D4348">
            <w:pPr>
              <w:rPr>
                <w:sz w:val="20"/>
                <w:szCs w:val="20"/>
              </w:rPr>
            </w:pPr>
            <w:r w:rsidRPr="005F06CA">
              <w:rPr>
                <w:sz w:val="20"/>
                <w:szCs w:val="20"/>
              </w:rPr>
              <w:t>The River Restoration Manual should be re-examined and re-written to better reflect global best practice and to provide a more biodiversity-sympathetic emphasis to river restoration</w:t>
            </w:r>
            <w:r w:rsidRPr="005F06CA">
              <w:rPr>
                <w:rStyle w:val="FootnoteReference"/>
                <w:sz w:val="20"/>
                <w:szCs w:val="20"/>
              </w:rPr>
              <w:footnoteReference w:id="32"/>
            </w:r>
            <w:r w:rsidRPr="005F06CA">
              <w:rPr>
                <w:sz w:val="20"/>
                <w:szCs w:val="20"/>
              </w:rPr>
              <w:t>.</w:t>
            </w:r>
          </w:p>
        </w:tc>
        <w:tc>
          <w:tcPr>
            <w:tcW w:w="990" w:type="dxa"/>
          </w:tcPr>
          <w:p w:rsidR="00005252" w:rsidRPr="005F06CA" w:rsidRDefault="00005252" w:rsidP="005D4348">
            <w:pPr>
              <w:rPr>
                <w:sz w:val="20"/>
                <w:szCs w:val="20"/>
              </w:rPr>
            </w:pPr>
            <w:r>
              <w:rPr>
                <w:sz w:val="20"/>
                <w:szCs w:val="20"/>
              </w:rPr>
              <w:t>?</w:t>
            </w:r>
          </w:p>
        </w:tc>
        <w:tc>
          <w:tcPr>
            <w:tcW w:w="3438" w:type="dxa"/>
          </w:tcPr>
          <w:p w:rsidR="00005252" w:rsidRPr="005F06CA" w:rsidRDefault="00005252" w:rsidP="005D4348">
            <w:pPr>
              <w:rPr>
                <w:sz w:val="20"/>
                <w:szCs w:val="20"/>
              </w:rPr>
            </w:pPr>
            <w:r>
              <w:rPr>
                <w:sz w:val="20"/>
                <w:szCs w:val="20"/>
              </w:rPr>
              <w:t>Unknown if the river restoration manual was significantly revised or updated to reflect these considerations, but there is no indication that it was.</w:t>
            </w:r>
          </w:p>
        </w:tc>
      </w:tr>
      <w:tr w:rsidR="00005252" w:rsidRPr="005F06CA" w:rsidTr="005D4348">
        <w:tc>
          <w:tcPr>
            <w:tcW w:w="4428" w:type="dxa"/>
          </w:tcPr>
          <w:p w:rsidR="00005252" w:rsidRPr="005F06CA" w:rsidRDefault="00005252" w:rsidP="005D4348">
            <w:pPr>
              <w:rPr>
                <w:sz w:val="20"/>
                <w:szCs w:val="20"/>
              </w:rPr>
            </w:pPr>
            <w:r w:rsidRPr="005F06CA">
              <w:rPr>
                <w:sz w:val="20"/>
                <w:szCs w:val="20"/>
              </w:rPr>
              <w:t>The training and capacity building programme for the Watershed Council members and stakeholders should be upgraded.</w:t>
            </w:r>
          </w:p>
        </w:tc>
        <w:tc>
          <w:tcPr>
            <w:tcW w:w="990" w:type="dxa"/>
          </w:tcPr>
          <w:p w:rsidR="00005252" w:rsidRPr="005F06CA" w:rsidRDefault="00005252" w:rsidP="005D4348">
            <w:pPr>
              <w:rPr>
                <w:sz w:val="20"/>
                <w:szCs w:val="20"/>
              </w:rPr>
            </w:pPr>
            <w:r>
              <w:rPr>
                <w:sz w:val="20"/>
                <w:szCs w:val="20"/>
              </w:rPr>
              <w:t>N</w:t>
            </w:r>
          </w:p>
        </w:tc>
        <w:tc>
          <w:tcPr>
            <w:tcW w:w="3438" w:type="dxa"/>
          </w:tcPr>
          <w:p w:rsidR="00005252" w:rsidRPr="005F06CA" w:rsidRDefault="00005252" w:rsidP="005D4348">
            <w:pPr>
              <w:rPr>
                <w:sz w:val="20"/>
                <w:szCs w:val="20"/>
              </w:rPr>
            </w:pPr>
            <w:r>
              <w:rPr>
                <w:sz w:val="20"/>
                <w:szCs w:val="20"/>
              </w:rPr>
              <w:t xml:space="preserve">No significant additional effort made in this regard. </w:t>
            </w:r>
          </w:p>
        </w:tc>
      </w:tr>
      <w:tr w:rsidR="00005252" w:rsidRPr="005F06CA" w:rsidTr="005D4348">
        <w:tc>
          <w:tcPr>
            <w:tcW w:w="4428" w:type="dxa"/>
          </w:tcPr>
          <w:p w:rsidR="00005252" w:rsidRPr="005F06CA" w:rsidRDefault="00005252" w:rsidP="005D4348">
            <w:pPr>
              <w:rPr>
                <w:sz w:val="20"/>
                <w:szCs w:val="20"/>
              </w:rPr>
            </w:pPr>
            <w:r w:rsidRPr="005F06CA">
              <w:rPr>
                <w:sz w:val="20"/>
                <w:szCs w:val="20"/>
              </w:rPr>
              <w:t>Phase II of the Golema Reka Restoration Scheme should be designed with biodiversity at the forefront of the scheme’s aims, and that th</w:t>
            </w:r>
            <w:r>
              <w:rPr>
                <w:sz w:val="20"/>
                <w:szCs w:val="20"/>
              </w:rPr>
              <w:t xml:space="preserve">e principles of best </w:t>
            </w:r>
            <w:r w:rsidRPr="005F06CA">
              <w:rPr>
                <w:sz w:val="20"/>
                <w:szCs w:val="20"/>
              </w:rPr>
              <w:t>practice for urban schemes should be applied to provide a model in the area for replication.</w:t>
            </w:r>
          </w:p>
        </w:tc>
        <w:tc>
          <w:tcPr>
            <w:tcW w:w="990" w:type="dxa"/>
          </w:tcPr>
          <w:p w:rsidR="00005252" w:rsidRPr="005F06CA" w:rsidRDefault="00005252" w:rsidP="005D4348">
            <w:pPr>
              <w:rPr>
                <w:sz w:val="20"/>
                <w:szCs w:val="20"/>
              </w:rPr>
            </w:pPr>
            <w:r>
              <w:rPr>
                <w:sz w:val="20"/>
                <w:szCs w:val="20"/>
              </w:rPr>
              <w:t>N</w:t>
            </w:r>
          </w:p>
        </w:tc>
        <w:tc>
          <w:tcPr>
            <w:tcW w:w="3438" w:type="dxa"/>
          </w:tcPr>
          <w:p w:rsidR="00005252" w:rsidRPr="005F06CA" w:rsidRDefault="00005252" w:rsidP="005D4348">
            <w:pPr>
              <w:rPr>
                <w:sz w:val="20"/>
                <w:szCs w:val="20"/>
              </w:rPr>
            </w:pPr>
            <w:r>
              <w:rPr>
                <w:sz w:val="20"/>
                <w:szCs w:val="20"/>
              </w:rPr>
              <w:t xml:space="preserve">No significant additional steps taken in this regard; practical feasibility uncertain. </w:t>
            </w:r>
          </w:p>
        </w:tc>
      </w:tr>
      <w:tr w:rsidR="00005252" w:rsidRPr="005F06CA" w:rsidTr="005D4348">
        <w:tc>
          <w:tcPr>
            <w:tcW w:w="4428" w:type="dxa"/>
          </w:tcPr>
          <w:p w:rsidR="00005252" w:rsidRPr="005F06CA" w:rsidRDefault="00005252" w:rsidP="005D4348">
            <w:pPr>
              <w:rPr>
                <w:sz w:val="20"/>
                <w:szCs w:val="20"/>
              </w:rPr>
            </w:pPr>
            <w:r w:rsidRPr="005F06CA">
              <w:rPr>
                <w:sz w:val="20"/>
                <w:szCs w:val="20"/>
              </w:rPr>
              <w:t>The Project should incorporate Strategic Environmental Assessment within the process of developing the Watershed Management Plan as a demonstration of best practice.</w:t>
            </w:r>
          </w:p>
        </w:tc>
        <w:tc>
          <w:tcPr>
            <w:tcW w:w="990" w:type="dxa"/>
          </w:tcPr>
          <w:p w:rsidR="00005252" w:rsidRPr="005F06CA" w:rsidRDefault="00005252" w:rsidP="005D4348">
            <w:pPr>
              <w:rPr>
                <w:sz w:val="20"/>
                <w:szCs w:val="20"/>
              </w:rPr>
            </w:pPr>
            <w:r>
              <w:rPr>
                <w:sz w:val="20"/>
                <w:szCs w:val="20"/>
              </w:rPr>
              <w:t>Y</w:t>
            </w:r>
          </w:p>
        </w:tc>
        <w:tc>
          <w:tcPr>
            <w:tcW w:w="3438" w:type="dxa"/>
          </w:tcPr>
          <w:p w:rsidR="00005252" w:rsidRPr="005F06CA" w:rsidRDefault="00005252" w:rsidP="005D4348">
            <w:pPr>
              <w:rPr>
                <w:sz w:val="20"/>
                <w:szCs w:val="20"/>
              </w:rPr>
            </w:pPr>
            <w:r>
              <w:rPr>
                <w:sz w:val="20"/>
                <w:szCs w:val="20"/>
              </w:rPr>
              <w:t xml:space="preserve">Strategic Environmental Assessment included in MK-Prespa WMP. </w:t>
            </w:r>
          </w:p>
        </w:tc>
      </w:tr>
      <w:tr w:rsidR="00005252" w:rsidRPr="005F06CA" w:rsidTr="005D4348">
        <w:tc>
          <w:tcPr>
            <w:tcW w:w="4428" w:type="dxa"/>
          </w:tcPr>
          <w:p w:rsidR="00005252" w:rsidRPr="005F06CA" w:rsidRDefault="00005252" w:rsidP="005D4348">
            <w:pPr>
              <w:rPr>
                <w:sz w:val="20"/>
                <w:szCs w:val="20"/>
              </w:rPr>
            </w:pPr>
            <w:r w:rsidRPr="005F06CA">
              <w:rPr>
                <w:sz w:val="20"/>
                <w:szCs w:val="20"/>
              </w:rPr>
              <w:t xml:space="preserve">A capacity building programme covering the procedure for the approval of the Environmental Impact Assessments should be established for appropriate environmental staff in the Municipality of Resen and other key stakeholders.  </w:t>
            </w:r>
          </w:p>
        </w:tc>
        <w:tc>
          <w:tcPr>
            <w:tcW w:w="990" w:type="dxa"/>
          </w:tcPr>
          <w:p w:rsidR="00005252" w:rsidRPr="005F06CA" w:rsidRDefault="00005252" w:rsidP="005D4348">
            <w:pPr>
              <w:rPr>
                <w:sz w:val="20"/>
                <w:szCs w:val="20"/>
              </w:rPr>
            </w:pPr>
            <w:r>
              <w:rPr>
                <w:sz w:val="20"/>
                <w:szCs w:val="20"/>
              </w:rPr>
              <w:t>Partial</w:t>
            </w:r>
          </w:p>
        </w:tc>
        <w:tc>
          <w:tcPr>
            <w:tcW w:w="3438" w:type="dxa"/>
          </w:tcPr>
          <w:p w:rsidR="00005252" w:rsidRPr="005F06CA" w:rsidRDefault="00005252" w:rsidP="005D4348">
            <w:pPr>
              <w:rPr>
                <w:sz w:val="20"/>
                <w:szCs w:val="20"/>
              </w:rPr>
            </w:pPr>
            <w:r>
              <w:rPr>
                <w:sz w:val="20"/>
                <w:szCs w:val="20"/>
              </w:rPr>
              <w:t>The project supported introduction of Integrated Pollution Prevention and Control B-type permitting for various industries in Resen municipality through training and expert support in reviewing permit applications.</w:t>
            </w:r>
          </w:p>
        </w:tc>
      </w:tr>
    </w:tbl>
    <w:p w:rsidR="00005252" w:rsidRPr="000A3C73" w:rsidRDefault="00005252" w:rsidP="0043567C">
      <w:pPr>
        <w:pStyle w:val="BodyText"/>
        <w:numPr>
          <w:ilvl w:val="0"/>
          <w:numId w:val="0"/>
        </w:numPr>
        <w:rPr>
          <w:b/>
        </w:rPr>
      </w:pPr>
    </w:p>
    <w:p w:rsidR="00453F22" w:rsidRPr="000A3C73" w:rsidRDefault="00453F22" w:rsidP="00FF608B">
      <w:pPr>
        <w:pStyle w:val="BodyText"/>
        <w:numPr>
          <w:ilvl w:val="0"/>
          <w:numId w:val="0"/>
        </w:numPr>
        <w:rPr>
          <w:b/>
        </w:rPr>
      </w:pPr>
    </w:p>
    <w:p w:rsidR="00453F22" w:rsidRPr="000A3C73" w:rsidRDefault="00453F22" w:rsidP="00FF608B">
      <w:pPr>
        <w:pStyle w:val="BodyText"/>
        <w:numPr>
          <w:ilvl w:val="0"/>
          <w:numId w:val="0"/>
        </w:numPr>
        <w:rPr>
          <w:b/>
        </w:rPr>
        <w:sectPr w:rsidR="00453F22" w:rsidRPr="000A3C73">
          <w:headerReference w:type="default" r:id="rId47"/>
          <w:pgSz w:w="12240" w:h="15840"/>
          <w:pgMar w:top="1440" w:right="1440" w:bottom="1440" w:left="1440" w:header="720" w:footer="720" w:gutter="0"/>
          <w:cols w:space="720"/>
        </w:sectPr>
      </w:pPr>
    </w:p>
    <w:p w:rsidR="00FF608B" w:rsidRPr="0089284E" w:rsidRDefault="009A4A5B" w:rsidP="00FF608B">
      <w:pPr>
        <w:pStyle w:val="BodyText"/>
        <w:numPr>
          <w:ilvl w:val="0"/>
          <w:numId w:val="0"/>
        </w:numPr>
        <w:rPr>
          <w:b/>
        </w:rPr>
      </w:pPr>
      <w:r w:rsidRPr="0089284E">
        <w:rPr>
          <w:b/>
        </w:rPr>
        <w:t xml:space="preserve">Annex </w:t>
      </w:r>
      <w:r w:rsidR="00074643">
        <w:rPr>
          <w:b/>
        </w:rPr>
        <w:t>5</w:t>
      </w:r>
      <w:r w:rsidR="00E05B76" w:rsidRPr="0089284E">
        <w:rPr>
          <w:b/>
        </w:rPr>
        <w:t xml:space="preserve">. </w:t>
      </w:r>
      <w:r w:rsidR="00503009" w:rsidRPr="0089284E">
        <w:rPr>
          <w:b/>
        </w:rPr>
        <w:t xml:space="preserve">List of Persons </w:t>
      </w:r>
      <w:r w:rsidR="00AE1E1F" w:rsidRPr="0089284E">
        <w:rPr>
          <w:b/>
        </w:rPr>
        <w:t xml:space="preserve">Met </w:t>
      </w:r>
      <w:r w:rsidR="004C6E97" w:rsidRPr="0089284E">
        <w:rPr>
          <w:b/>
        </w:rPr>
        <w:t xml:space="preserve">and Interviewed </w:t>
      </w:r>
      <w:r w:rsidR="00AE1E1F" w:rsidRPr="0089284E">
        <w:rPr>
          <w:b/>
        </w:rPr>
        <w:t xml:space="preserve">During </w:t>
      </w:r>
      <w:r w:rsidR="004648C7" w:rsidRPr="0089284E">
        <w:rPr>
          <w:b/>
        </w:rPr>
        <w:t>Terminal</w:t>
      </w:r>
      <w:r w:rsidR="00AE1E1F" w:rsidRPr="0089284E">
        <w:rPr>
          <w:b/>
        </w:rPr>
        <w:t xml:space="preserve"> Evaluation Mission</w:t>
      </w:r>
    </w:p>
    <w:p w:rsidR="00981CE9" w:rsidRPr="00E47796" w:rsidRDefault="00981CE9" w:rsidP="00E47796">
      <w:pPr>
        <w:rPr>
          <w:rFonts w:asciiTheme="majorHAnsi" w:hAnsiTheme="majorHAnsi"/>
          <w:sz w:val="18"/>
          <w:szCs w:val="18"/>
          <w:highlight w:val="yellow"/>
        </w:rPr>
      </w:pPr>
    </w:p>
    <w:p w:rsidR="00377CD5" w:rsidRPr="00E47796" w:rsidRDefault="00377CD5" w:rsidP="00E47796">
      <w:pPr>
        <w:rPr>
          <w:rFonts w:asciiTheme="majorHAnsi" w:hAnsiTheme="majorHAnsi"/>
          <w:sz w:val="18"/>
          <w:szCs w:val="18"/>
        </w:rPr>
      </w:pPr>
      <w:r w:rsidRPr="00E47796">
        <w:rPr>
          <w:rFonts w:asciiTheme="majorHAnsi" w:hAnsiTheme="majorHAnsi"/>
          <w:sz w:val="18"/>
          <w:szCs w:val="18"/>
        </w:rPr>
        <w:t>UNDP / GEF</w:t>
      </w:r>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0"/>
        <w:gridCol w:w="6154"/>
      </w:tblGrid>
      <w:tr w:rsidR="00377CD5" w:rsidRPr="00E47796" w:rsidTr="00E47796">
        <w:tc>
          <w:tcPr>
            <w:tcW w:w="324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Alessandro Fracassetti</w:t>
            </w:r>
          </w:p>
        </w:tc>
        <w:tc>
          <w:tcPr>
            <w:tcW w:w="615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Deputy Resident Representative, UNDP Macedonia</w:t>
            </w:r>
          </w:p>
        </w:tc>
      </w:tr>
      <w:tr w:rsidR="00377CD5" w:rsidRPr="00E47796" w:rsidTr="00E47796">
        <w:tc>
          <w:tcPr>
            <w:tcW w:w="324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Anita Kodzoman</w:t>
            </w:r>
          </w:p>
        </w:tc>
        <w:tc>
          <w:tcPr>
            <w:tcW w:w="615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UNDP-Macedonia Head of Environment Programme</w:t>
            </w:r>
          </w:p>
        </w:tc>
      </w:tr>
      <w:tr w:rsidR="00377CD5" w:rsidRPr="00E47796" w:rsidTr="00E47796">
        <w:tc>
          <w:tcPr>
            <w:tcW w:w="324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Elvita Kabashi</w:t>
            </w:r>
          </w:p>
        </w:tc>
        <w:tc>
          <w:tcPr>
            <w:tcW w:w="615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 xml:space="preserve">UNDP- Program Analyst, UNDP Albania </w:t>
            </w:r>
          </w:p>
        </w:tc>
      </w:tr>
      <w:tr w:rsidR="00377CD5" w:rsidRPr="00E47796" w:rsidTr="00E47796">
        <w:tc>
          <w:tcPr>
            <w:tcW w:w="3240" w:type="dxa"/>
          </w:tcPr>
          <w:p w:rsidR="00377CD5" w:rsidRPr="00E47796" w:rsidRDefault="00377CD5" w:rsidP="00981CE9">
            <w:pPr>
              <w:rPr>
                <w:rFonts w:asciiTheme="majorHAnsi" w:hAnsiTheme="majorHAnsi"/>
                <w:sz w:val="18"/>
                <w:szCs w:val="18"/>
              </w:rPr>
            </w:pPr>
            <w:r w:rsidRPr="00E47796">
              <w:rPr>
                <w:rFonts w:asciiTheme="majorHAnsi" w:hAnsiTheme="majorHAnsi"/>
                <w:sz w:val="18"/>
                <w:szCs w:val="18"/>
              </w:rPr>
              <w:t>Vladimir Mamaev (Phone or Skype)</w:t>
            </w:r>
          </w:p>
        </w:tc>
        <w:tc>
          <w:tcPr>
            <w:tcW w:w="615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GEF Regional Technical Advisor, Regional Coordination Centre, Bratislava</w:t>
            </w:r>
          </w:p>
        </w:tc>
      </w:tr>
      <w:tr w:rsidR="00377CD5" w:rsidRPr="00E47796" w:rsidTr="00E47796">
        <w:tc>
          <w:tcPr>
            <w:tcW w:w="324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ZlatkoSamardziev</w:t>
            </w:r>
          </w:p>
        </w:tc>
        <w:tc>
          <w:tcPr>
            <w:tcW w:w="615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National Coordinator, GEF Small Grants Programme FYR Macedonia</w:t>
            </w:r>
          </w:p>
        </w:tc>
      </w:tr>
    </w:tbl>
    <w:p w:rsidR="00522AD6" w:rsidRDefault="00522AD6" w:rsidP="00E47796">
      <w:pPr>
        <w:rPr>
          <w:rFonts w:asciiTheme="majorHAnsi" w:hAnsiTheme="majorHAnsi"/>
          <w:sz w:val="18"/>
          <w:szCs w:val="18"/>
        </w:rPr>
      </w:pPr>
    </w:p>
    <w:p w:rsidR="00377CD5" w:rsidRPr="00E47796" w:rsidRDefault="00377CD5" w:rsidP="00E47796">
      <w:pPr>
        <w:rPr>
          <w:rFonts w:asciiTheme="majorHAnsi" w:hAnsiTheme="majorHAnsi"/>
          <w:sz w:val="18"/>
          <w:szCs w:val="18"/>
        </w:rPr>
      </w:pPr>
      <w:r w:rsidRPr="00E47796">
        <w:rPr>
          <w:rFonts w:asciiTheme="majorHAnsi" w:hAnsiTheme="majorHAnsi"/>
          <w:sz w:val="18"/>
          <w:szCs w:val="18"/>
        </w:rPr>
        <w:t>Project Staff</w:t>
      </w:r>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30"/>
        <w:gridCol w:w="6064"/>
      </w:tblGrid>
      <w:tr w:rsidR="00522AD6" w:rsidRPr="00E47796" w:rsidTr="0089284E">
        <w:tc>
          <w:tcPr>
            <w:tcW w:w="333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 xml:space="preserve">Dimitrija Sekovski </w:t>
            </w:r>
          </w:p>
        </w:tc>
        <w:tc>
          <w:tcPr>
            <w:tcW w:w="606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 xml:space="preserve">National Project Manager for MK national component </w:t>
            </w:r>
          </w:p>
        </w:tc>
      </w:tr>
      <w:tr w:rsidR="00522AD6" w:rsidRPr="00E47796" w:rsidTr="0089284E">
        <w:trPr>
          <w:trHeight w:val="221"/>
        </w:trPr>
        <w:tc>
          <w:tcPr>
            <w:tcW w:w="333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 xml:space="preserve">Violeta Zuna </w:t>
            </w:r>
          </w:p>
        </w:tc>
        <w:tc>
          <w:tcPr>
            <w:tcW w:w="606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 xml:space="preserve">National Project Manager for AL national component </w:t>
            </w:r>
          </w:p>
        </w:tc>
      </w:tr>
      <w:tr w:rsidR="00522AD6" w:rsidRPr="00E47796" w:rsidTr="0089284E">
        <w:tc>
          <w:tcPr>
            <w:tcW w:w="333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 xml:space="preserve">Eno Dodbiba </w:t>
            </w:r>
          </w:p>
        </w:tc>
        <w:tc>
          <w:tcPr>
            <w:tcW w:w="606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Project Specialist for AL national component</w:t>
            </w:r>
          </w:p>
        </w:tc>
      </w:tr>
      <w:tr w:rsidR="00522AD6" w:rsidRPr="00E47796" w:rsidTr="0089284E">
        <w:tc>
          <w:tcPr>
            <w:tcW w:w="333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 xml:space="preserve">Nikola Zdraveski </w:t>
            </w:r>
          </w:p>
        </w:tc>
        <w:tc>
          <w:tcPr>
            <w:tcW w:w="606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Project Specialist for MK national component</w:t>
            </w:r>
          </w:p>
        </w:tc>
      </w:tr>
      <w:tr w:rsidR="00522AD6" w:rsidRPr="00E47796" w:rsidTr="0089284E">
        <w:tc>
          <w:tcPr>
            <w:tcW w:w="333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 xml:space="preserve">Alexander Ivanovski </w:t>
            </w:r>
          </w:p>
        </w:tc>
        <w:tc>
          <w:tcPr>
            <w:tcW w:w="606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Project Specialist for MK national component</w:t>
            </w:r>
          </w:p>
        </w:tc>
      </w:tr>
      <w:tr w:rsidR="00522AD6" w:rsidRPr="00E47796" w:rsidTr="0089284E">
        <w:tc>
          <w:tcPr>
            <w:tcW w:w="333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 xml:space="preserve">Ardit Konomi </w:t>
            </w:r>
          </w:p>
        </w:tc>
        <w:tc>
          <w:tcPr>
            <w:tcW w:w="6064" w:type="dxa"/>
          </w:tcPr>
          <w:p w:rsidR="00377CD5" w:rsidRPr="00E47796" w:rsidRDefault="00377CD5" w:rsidP="00981CE9">
            <w:pPr>
              <w:rPr>
                <w:rFonts w:asciiTheme="majorHAnsi" w:hAnsiTheme="majorHAnsi"/>
                <w:sz w:val="18"/>
                <w:szCs w:val="18"/>
              </w:rPr>
            </w:pPr>
            <w:r w:rsidRPr="00E47796">
              <w:rPr>
                <w:rFonts w:asciiTheme="majorHAnsi" w:hAnsiTheme="majorHAnsi"/>
                <w:sz w:val="18"/>
                <w:szCs w:val="18"/>
              </w:rPr>
              <w:t xml:space="preserve">Local Project Coordinator for AL national component </w:t>
            </w:r>
          </w:p>
        </w:tc>
      </w:tr>
      <w:tr w:rsidR="00522AD6" w:rsidRPr="00E47796" w:rsidTr="0089284E">
        <w:tc>
          <w:tcPr>
            <w:tcW w:w="333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Gordana Cvetkoska</w:t>
            </w:r>
          </w:p>
        </w:tc>
        <w:tc>
          <w:tcPr>
            <w:tcW w:w="606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Project Assistant</w:t>
            </w:r>
          </w:p>
        </w:tc>
      </w:tr>
      <w:tr w:rsidR="00522AD6" w:rsidRPr="00E47796" w:rsidTr="0089284E">
        <w:tc>
          <w:tcPr>
            <w:tcW w:w="333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Sandra Ismanovski</w:t>
            </w:r>
          </w:p>
        </w:tc>
        <w:tc>
          <w:tcPr>
            <w:tcW w:w="606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Communications and Partnership Officer/ Former Communication Specialist for the project</w:t>
            </w:r>
          </w:p>
        </w:tc>
      </w:tr>
    </w:tbl>
    <w:p w:rsidR="00522AD6" w:rsidRDefault="00522AD6" w:rsidP="00E47796">
      <w:pPr>
        <w:rPr>
          <w:rFonts w:asciiTheme="majorHAnsi" w:hAnsiTheme="majorHAnsi"/>
          <w:sz w:val="18"/>
          <w:szCs w:val="18"/>
        </w:rPr>
      </w:pPr>
    </w:p>
    <w:p w:rsidR="00377CD5" w:rsidRPr="00E47796" w:rsidRDefault="00377CD5" w:rsidP="00E47796">
      <w:pPr>
        <w:rPr>
          <w:rFonts w:asciiTheme="majorHAnsi" w:hAnsiTheme="majorHAnsi"/>
          <w:sz w:val="18"/>
          <w:szCs w:val="18"/>
        </w:rPr>
      </w:pPr>
      <w:r w:rsidRPr="00E47796">
        <w:rPr>
          <w:rFonts w:asciiTheme="majorHAnsi" w:hAnsiTheme="majorHAnsi"/>
          <w:sz w:val="18"/>
          <w:szCs w:val="18"/>
        </w:rPr>
        <w:t>Project Consultants</w:t>
      </w:r>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30"/>
        <w:gridCol w:w="6064"/>
      </w:tblGrid>
      <w:tr w:rsidR="00377CD5" w:rsidRPr="00E47796" w:rsidTr="0089284E">
        <w:tc>
          <w:tcPr>
            <w:tcW w:w="333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Peter Whalley</w:t>
            </w:r>
          </w:p>
        </w:tc>
        <w:tc>
          <w:tcPr>
            <w:tcW w:w="606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International Transboundary Advisor, Consultant for TDA/SAP process</w:t>
            </w:r>
          </w:p>
        </w:tc>
      </w:tr>
      <w:tr w:rsidR="00377CD5" w:rsidRPr="00E47796" w:rsidTr="0089284E">
        <w:tc>
          <w:tcPr>
            <w:tcW w:w="333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Ljupco Melovski</w:t>
            </w:r>
          </w:p>
        </w:tc>
        <w:tc>
          <w:tcPr>
            <w:tcW w:w="606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Team leader – Species and Habitats conservation plans</w:t>
            </w:r>
          </w:p>
        </w:tc>
      </w:tr>
      <w:tr w:rsidR="00377CD5" w:rsidRPr="00E47796" w:rsidTr="0089284E">
        <w:tc>
          <w:tcPr>
            <w:tcW w:w="333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Zoran Spirkovski</w:t>
            </w:r>
          </w:p>
        </w:tc>
        <w:tc>
          <w:tcPr>
            <w:tcW w:w="606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 xml:space="preserve">Team leader – Transboundary Fisheries Management Plan </w:t>
            </w:r>
          </w:p>
        </w:tc>
      </w:tr>
      <w:tr w:rsidR="00377CD5" w:rsidRPr="00E47796" w:rsidTr="0089284E">
        <w:tc>
          <w:tcPr>
            <w:tcW w:w="333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Robert Travers (phone or Skype)</w:t>
            </w:r>
          </w:p>
        </w:tc>
        <w:tc>
          <w:tcPr>
            <w:tcW w:w="6064" w:type="dxa"/>
          </w:tcPr>
          <w:p w:rsidR="00377CD5" w:rsidRPr="00E47796" w:rsidRDefault="00377CD5" w:rsidP="00981CE9">
            <w:pPr>
              <w:rPr>
                <w:rFonts w:asciiTheme="majorHAnsi" w:hAnsiTheme="majorHAnsi"/>
                <w:sz w:val="18"/>
                <w:szCs w:val="18"/>
              </w:rPr>
            </w:pPr>
            <w:r w:rsidRPr="00E47796">
              <w:rPr>
                <w:rFonts w:asciiTheme="majorHAnsi" w:hAnsiTheme="majorHAnsi"/>
                <w:sz w:val="18"/>
                <w:szCs w:val="18"/>
              </w:rPr>
              <w:t xml:space="preserve">International Consultant – Tourism Development Strategy and Action Plan </w:t>
            </w:r>
          </w:p>
        </w:tc>
      </w:tr>
      <w:tr w:rsidR="00377CD5" w:rsidRPr="00E47796" w:rsidTr="0089284E">
        <w:tc>
          <w:tcPr>
            <w:tcW w:w="333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Naumce Tashevski</w:t>
            </w:r>
          </w:p>
        </w:tc>
        <w:tc>
          <w:tcPr>
            <w:tcW w:w="606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Ezerani Protected Area</w:t>
            </w:r>
          </w:p>
        </w:tc>
      </w:tr>
      <w:tr w:rsidR="00377CD5" w:rsidRPr="00E47796" w:rsidTr="0089284E">
        <w:tc>
          <w:tcPr>
            <w:tcW w:w="333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Thimaq Lako</w:t>
            </w:r>
          </w:p>
        </w:tc>
        <w:tc>
          <w:tcPr>
            <w:tcW w:w="606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 xml:space="preserve">Former project expert METT Evaluator </w:t>
            </w:r>
          </w:p>
        </w:tc>
      </w:tr>
      <w:tr w:rsidR="00377CD5" w:rsidRPr="00E47796" w:rsidTr="0089284E">
        <w:tc>
          <w:tcPr>
            <w:tcW w:w="333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Laurent Chazee (Phone or Skype meeting)</w:t>
            </w:r>
          </w:p>
        </w:tc>
        <w:tc>
          <w:tcPr>
            <w:tcW w:w="606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 xml:space="preserve">Socio economic consultant </w:t>
            </w:r>
          </w:p>
        </w:tc>
      </w:tr>
      <w:tr w:rsidR="00377CD5" w:rsidRPr="00E47796" w:rsidTr="0089284E">
        <w:tc>
          <w:tcPr>
            <w:tcW w:w="333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Rezar kapedani</w:t>
            </w:r>
          </w:p>
        </w:tc>
        <w:tc>
          <w:tcPr>
            <w:tcW w:w="606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Fishery consultant</w:t>
            </w:r>
          </w:p>
        </w:tc>
      </w:tr>
      <w:tr w:rsidR="00377CD5" w:rsidRPr="00E47796" w:rsidTr="0089284E">
        <w:tc>
          <w:tcPr>
            <w:tcW w:w="333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Molnar Kolaneci</w:t>
            </w:r>
          </w:p>
        </w:tc>
        <w:tc>
          <w:tcPr>
            <w:tcW w:w="606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Water management consultant</w:t>
            </w:r>
          </w:p>
        </w:tc>
      </w:tr>
      <w:tr w:rsidR="00377CD5" w:rsidRPr="00E47796" w:rsidTr="0089284E">
        <w:tc>
          <w:tcPr>
            <w:tcW w:w="333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 xml:space="preserve"> Sulejman Sulce</w:t>
            </w:r>
            <w:r w:rsidRPr="00E47796">
              <w:rPr>
                <w:rFonts w:asciiTheme="majorHAnsi" w:hAnsiTheme="majorHAnsi"/>
                <w:sz w:val="18"/>
                <w:szCs w:val="18"/>
              </w:rPr>
              <w:tab/>
            </w:r>
          </w:p>
        </w:tc>
        <w:tc>
          <w:tcPr>
            <w:tcW w:w="606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 xml:space="preserve">Rural development and agro-environment  </w:t>
            </w:r>
          </w:p>
        </w:tc>
      </w:tr>
    </w:tbl>
    <w:p w:rsidR="00522AD6" w:rsidRDefault="00522AD6" w:rsidP="00E47796">
      <w:pPr>
        <w:rPr>
          <w:rFonts w:asciiTheme="majorHAnsi" w:hAnsiTheme="majorHAnsi"/>
          <w:sz w:val="18"/>
          <w:szCs w:val="18"/>
        </w:rPr>
      </w:pPr>
    </w:p>
    <w:p w:rsidR="00377CD5" w:rsidRPr="00E47796" w:rsidRDefault="00377CD5" w:rsidP="00E47796">
      <w:pPr>
        <w:rPr>
          <w:rFonts w:asciiTheme="majorHAnsi" w:hAnsiTheme="majorHAnsi"/>
          <w:sz w:val="18"/>
          <w:szCs w:val="18"/>
        </w:rPr>
      </w:pPr>
      <w:r w:rsidRPr="00E47796">
        <w:rPr>
          <w:rFonts w:asciiTheme="majorHAnsi" w:hAnsiTheme="majorHAnsi"/>
          <w:sz w:val="18"/>
          <w:szCs w:val="18"/>
        </w:rPr>
        <w:t xml:space="preserve">Government Departments </w:t>
      </w:r>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0"/>
        <w:gridCol w:w="7504"/>
      </w:tblGrid>
      <w:tr w:rsidR="00E47796" w:rsidRPr="00E47796" w:rsidTr="00E47796">
        <w:tc>
          <w:tcPr>
            <w:tcW w:w="189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Sonja Lepitkova</w:t>
            </w:r>
          </w:p>
        </w:tc>
        <w:tc>
          <w:tcPr>
            <w:tcW w:w="750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State Secretary at the Ministry of Environment and Physical Planning Skopje</w:t>
            </w:r>
          </w:p>
        </w:tc>
      </w:tr>
      <w:tr w:rsidR="00E47796" w:rsidRPr="00E47796" w:rsidTr="00E47796">
        <w:tc>
          <w:tcPr>
            <w:tcW w:w="189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Dejan Panovski</w:t>
            </w:r>
          </w:p>
        </w:tc>
        <w:tc>
          <w:tcPr>
            <w:tcW w:w="750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Project coordinator for the MK components, Ohrid Lake Secretariat</w:t>
            </w:r>
          </w:p>
        </w:tc>
      </w:tr>
      <w:tr w:rsidR="00E47796" w:rsidRPr="00E47796" w:rsidTr="00E47796">
        <w:tc>
          <w:tcPr>
            <w:tcW w:w="189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Daniela Stefanovska</w:t>
            </w:r>
          </w:p>
        </w:tc>
        <w:tc>
          <w:tcPr>
            <w:tcW w:w="750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GEF Focal Point at the Ministry of Environment</w:t>
            </w:r>
          </w:p>
        </w:tc>
      </w:tr>
      <w:tr w:rsidR="00E47796" w:rsidRPr="00E47796" w:rsidTr="00E47796">
        <w:tc>
          <w:tcPr>
            <w:tcW w:w="189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Boyan</w:t>
            </w:r>
            <w:r w:rsidR="00522AD6">
              <w:rPr>
                <w:rFonts w:asciiTheme="majorHAnsi" w:hAnsiTheme="majorHAnsi"/>
                <w:sz w:val="18"/>
                <w:szCs w:val="18"/>
              </w:rPr>
              <w:t xml:space="preserve"> </w:t>
            </w:r>
            <w:r w:rsidRPr="00E47796">
              <w:rPr>
                <w:rFonts w:asciiTheme="majorHAnsi" w:hAnsiTheme="majorHAnsi"/>
                <w:sz w:val="18"/>
                <w:szCs w:val="18"/>
              </w:rPr>
              <w:t>Durnev</w:t>
            </w:r>
          </w:p>
        </w:tc>
        <w:tc>
          <w:tcPr>
            <w:tcW w:w="750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Head of Department for Water Management, Ministry of Agriculture, Forestry and Water Economy  (FYR Macedonia)</w:t>
            </w:r>
          </w:p>
        </w:tc>
      </w:tr>
      <w:tr w:rsidR="00E47796" w:rsidRPr="00E47796" w:rsidTr="00E47796">
        <w:tc>
          <w:tcPr>
            <w:tcW w:w="189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IlberMirta</w:t>
            </w:r>
          </w:p>
        </w:tc>
        <w:tc>
          <w:tcPr>
            <w:tcW w:w="750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Head of Department on Waters, Ministry of Environment and Physical Planning (FYR Macedonia)</w:t>
            </w:r>
          </w:p>
        </w:tc>
      </w:tr>
      <w:tr w:rsidR="00E47796" w:rsidRPr="00E47796" w:rsidTr="00E47796">
        <w:tc>
          <w:tcPr>
            <w:tcW w:w="189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Sasko</w:t>
            </w:r>
            <w:r w:rsidR="00522AD6">
              <w:rPr>
                <w:rFonts w:asciiTheme="majorHAnsi" w:hAnsiTheme="majorHAnsi"/>
                <w:sz w:val="18"/>
                <w:szCs w:val="18"/>
              </w:rPr>
              <w:t xml:space="preserve"> </w:t>
            </w:r>
            <w:r w:rsidRPr="00E47796">
              <w:rPr>
                <w:rFonts w:asciiTheme="majorHAnsi" w:hAnsiTheme="majorHAnsi"/>
                <w:sz w:val="18"/>
                <w:szCs w:val="18"/>
              </w:rPr>
              <w:t>Jordanov</w:t>
            </w:r>
          </w:p>
        </w:tc>
        <w:tc>
          <w:tcPr>
            <w:tcW w:w="750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Head of Division for Nature Protection, Ministry of Environment and Physical Planning (FYR Macedonia)</w:t>
            </w:r>
          </w:p>
        </w:tc>
      </w:tr>
      <w:tr w:rsidR="00E47796" w:rsidRPr="00E47796" w:rsidTr="00E47796">
        <w:tc>
          <w:tcPr>
            <w:tcW w:w="189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Aleksandar</w:t>
            </w:r>
            <w:r w:rsidR="00522AD6">
              <w:rPr>
                <w:rFonts w:asciiTheme="majorHAnsi" w:hAnsiTheme="majorHAnsi"/>
                <w:sz w:val="18"/>
                <w:szCs w:val="18"/>
              </w:rPr>
              <w:t xml:space="preserve"> </w:t>
            </w:r>
            <w:r w:rsidRPr="00E47796">
              <w:rPr>
                <w:rFonts w:asciiTheme="majorHAnsi" w:hAnsiTheme="majorHAnsi"/>
                <w:sz w:val="18"/>
                <w:szCs w:val="18"/>
              </w:rPr>
              <w:t>Nastov</w:t>
            </w:r>
          </w:p>
        </w:tc>
        <w:tc>
          <w:tcPr>
            <w:tcW w:w="750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 xml:space="preserve">Head of Division for Biodiversity, MOEPP (Ministry of Environment and Physical Planning (FYR Macedonia) </w:t>
            </w:r>
          </w:p>
        </w:tc>
      </w:tr>
      <w:tr w:rsidR="00E47796" w:rsidRPr="00E47796" w:rsidTr="00E47796">
        <w:tc>
          <w:tcPr>
            <w:tcW w:w="189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Svetozar Petkovski</w:t>
            </w:r>
          </w:p>
        </w:tc>
        <w:tc>
          <w:tcPr>
            <w:tcW w:w="750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Consultant to Ministry of Environment and Physical Planning (FYR Macedonia) on Biodiversity, Ezerany Study</w:t>
            </w:r>
          </w:p>
        </w:tc>
      </w:tr>
      <w:tr w:rsidR="00E47796" w:rsidRPr="00E47796" w:rsidTr="00E47796">
        <w:tc>
          <w:tcPr>
            <w:tcW w:w="1890" w:type="dxa"/>
          </w:tcPr>
          <w:p w:rsidR="00377CD5" w:rsidRPr="00E47796" w:rsidRDefault="00377CD5" w:rsidP="00522AD6">
            <w:pPr>
              <w:rPr>
                <w:rFonts w:asciiTheme="majorHAnsi" w:hAnsiTheme="majorHAnsi"/>
                <w:sz w:val="18"/>
                <w:szCs w:val="18"/>
              </w:rPr>
            </w:pPr>
            <w:r w:rsidRPr="00E47796">
              <w:rPr>
                <w:rFonts w:asciiTheme="majorHAnsi" w:hAnsiTheme="majorHAnsi"/>
                <w:sz w:val="18"/>
                <w:szCs w:val="18"/>
              </w:rPr>
              <w:t>Spyros Plessas (</w:t>
            </w:r>
            <w:r w:rsidR="00522AD6">
              <w:rPr>
                <w:rFonts w:asciiTheme="majorHAnsi" w:hAnsiTheme="majorHAnsi"/>
                <w:sz w:val="18"/>
                <w:szCs w:val="18"/>
              </w:rPr>
              <w:t>email</w:t>
            </w:r>
            <w:r w:rsidRPr="00E47796">
              <w:rPr>
                <w:rFonts w:asciiTheme="majorHAnsi" w:hAnsiTheme="majorHAnsi"/>
                <w:sz w:val="18"/>
                <w:szCs w:val="18"/>
              </w:rPr>
              <w:t>)</w:t>
            </w:r>
          </w:p>
        </w:tc>
        <w:tc>
          <w:tcPr>
            <w:tcW w:w="750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Head of Department of Management of Natural Environment, Ministry of Environment, Greece</w:t>
            </w:r>
          </w:p>
        </w:tc>
      </w:tr>
      <w:tr w:rsidR="00E47796" w:rsidRPr="00E47796" w:rsidTr="00E47796">
        <w:tc>
          <w:tcPr>
            <w:tcW w:w="1890" w:type="dxa"/>
            <w:shd w:val="clear" w:color="auto" w:fill="auto"/>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Pellumb Abeshi</w:t>
            </w:r>
          </w:p>
        </w:tc>
        <w:tc>
          <w:tcPr>
            <w:tcW w:w="7504" w:type="dxa"/>
            <w:shd w:val="clear" w:color="auto" w:fill="auto"/>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 xml:space="preserve">Ministry of Environment, Forestry and Water Administration (MoEFWA) – General Director and Chairman of Management Committee, Albania </w:t>
            </w:r>
          </w:p>
        </w:tc>
      </w:tr>
      <w:tr w:rsidR="00E47796" w:rsidRPr="00E47796" w:rsidTr="00E47796">
        <w:tc>
          <w:tcPr>
            <w:tcW w:w="189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Nihat Dragoti</w:t>
            </w:r>
          </w:p>
        </w:tc>
        <w:tc>
          <w:tcPr>
            <w:tcW w:w="7504" w:type="dxa"/>
          </w:tcPr>
          <w:p w:rsidR="00377CD5" w:rsidRPr="00E47796" w:rsidRDefault="00377CD5" w:rsidP="00981CE9">
            <w:pPr>
              <w:rPr>
                <w:rFonts w:asciiTheme="majorHAnsi" w:hAnsiTheme="majorHAnsi"/>
                <w:sz w:val="18"/>
                <w:szCs w:val="18"/>
              </w:rPr>
            </w:pPr>
            <w:r w:rsidRPr="00E47796">
              <w:rPr>
                <w:rFonts w:asciiTheme="majorHAnsi" w:hAnsiTheme="majorHAnsi"/>
                <w:sz w:val="18"/>
                <w:szCs w:val="18"/>
              </w:rPr>
              <w:t xml:space="preserve">MoEFWa – Head of PA section, Albania </w:t>
            </w:r>
          </w:p>
        </w:tc>
      </w:tr>
      <w:tr w:rsidR="00E47796" w:rsidRPr="00E47796" w:rsidTr="00E47796">
        <w:tc>
          <w:tcPr>
            <w:tcW w:w="189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Elvana Ramaj</w:t>
            </w:r>
          </w:p>
        </w:tc>
        <w:tc>
          <w:tcPr>
            <w:tcW w:w="750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 xml:space="preserve">MoEFWA – Biodiversity specialist, Albania  </w:t>
            </w:r>
          </w:p>
        </w:tc>
      </w:tr>
      <w:tr w:rsidR="00E47796" w:rsidRPr="00E47796" w:rsidTr="00E47796">
        <w:tc>
          <w:tcPr>
            <w:tcW w:w="189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Jadranka Ivanova</w:t>
            </w:r>
          </w:p>
        </w:tc>
        <w:tc>
          <w:tcPr>
            <w:tcW w:w="750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Ministry of Environment and Physical Planning</w:t>
            </w:r>
          </w:p>
        </w:tc>
      </w:tr>
    </w:tbl>
    <w:p w:rsidR="00E47796" w:rsidRDefault="00E47796" w:rsidP="00E47796">
      <w:pPr>
        <w:rPr>
          <w:rFonts w:asciiTheme="majorHAnsi" w:hAnsiTheme="majorHAnsi"/>
          <w:sz w:val="18"/>
          <w:szCs w:val="18"/>
        </w:rPr>
      </w:pPr>
    </w:p>
    <w:p w:rsidR="00377CD5" w:rsidRPr="00E47796" w:rsidRDefault="00377CD5" w:rsidP="00E47796">
      <w:pPr>
        <w:rPr>
          <w:rFonts w:asciiTheme="majorHAnsi" w:hAnsiTheme="majorHAnsi"/>
          <w:sz w:val="18"/>
          <w:szCs w:val="18"/>
        </w:rPr>
      </w:pPr>
      <w:r w:rsidRPr="00E47796">
        <w:rPr>
          <w:rFonts w:asciiTheme="majorHAnsi" w:hAnsiTheme="majorHAnsi"/>
          <w:sz w:val="18"/>
          <w:szCs w:val="18"/>
        </w:rPr>
        <w:t xml:space="preserve">Local Administration </w:t>
      </w:r>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7414"/>
      </w:tblGrid>
      <w:tr w:rsidR="00E47796" w:rsidRPr="00E47796" w:rsidTr="0089284E">
        <w:tc>
          <w:tcPr>
            <w:tcW w:w="198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Sasko Andreevski</w:t>
            </w:r>
          </w:p>
        </w:tc>
        <w:tc>
          <w:tcPr>
            <w:tcW w:w="741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Head of local Ministry of Agriculture, Forestry and Water Economy, Resen (FYR Macedonia)</w:t>
            </w:r>
          </w:p>
        </w:tc>
      </w:tr>
      <w:tr w:rsidR="00E47796" w:rsidRPr="00E47796" w:rsidTr="0089284E">
        <w:trPr>
          <w:trHeight w:val="522"/>
        </w:trPr>
        <w:tc>
          <w:tcPr>
            <w:tcW w:w="198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Ayman Al-Malla</w:t>
            </w:r>
          </w:p>
        </w:tc>
        <w:tc>
          <w:tcPr>
            <w:tcW w:w="741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Head of Local Economic Development at Municipality of Resen</w:t>
            </w:r>
          </w:p>
        </w:tc>
      </w:tr>
      <w:tr w:rsidR="00E47796" w:rsidRPr="00E47796" w:rsidTr="0089284E">
        <w:tc>
          <w:tcPr>
            <w:tcW w:w="198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Mihail Volkanovski</w:t>
            </w:r>
          </w:p>
        </w:tc>
        <w:tc>
          <w:tcPr>
            <w:tcW w:w="741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Mayor of Municipality of Resen</w:t>
            </w:r>
          </w:p>
        </w:tc>
      </w:tr>
      <w:tr w:rsidR="00E47796" w:rsidRPr="00E47796" w:rsidTr="0089284E">
        <w:tc>
          <w:tcPr>
            <w:tcW w:w="198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Adriana Georgievska</w:t>
            </w:r>
          </w:p>
        </w:tc>
        <w:tc>
          <w:tcPr>
            <w:tcW w:w="741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Environmental Inspector, Sector of Urban Planning, Environmental and Planning Services, Municipality of Resen (FYR Macedonia)</w:t>
            </w:r>
          </w:p>
        </w:tc>
      </w:tr>
      <w:tr w:rsidR="00E47796" w:rsidRPr="00E47796" w:rsidTr="0089284E">
        <w:tc>
          <w:tcPr>
            <w:tcW w:w="198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Muzafer Murati</w:t>
            </w:r>
          </w:p>
        </w:tc>
        <w:tc>
          <w:tcPr>
            <w:tcW w:w="741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Director of Public Enterprise “Proleter”, Resen (FYR Macedonia)</w:t>
            </w:r>
          </w:p>
        </w:tc>
      </w:tr>
      <w:tr w:rsidR="00E47796" w:rsidRPr="00E47796" w:rsidTr="0089284E">
        <w:tc>
          <w:tcPr>
            <w:tcW w:w="198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Vasilis Tsapas</w:t>
            </w:r>
          </w:p>
        </w:tc>
        <w:tc>
          <w:tcPr>
            <w:tcW w:w="741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Mayor of Municipality of Prespa (Greece)</w:t>
            </w:r>
          </w:p>
        </w:tc>
      </w:tr>
      <w:tr w:rsidR="00E47796" w:rsidRPr="00E47796" w:rsidTr="0089284E">
        <w:tc>
          <w:tcPr>
            <w:tcW w:w="198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Yannis Kazoglou</w:t>
            </w:r>
          </w:p>
        </w:tc>
        <w:tc>
          <w:tcPr>
            <w:tcW w:w="741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Advisor, Municipality of Prespa, Greece</w:t>
            </w:r>
          </w:p>
        </w:tc>
      </w:tr>
      <w:tr w:rsidR="00E47796" w:rsidRPr="00E47796" w:rsidTr="0089284E">
        <w:tc>
          <w:tcPr>
            <w:tcW w:w="1980" w:type="dxa"/>
            <w:tcBorders>
              <w:top w:val="single" w:sz="4" w:space="0" w:color="auto"/>
              <w:left w:val="single" w:sz="4" w:space="0" w:color="auto"/>
              <w:bottom w:val="single" w:sz="4" w:space="0" w:color="auto"/>
              <w:right w:val="single" w:sz="4" w:space="0" w:color="auto"/>
            </w:tcBorders>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Edmond Themelko</w:t>
            </w:r>
          </w:p>
        </w:tc>
        <w:tc>
          <w:tcPr>
            <w:tcW w:w="7414" w:type="dxa"/>
            <w:tcBorders>
              <w:top w:val="single" w:sz="4" w:space="0" w:color="auto"/>
              <w:left w:val="single" w:sz="4" w:space="0" w:color="auto"/>
              <w:bottom w:val="single" w:sz="4" w:space="0" w:color="auto"/>
              <w:right w:val="single" w:sz="4" w:space="0" w:color="auto"/>
            </w:tcBorders>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Mayor of Liqenas Commune (Albania)</w:t>
            </w:r>
          </w:p>
        </w:tc>
      </w:tr>
      <w:tr w:rsidR="00E47796" w:rsidRPr="00E47796" w:rsidTr="0089284E">
        <w:tc>
          <w:tcPr>
            <w:tcW w:w="1980" w:type="dxa"/>
            <w:tcBorders>
              <w:top w:val="single" w:sz="4" w:space="0" w:color="auto"/>
              <w:left w:val="single" w:sz="4" w:space="0" w:color="auto"/>
              <w:bottom w:val="single" w:sz="4" w:space="0" w:color="auto"/>
              <w:right w:val="single" w:sz="4" w:space="0" w:color="auto"/>
            </w:tcBorders>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Artur Agolli</w:t>
            </w:r>
          </w:p>
        </w:tc>
        <w:tc>
          <w:tcPr>
            <w:tcW w:w="7414" w:type="dxa"/>
            <w:tcBorders>
              <w:top w:val="single" w:sz="4" w:space="0" w:color="auto"/>
              <w:left w:val="single" w:sz="4" w:space="0" w:color="auto"/>
              <w:bottom w:val="single" w:sz="4" w:space="0" w:color="auto"/>
              <w:right w:val="single" w:sz="4" w:space="0" w:color="auto"/>
            </w:tcBorders>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Mayor of Proger (Albania)</w:t>
            </w:r>
          </w:p>
        </w:tc>
      </w:tr>
      <w:tr w:rsidR="00E47796" w:rsidRPr="00E47796" w:rsidTr="0089284E">
        <w:tc>
          <w:tcPr>
            <w:tcW w:w="1980" w:type="dxa"/>
            <w:tcBorders>
              <w:top w:val="single" w:sz="4" w:space="0" w:color="auto"/>
              <w:left w:val="single" w:sz="4" w:space="0" w:color="auto"/>
              <w:bottom w:val="single" w:sz="4" w:space="0" w:color="auto"/>
              <w:right w:val="single" w:sz="4" w:space="0" w:color="auto"/>
            </w:tcBorders>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Pellump Hoxha</w:t>
            </w:r>
          </w:p>
        </w:tc>
        <w:tc>
          <w:tcPr>
            <w:tcW w:w="7414" w:type="dxa"/>
            <w:tcBorders>
              <w:top w:val="single" w:sz="4" w:space="0" w:color="auto"/>
              <w:left w:val="single" w:sz="4" w:space="0" w:color="auto"/>
              <w:bottom w:val="single" w:sz="4" w:space="0" w:color="auto"/>
              <w:right w:val="single" w:sz="4" w:space="0" w:color="auto"/>
            </w:tcBorders>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Fishery inspectorate (Albania)</w:t>
            </w:r>
          </w:p>
        </w:tc>
      </w:tr>
    </w:tbl>
    <w:p w:rsidR="00E47796" w:rsidRDefault="00E47796" w:rsidP="00E47796">
      <w:pPr>
        <w:rPr>
          <w:rFonts w:asciiTheme="majorHAnsi" w:hAnsiTheme="majorHAnsi"/>
          <w:sz w:val="18"/>
          <w:szCs w:val="18"/>
        </w:rPr>
      </w:pPr>
    </w:p>
    <w:p w:rsidR="00377CD5" w:rsidRPr="00E47796" w:rsidRDefault="00377CD5" w:rsidP="00E47796">
      <w:pPr>
        <w:rPr>
          <w:rFonts w:asciiTheme="majorHAnsi" w:hAnsiTheme="majorHAnsi"/>
          <w:sz w:val="18"/>
          <w:szCs w:val="18"/>
        </w:rPr>
      </w:pPr>
      <w:r w:rsidRPr="00E47796">
        <w:rPr>
          <w:rFonts w:asciiTheme="majorHAnsi" w:hAnsiTheme="majorHAnsi"/>
          <w:sz w:val="18"/>
          <w:szCs w:val="18"/>
        </w:rPr>
        <w:t>International Organisations/Donors</w:t>
      </w:r>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514"/>
      </w:tblGrid>
      <w:tr w:rsidR="00377CD5" w:rsidRPr="00E47796" w:rsidTr="0089284E">
        <w:tc>
          <w:tcPr>
            <w:tcW w:w="288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Stanislava</w:t>
            </w:r>
            <w:r w:rsidR="00522AD6">
              <w:rPr>
                <w:rFonts w:asciiTheme="majorHAnsi" w:hAnsiTheme="majorHAnsi"/>
                <w:sz w:val="18"/>
                <w:szCs w:val="18"/>
              </w:rPr>
              <w:t xml:space="preserve"> </w:t>
            </w:r>
            <w:r w:rsidRPr="00E47796">
              <w:rPr>
                <w:rFonts w:asciiTheme="majorHAnsi" w:hAnsiTheme="majorHAnsi"/>
                <w:sz w:val="18"/>
                <w:szCs w:val="18"/>
              </w:rPr>
              <w:t>Dodeva</w:t>
            </w:r>
          </w:p>
        </w:tc>
        <w:tc>
          <w:tcPr>
            <w:tcW w:w="651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National Programme Officer, Swiss Agency for Development and Cooperation</w:t>
            </w:r>
          </w:p>
        </w:tc>
      </w:tr>
      <w:tr w:rsidR="00377CD5" w:rsidRPr="00E47796" w:rsidTr="0089284E">
        <w:tc>
          <w:tcPr>
            <w:tcW w:w="2880" w:type="dxa"/>
          </w:tcPr>
          <w:p w:rsidR="00377CD5" w:rsidRPr="00E47796" w:rsidRDefault="00377CD5" w:rsidP="00E47796">
            <w:pPr>
              <w:rPr>
                <w:rFonts w:asciiTheme="majorHAnsi" w:hAnsiTheme="majorHAnsi"/>
                <w:bCs/>
                <w:sz w:val="18"/>
                <w:szCs w:val="18"/>
              </w:rPr>
            </w:pPr>
            <w:r w:rsidRPr="00E47796">
              <w:rPr>
                <w:rFonts w:asciiTheme="majorHAnsi" w:hAnsiTheme="majorHAnsi"/>
                <w:bCs/>
                <w:sz w:val="18"/>
                <w:szCs w:val="18"/>
              </w:rPr>
              <w:t>Thimaq Lako / Spase Shumka</w:t>
            </w:r>
          </w:p>
        </w:tc>
        <w:tc>
          <w:tcPr>
            <w:tcW w:w="6514" w:type="dxa"/>
          </w:tcPr>
          <w:p w:rsidR="00377CD5" w:rsidRPr="00E47796" w:rsidRDefault="00377CD5" w:rsidP="00E47796">
            <w:pPr>
              <w:rPr>
                <w:rFonts w:asciiTheme="majorHAnsi" w:hAnsiTheme="majorHAnsi"/>
                <w:bCs/>
                <w:sz w:val="18"/>
                <w:szCs w:val="18"/>
              </w:rPr>
            </w:pPr>
            <w:r w:rsidRPr="00E47796">
              <w:rPr>
                <w:rFonts w:asciiTheme="majorHAnsi" w:hAnsiTheme="majorHAnsi"/>
                <w:bCs/>
                <w:sz w:val="18"/>
                <w:szCs w:val="18"/>
              </w:rPr>
              <w:t>KfW Project</w:t>
            </w:r>
          </w:p>
        </w:tc>
      </w:tr>
      <w:tr w:rsidR="00377CD5" w:rsidRPr="00E47796" w:rsidTr="0089284E">
        <w:tc>
          <w:tcPr>
            <w:tcW w:w="2880" w:type="dxa"/>
          </w:tcPr>
          <w:p w:rsidR="00377CD5" w:rsidRPr="00E47796" w:rsidRDefault="00377CD5" w:rsidP="00E47796">
            <w:pPr>
              <w:rPr>
                <w:rFonts w:asciiTheme="majorHAnsi" w:hAnsiTheme="majorHAnsi"/>
                <w:sz w:val="18"/>
                <w:szCs w:val="18"/>
              </w:rPr>
            </w:pPr>
            <w:r w:rsidRPr="00E47796">
              <w:rPr>
                <w:rFonts w:asciiTheme="majorHAnsi" w:hAnsiTheme="majorHAnsi"/>
                <w:bCs/>
                <w:sz w:val="18"/>
                <w:szCs w:val="18"/>
              </w:rPr>
              <w:t>Miltos Gletsos (Skype or Telephone)</w:t>
            </w:r>
          </w:p>
        </w:tc>
        <w:tc>
          <w:tcPr>
            <w:tcW w:w="6514" w:type="dxa"/>
          </w:tcPr>
          <w:p w:rsidR="00377CD5" w:rsidRPr="00E47796" w:rsidRDefault="00377CD5" w:rsidP="00E47796">
            <w:pPr>
              <w:rPr>
                <w:rFonts w:asciiTheme="majorHAnsi" w:hAnsiTheme="majorHAnsi"/>
                <w:sz w:val="18"/>
                <w:szCs w:val="18"/>
              </w:rPr>
            </w:pPr>
            <w:r w:rsidRPr="00E47796">
              <w:rPr>
                <w:rFonts w:asciiTheme="majorHAnsi" w:hAnsiTheme="majorHAnsi"/>
                <w:bCs/>
                <w:sz w:val="18"/>
                <w:szCs w:val="18"/>
              </w:rPr>
              <w:t>Worldwide Fund for Nature-GR /</w:t>
            </w:r>
            <w:r w:rsidRPr="00E47796">
              <w:rPr>
                <w:rFonts w:asciiTheme="majorHAnsi" w:hAnsiTheme="majorHAnsi"/>
                <w:sz w:val="18"/>
                <w:szCs w:val="18"/>
              </w:rPr>
              <w:t xml:space="preserve"> Society for the Protection of Prespa </w:t>
            </w:r>
            <w:r w:rsidRPr="00E47796">
              <w:rPr>
                <w:rFonts w:asciiTheme="majorHAnsi" w:hAnsiTheme="majorHAnsi"/>
                <w:bCs/>
                <w:sz w:val="18"/>
                <w:szCs w:val="18"/>
              </w:rPr>
              <w:t>Transboundary Monitoring Project Coordinator</w:t>
            </w:r>
          </w:p>
        </w:tc>
      </w:tr>
    </w:tbl>
    <w:p w:rsidR="00522AD6" w:rsidRDefault="00522AD6" w:rsidP="00E47796">
      <w:pPr>
        <w:rPr>
          <w:rFonts w:asciiTheme="majorHAnsi" w:hAnsiTheme="majorHAnsi"/>
          <w:sz w:val="18"/>
          <w:szCs w:val="18"/>
        </w:rPr>
      </w:pPr>
    </w:p>
    <w:p w:rsidR="00377CD5" w:rsidRPr="00E47796" w:rsidRDefault="00377CD5" w:rsidP="00E47796">
      <w:pPr>
        <w:rPr>
          <w:rFonts w:asciiTheme="majorHAnsi" w:hAnsiTheme="majorHAnsi"/>
          <w:sz w:val="18"/>
          <w:szCs w:val="18"/>
        </w:rPr>
      </w:pPr>
      <w:r w:rsidRPr="00E47796">
        <w:rPr>
          <w:rFonts w:asciiTheme="majorHAnsi" w:hAnsiTheme="majorHAnsi"/>
          <w:sz w:val="18"/>
          <w:szCs w:val="18"/>
        </w:rPr>
        <w:t>NGOs</w:t>
      </w:r>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7414"/>
      </w:tblGrid>
      <w:tr w:rsidR="00E47796" w:rsidRPr="00E47796" w:rsidTr="0089284E">
        <w:tc>
          <w:tcPr>
            <w:tcW w:w="198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Sonia Fuzevska</w:t>
            </w:r>
          </w:p>
        </w:tc>
        <w:tc>
          <w:tcPr>
            <w:tcW w:w="7414" w:type="dxa"/>
          </w:tcPr>
          <w:p w:rsidR="00377CD5" w:rsidRPr="00E47796" w:rsidRDefault="00377CD5" w:rsidP="00E47796">
            <w:pPr>
              <w:rPr>
                <w:rFonts w:asciiTheme="majorHAnsi" w:hAnsiTheme="majorHAnsi"/>
                <w:sz w:val="18"/>
                <w:szCs w:val="18"/>
                <w:highlight w:val="yellow"/>
              </w:rPr>
            </w:pPr>
            <w:r w:rsidRPr="00E47796">
              <w:rPr>
                <w:rFonts w:asciiTheme="majorHAnsi" w:hAnsiTheme="majorHAnsi"/>
                <w:sz w:val="18"/>
                <w:szCs w:val="18"/>
              </w:rPr>
              <w:t>President of the NGO Coalition for Perspective Prespa Region (FYR Macedonia)</w:t>
            </w:r>
          </w:p>
        </w:tc>
      </w:tr>
      <w:tr w:rsidR="00E47796" w:rsidRPr="00E47796" w:rsidTr="0089284E">
        <w:tc>
          <w:tcPr>
            <w:tcW w:w="198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Frosina Gorgievski</w:t>
            </w:r>
          </w:p>
        </w:tc>
        <w:tc>
          <w:tcPr>
            <w:tcW w:w="741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Laboratory Manager of Union of Agricultural Producers</w:t>
            </w:r>
          </w:p>
        </w:tc>
      </w:tr>
      <w:tr w:rsidR="00E47796" w:rsidRPr="00E47796" w:rsidTr="0089284E">
        <w:tc>
          <w:tcPr>
            <w:tcW w:w="198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Vasil Jankulla</w:t>
            </w:r>
          </w:p>
        </w:tc>
        <w:tc>
          <w:tcPr>
            <w:tcW w:w="741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Head of NGO “Association of Forest and Pasture Users of Prespa” (Albania)</w:t>
            </w:r>
          </w:p>
        </w:tc>
      </w:tr>
      <w:tr w:rsidR="00E47796" w:rsidRPr="00E47796" w:rsidTr="0089284E">
        <w:tc>
          <w:tcPr>
            <w:tcW w:w="198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YlliKape</w:t>
            </w:r>
          </w:p>
        </w:tc>
        <w:tc>
          <w:tcPr>
            <w:tcW w:w="741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Head of “Fisherman’s Association of Small Prespa” (Albania)</w:t>
            </w:r>
          </w:p>
        </w:tc>
      </w:tr>
      <w:tr w:rsidR="00E47796" w:rsidRPr="00E47796" w:rsidTr="0089284E">
        <w:tc>
          <w:tcPr>
            <w:tcW w:w="198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Mihallaq Qirjo</w:t>
            </w:r>
          </w:p>
        </w:tc>
        <w:tc>
          <w:tcPr>
            <w:tcW w:w="741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REC Albania</w:t>
            </w:r>
          </w:p>
        </w:tc>
      </w:tr>
      <w:tr w:rsidR="00E47796" w:rsidRPr="00E47796" w:rsidTr="0089284E">
        <w:tc>
          <w:tcPr>
            <w:tcW w:w="198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Koco Trajce</w:t>
            </w:r>
          </w:p>
        </w:tc>
        <w:tc>
          <w:tcPr>
            <w:tcW w:w="741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OFM Korca</w:t>
            </w:r>
          </w:p>
        </w:tc>
      </w:tr>
      <w:tr w:rsidR="00E47796" w:rsidRPr="00E47796" w:rsidTr="0089284E">
        <w:tc>
          <w:tcPr>
            <w:tcW w:w="1980" w:type="dxa"/>
          </w:tcPr>
          <w:p w:rsidR="00377CD5" w:rsidRPr="00E47796" w:rsidRDefault="00377CD5" w:rsidP="00981CE9">
            <w:pPr>
              <w:rPr>
                <w:rFonts w:asciiTheme="majorHAnsi" w:hAnsiTheme="majorHAnsi"/>
                <w:sz w:val="18"/>
                <w:szCs w:val="18"/>
              </w:rPr>
            </w:pPr>
            <w:r w:rsidRPr="00E47796">
              <w:rPr>
                <w:rFonts w:asciiTheme="majorHAnsi" w:hAnsiTheme="majorHAnsi"/>
                <w:sz w:val="18"/>
                <w:szCs w:val="18"/>
              </w:rPr>
              <w:t>Sulejman Sulce</w:t>
            </w:r>
          </w:p>
        </w:tc>
        <w:tc>
          <w:tcPr>
            <w:tcW w:w="741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RCRD, Tirana</w:t>
            </w:r>
          </w:p>
        </w:tc>
      </w:tr>
      <w:tr w:rsidR="00E47796" w:rsidRPr="00E47796" w:rsidTr="0089284E">
        <w:tc>
          <w:tcPr>
            <w:tcW w:w="198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Zamir Dedei</w:t>
            </w:r>
          </w:p>
        </w:tc>
        <w:tc>
          <w:tcPr>
            <w:tcW w:w="741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INCA, Tirana</w:t>
            </w:r>
          </w:p>
        </w:tc>
      </w:tr>
      <w:tr w:rsidR="00E47796" w:rsidRPr="00E47796" w:rsidTr="0089284E">
        <w:tc>
          <w:tcPr>
            <w:tcW w:w="198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Ferdi Bego</w:t>
            </w:r>
          </w:p>
        </w:tc>
        <w:tc>
          <w:tcPr>
            <w:tcW w:w="741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 xml:space="preserve">Mammals association </w:t>
            </w:r>
          </w:p>
        </w:tc>
      </w:tr>
      <w:tr w:rsidR="00E47796" w:rsidRPr="00E47796" w:rsidTr="0089284E">
        <w:tc>
          <w:tcPr>
            <w:tcW w:w="198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Nevruz Shkembi</w:t>
            </w:r>
          </w:p>
        </w:tc>
        <w:tc>
          <w:tcPr>
            <w:tcW w:w="7414" w:type="dxa"/>
          </w:tcPr>
          <w:p w:rsidR="00377CD5" w:rsidRPr="00E47796" w:rsidRDefault="00377CD5" w:rsidP="00981CE9">
            <w:pPr>
              <w:rPr>
                <w:rFonts w:asciiTheme="majorHAnsi" w:hAnsiTheme="majorHAnsi"/>
                <w:sz w:val="18"/>
                <w:szCs w:val="18"/>
              </w:rPr>
            </w:pPr>
            <w:r w:rsidRPr="00E47796">
              <w:rPr>
                <w:rFonts w:asciiTheme="majorHAnsi" w:hAnsiTheme="majorHAnsi"/>
                <w:sz w:val="18"/>
                <w:szCs w:val="18"/>
              </w:rPr>
              <w:t xml:space="preserve">Farmers associations </w:t>
            </w:r>
          </w:p>
        </w:tc>
      </w:tr>
      <w:tr w:rsidR="00E47796" w:rsidRPr="00E47796" w:rsidTr="0089284E">
        <w:tc>
          <w:tcPr>
            <w:tcW w:w="198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Valentina Vurmo</w:t>
            </w:r>
          </w:p>
        </w:tc>
        <w:tc>
          <w:tcPr>
            <w:tcW w:w="741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 xml:space="preserve">Woman/ tourist associations </w:t>
            </w:r>
          </w:p>
        </w:tc>
      </w:tr>
      <w:tr w:rsidR="00E47796" w:rsidRPr="00E47796" w:rsidTr="0089284E">
        <w:tc>
          <w:tcPr>
            <w:tcW w:w="198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Ljupco Krstevski</w:t>
            </w:r>
          </w:p>
        </w:tc>
        <w:tc>
          <w:tcPr>
            <w:tcW w:w="741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Natural Capital Resource Center</w:t>
            </w:r>
          </w:p>
        </w:tc>
      </w:tr>
      <w:tr w:rsidR="00E47796" w:rsidRPr="00E47796" w:rsidTr="0089284E">
        <w:tc>
          <w:tcPr>
            <w:tcW w:w="198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Maja</w:t>
            </w:r>
          </w:p>
        </w:tc>
        <w:tc>
          <w:tcPr>
            <w:tcW w:w="741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Natural Capital Resource Center</w:t>
            </w:r>
          </w:p>
        </w:tc>
      </w:tr>
      <w:tr w:rsidR="00E47796" w:rsidRPr="00E47796" w:rsidTr="0089284E">
        <w:tc>
          <w:tcPr>
            <w:tcW w:w="198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Myrsini Malakou</w:t>
            </w:r>
          </w:p>
        </w:tc>
        <w:tc>
          <w:tcPr>
            <w:tcW w:w="741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Director Society for the Protection of Prespa</w:t>
            </w:r>
          </w:p>
        </w:tc>
      </w:tr>
      <w:tr w:rsidR="00E47796" w:rsidRPr="00E47796" w:rsidTr="0089284E">
        <w:tc>
          <w:tcPr>
            <w:tcW w:w="198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Vivi Roumeliotov</w:t>
            </w:r>
          </w:p>
        </w:tc>
        <w:tc>
          <w:tcPr>
            <w:tcW w:w="7414" w:type="dxa"/>
          </w:tcPr>
          <w:p w:rsidR="00377CD5" w:rsidRPr="00E47796" w:rsidRDefault="00377CD5" w:rsidP="00E47796">
            <w:pPr>
              <w:rPr>
                <w:rFonts w:asciiTheme="majorHAnsi" w:hAnsiTheme="majorHAnsi"/>
                <w:sz w:val="18"/>
                <w:szCs w:val="18"/>
              </w:rPr>
            </w:pPr>
            <w:r w:rsidRPr="00E47796">
              <w:rPr>
                <w:rFonts w:asciiTheme="majorHAnsi" w:hAnsiTheme="majorHAnsi"/>
                <w:iCs/>
                <w:sz w:val="18"/>
                <w:szCs w:val="18"/>
              </w:rPr>
              <w:t>Policy and Sustainable Development Coordinator</w:t>
            </w:r>
            <w:r w:rsidRPr="00E47796">
              <w:rPr>
                <w:rFonts w:asciiTheme="majorHAnsi" w:hAnsiTheme="majorHAnsi"/>
                <w:sz w:val="18"/>
                <w:szCs w:val="18"/>
              </w:rPr>
              <w:t>, Society for the Protection of Prespa</w:t>
            </w:r>
          </w:p>
        </w:tc>
      </w:tr>
      <w:tr w:rsidR="00E47796" w:rsidRPr="00E47796" w:rsidTr="0089284E">
        <w:tc>
          <w:tcPr>
            <w:tcW w:w="198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Stevce Radevski</w:t>
            </w:r>
          </w:p>
        </w:tc>
        <w:tc>
          <w:tcPr>
            <w:tcW w:w="7414" w:type="dxa"/>
          </w:tcPr>
          <w:p w:rsidR="00377CD5" w:rsidRPr="00E47796" w:rsidRDefault="00377CD5" w:rsidP="00981CE9">
            <w:pPr>
              <w:rPr>
                <w:rFonts w:asciiTheme="majorHAnsi" w:hAnsiTheme="majorHAnsi"/>
                <w:sz w:val="18"/>
                <w:szCs w:val="18"/>
                <w:highlight w:val="yellow"/>
              </w:rPr>
            </w:pPr>
            <w:r w:rsidRPr="00E47796">
              <w:rPr>
                <w:rFonts w:asciiTheme="majorHAnsi" w:hAnsiTheme="majorHAnsi"/>
                <w:sz w:val="18"/>
                <w:szCs w:val="18"/>
              </w:rPr>
              <w:t xml:space="preserve">President of Union of Agricultural Producers </w:t>
            </w:r>
          </w:p>
        </w:tc>
      </w:tr>
      <w:tr w:rsidR="00E47796" w:rsidRPr="00E47796" w:rsidTr="0089284E">
        <w:tc>
          <w:tcPr>
            <w:tcW w:w="198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Sali Zulal</w:t>
            </w:r>
          </w:p>
        </w:tc>
        <w:tc>
          <w:tcPr>
            <w:tcW w:w="741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President of Fisherman’s Association “PrespanskiKrap” (FYR Macedonia)</w:t>
            </w:r>
          </w:p>
        </w:tc>
      </w:tr>
    </w:tbl>
    <w:p w:rsidR="00522AD6" w:rsidRDefault="00522AD6" w:rsidP="00E47796">
      <w:pPr>
        <w:rPr>
          <w:rFonts w:asciiTheme="majorHAnsi" w:hAnsiTheme="majorHAnsi"/>
          <w:sz w:val="18"/>
          <w:szCs w:val="18"/>
        </w:rPr>
      </w:pPr>
    </w:p>
    <w:p w:rsidR="00377CD5" w:rsidRPr="00E47796" w:rsidRDefault="00377CD5" w:rsidP="00E47796">
      <w:pPr>
        <w:rPr>
          <w:rFonts w:asciiTheme="majorHAnsi" w:hAnsiTheme="majorHAnsi"/>
          <w:sz w:val="18"/>
          <w:szCs w:val="18"/>
        </w:rPr>
      </w:pPr>
      <w:r w:rsidRPr="00E47796">
        <w:rPr>
          <w:rFonts w:asciiTheme="majorHAnsi" w:hAnsiTheme="majorHAnsi"/>
          <w:sz w:val="18"/>
          <w:szCs w:val="18"/>
        </w:rPr>
        <w:t xml:space="preserve">Protected Areas </w:t>
      </w:r>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0"/>
        <w:gridCol w:w="6424"/>
      </w:tblGrid>
      <w:tr w:rsidR="00E47796" w:rsidRPr="00E47796" w:rsidTr="00E47796">
        <w:tc>
          <w:tcPr>
            <w:tcW w:w="297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Olsi Duma</w:t>
            </w:r>
          </w:p>
        </w:tc>
        <w:tc>
          <w:tcPr>
            <w:tcW w:w="642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 xml:space="preserve">Director of Prespa National Park (Albania) </w:t>
            </w:r>
          </w:p>
        </w:tc>
      </w:tr>
      <w:tr w:rsidR="00E47796" w:rsidRPr="00E47796" w:rsidTr="00E47796">
        <w:tc>
          <w:tcPr>
            <w:tcW w:w="297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Vasil Male</w:t>
            </w:r>
          </w:p>
        </w:tc>
        <w:tc>
          <w:tcPr>
            <w:tcW w:w="642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Chief inspector Prespa National Park</w:t>
            </w:r>
          </w:p>
        </w:tc>
      </w:tr>
      <w:tr w:rsidR="00E47796" w:rsidRPr="00E47796" w:rsidTr="00E47796">
        <w:tc>
          <w:tcPr>
            <w:tcW w:w="297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Zoran</w:t>
            </w:r>
          </w:p>
        </w:tc>
        <w:tc>
          <w:tcPr>
            <w:tcW w:w="642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National Park Galicica</w:t>
            </w:r>
          </w:p>
        </w:tc>
      </w:tr>
      <w:tr w:rsidR="00E47796" w:rsidRPr="00E47796" w:rsidTr="00E47796">
        <w:tc>
          <w:tcPr>
            <w:tcW w:w="297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Naumce Noveski or Oliver Avramoski</w:t>
            </w:r>
          </w:p>
        </w:tc>
        <w:tc>
          <w:tcPr>
            <w:tcW w:w="642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National Park Galicica</w:t>
            </w:r>
          </w:p>
        </w:tc>
      </w:tr>
      <w:tr w:rsidR="00E47796" w:rsidRPr="00E47796" w:rsidTr="00E47796">
        <w:tc>
          <w:tcPr>
            <w:tcW w:w="2970"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Leto Papadopoulou (phone)</w:t>
            </w:r>
          </w:p>
        </w:tc>
        <w:tc>
          <w:tcPr>
            <w:tcW w:w="6424" w:type="dxa"/>
          </w:tcPr>
          <w:p w:rsidR="00377CD5" w:rsidRPr="00E47796" w:rsidRDefault="00377CD5" w:rsidP="00E47796">
            <w:pPr>
              <w:rPr>
                <w:rFonts w:asciiTheme="majorHAnsi" w:hAnsiTheme="majorHAnsi"/>
                <w:sz w:val="18"/>
                <w:szCs w:val="18"/>
              </w:rPr>
            </w:pPr>
            <w:r w:rsidRPr="00E47796">
              <w:rPr>
                <w:rFonts w:asciiTheme="majorHAnsi" w:hAnsiTheme="majorHAnsi"/>
                <w:sz w:val="18"/>
                <w:szCs w:val="18"/>
              </w:rPr>
              <w:t>Transboundary Officer, Prespa National Forest Management Board (Greece)</w:t>
            </w:r>
          </w:p>
        </w:tc>
      </w:tr>
    </w:tbl>
    <w:p w:rsidR="0042410E" w:rsidRPr="000A3C73" w:rsidRDefault="0042410E" w:rsidP="00503009">
      <w:pPr>
        <w:pStyle w:val="BodyText"/>
        <w:numPr>
          <w:ilvl w:val="0"/>
          <w:numId w:val="0"/>
        </w:numPr>
        <w:rPr>
          <w:b/>
        </w:rPr>
      </w:pPr>
    </w:p>
    <w:p w:rsidR="0079754D" w:rsidRPr="000A3C73" w:rsidRDefault="0079754D">
      <w:pPr>
        <w:rPr>
          <w:rFonts w:ascii="Calibri" w:hAnsi="Calibri"/>
          <w:b/>
        </w:rPr>
      </w:pPr>
      <w:r w:rsidRPr="000A3C73">
        <w:rPr>
          <w:b/>
        </w:rPr>
        <w:br w:type="page"/>
      </w:r>
    </w:p>
    <w:p w:rsidR="00503009" w:rsidRPr="0089284E" w:rsidRDefault="006A6E2F" w:rsidP="00503009">
      <w:pPr>
        <w:pStyle w:val="BodyText"/>
        <w:numPr>
          <w:ilvl w:val="0"/>
          <w:numId w:val="0"/>
        </w:numPr>
        <w:rPr>
          <w:b/>
        </w:rPr>
      </w:pPr>
      <w:r w:rsidRPr="0089284E">
        <w:rPr>
          <w:b/>
        </w:rPr>
        <w:t xml:space="preserve">Annex </w:t>
      </w:r>
      <w:r w:rsidR="00074643">
        <w:rPr>
          <w:b/>
        </w:rPr>
        <w:t>6</w:t>
      </w:r>
      <w:r w:rsidR="00503009" w:rsidRPr="0089284E">
        <w:rPr>
          <w:b/>
        </w:rPr>
        <w:t xml:space="preserve">. </w:t>
      </w:r>
      <w:r w:rsidR="00C1010D">
        <w:rPr>
          <w:b/>
        </w:rPr>
        <w:t xml:space="preserve">Prespa IEM Terminal </w:t>
      </w:r>
      <w:r w:rsidR="00503009" w:rsidRPr="0089284E">
        <w:rPr>
          <w:b/>
        </w:rPr>
        <w:t>Evaluation Field Visit Schedule</w:t>
      </w:r>
    </w:p>
    <w:p w:rsidR="005757E5" w:rsidRPr="000A3C73" w:rsidRDefault="005757E5" w:rsidP="00FF608B">
      <w:pPr>
        <w:pStyle w:val="BodyText"/>
        <w:numPr>
          <w:ilvl w:val="0"/>
          <w:numId w:val="0"/>
        </w:numPr>
        <w:rPr>
          <w:highlight w:val="yellow"/>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1039"/>
        <w:gridCol w:w="7573"/>
      </w:tblGrid>
      <w:tr w:rsidR="00B43AFE" w:rsidRPr="004B7788" w:rsidTr="004B7788">
        <w:tc>
          <w:tcPr>
            <w:tcW w:w="1998" w:type="dxa"/>
            <w:gridSpan w:val="2"/>
          </w:tcPr>
          <w:p w:rsidR="00B43AFE" w:rsidRPr="004B7788" w:rsidRDefault="00B43AFE" w:rsidP="004B7788">
            <w:pPr>
              <w:rPr>
                <w:rFonts w:asciiTheme="majorHAnsi" w:hAnsiTheme="majorHAnsi"/>
                <w:sz w:val="18"/>
                <w:szCs w:val="18"/>
              </w:rPr>
            </w:pPr>
            <w:r w:rsidRPr="004B7788">
              <w:rPr>
                <w:rFonts w:asciiTheme="majorHAnsi" w:hAnsiTheme="majorHAnsi"/>
                <w:sz w:val="18"/>
                <w:szCs w:val="18"/>
              </w:rPr>
              <w:t>Date</w:t>
            </w:r>
          </w:p>
        </w:tc>
        <w:tc>
          <w:tcPr>
            <w:tcW w:w="7573" w:type="dxa"/>
          </w:tcPr>
          <w:p w:rsidR="00B43AFE" w:rsidRPr="004B7788" w:rsidRDefault="00B43AFE" w:rsidP="004B7788">
            <w:pPr>
              <w:rPr>
                <w:rFonts w:asciiTheme="majorHAnsi" w:hAnsiTheme="majorHAnsi"/>
                <w:sz w:val="18"/>
                <w:szCs w:val="18"/>
              </w:rPr>
            </w:pPr>
          </w:p>
        </w:tc>
      </w:tr>
      <w:tr w:rsidR="00B43AFE" w:rsidRPr="004B7788" w:rsidTr="004B7788">
        <w:tc>
          <w:tcPr>
            <w:tcW w:w="959" w:type="dxa"/>
          </w:tcPr>
          <w:p w:rsidR="00B43AFE" w:rsidRPr="004B7788" w:rsidRDefault="00B43AFE" w:rsidP="004B7788">
            <w:pPr>
              <w:rPr>
                <w:rFonts w:asciiTheme="majorHAnsi" w:hAnsiTheme="majorHAnsi"/>
                <w:sz w:val="18"/>
                <w:szCs w:val="18"/>
              </w:rPr>
            </w:pPr>
            <w:r w:rsidRPr="004B7788">
              <w:rPr>
                <w:rFonts w:asciiTheme="majorHAnsi" w:hAnsiTheme="majorHAnsi"/>
                <w:sz w:val="18"/>
                <w:szCs w:val="18"/>
              </w:rPr>
              <w:t>Tue</w:t>
            </w:r>
          </w:p>
        </w:tc>
        <w:tc>
          <w:tcPr>
            <w:tcW w:w="1039" w:type="dxa"/>
          </w:tcPr>
          <w:p w:rsidR="00B43AFE" w:rsidRPr="004B7788" w:rsidRDefault="00B43AFE" w:rsidP="004B7788">
            <w:pPr>
              <w:rPr>
                <w:rFonts w:asciiTheme="majorHAnsi" w:hAnsiTheme="majorHAnsi"/>
                <w:sz w:val="18"/>
                <w:szCs w:val="18"/>
              </w:rPr>
            </w:pPr>
            <w:r w:rsidRPr="004B7788">
              <w:rPr>
                <w:rFonts w:asciiTheme="majorHAnsi" w:hAnsiTheme="majorHAnsi"/>
                <w:sz w:val="18"/>
                <w:szCs w:val="18"/>
              </w:rPr>
              <w:t>12</w:t>
            </w:r>
            <w:r w:rsidRPr="004B7788">
              <w:rPr>
                <w:rFonts w:asciiTheme="majorHAnsi" w:hAnsiTheme="majorHAnsi"/>
                <w:sz w:val="18"/>
                <w:szCs w:val="18"/>
                <w:vertAlign w:val="superscript"/>
              </w:rPr>
              <w:t>th</w:t>
            </w:r>
            <w:r w:rsidRPr="004B7788">
              <w:rPr>
                <w:rFonts w:asciiTheme="majorHAnsi" w:hAnsiTheme="majorHAnsi"/>
                <w:sz w:val="18"/>
                <w:szCs w:val="18"/>
              </w:rPr>
              <w:t xml:space="preserve"> June</w:t>
            </w:r>
          </w:p>
        </w:tc>
        <w:tc>
          <w:tcPr>
            <w:tcW w:w="7573" w:type="dxa"/>
          </w:tcPr>
          <w:p w:rsidR="00B43AFE" w:rsidRPr="004B7788" w:rsidRDefault="00B43AFE" w:rsidP="004B7788">
            <w:pPr>
              <w:rPr>
                <w:rFonts w:asciiTheme="majorHAnsi" w:hAnsiTheme="majorHAnsi"/>
                <w:sz w:val="18"/>
                <w:szCs w:val="18"/>
              </w:rPr>
            </w:pPr>
            <w:r w:rsidRPr="004B7788">
              <w:rPr>
                <w:rFonts w:asciiTheme="majorHAnsi" w:hAnsiTheme="majorHAnsi"/>
                <w:sz w:val="18"/>
                <w:szCs w:val="18"/>
              </w:rPr>
              <w:t>Arrival in Skopje</w:t>
            </w:r>
          </w:p>
        </w:tc>
      </w:tr>
      <w:tr w:rsidR="00B43AFE" w:rsidRPr="004B7788" w:rsidTr="004B7788">
        <w:tc>
          <w:tcPr>
            <w:tcW w:w="959" w:type="dxa"/>
          </w:tcPr>
          <w:p w:rsidR="00B43AFE" w:rsidRPr="004B7788" w:rsidRDefault="00B43AFE" w:rsidP="004B7788">
            <w:pPr>
              <w:rPr>
                <w:rFonts w:asciiTheme="majorHAnsi" w:hAnsiTheme="majorHAnsi"/>
                <w:sz w:val="18"/>
                <w:szCs w:val="18"/>
              </w:rPr>
            </w:pPr>
            <w:r w:rsidRPr="004B7788">
              <w:rPr>
                <w:rFonts w:asciiTheme="majorHAnsi" w:hAnsiTheme="majorHAnsi"/>
                <w:sz w:val="18"/>
                <w:szCs w:val="18"/>
              </w:rPr>
              <w:t>Wed</w:t>
            </w:r>
          </w:p>
        </w:tc>
        <w:tc>
          <w:tcPr>
            <w:tcW w:w="1039" w:type="dxa"/>
          </w:tcPr>
          <w:p w:rsidR="00B43AFE" w:rsidRPr="004B7788" w:rsidRDefault="00B43AFE" w:rsidP="004B7788">
            <w:pPr>
              <w:rPr>
                <w:rFonts w:asciiTheme="majorHAnsi" w:hAnsiTheme="majorHAnsi"/>
                <w:sz w:val="18"/>
                <w:szCs w:val="18"/>
              </w:rPr>
            </w:pPr>
            <w:r w:rsidRPr="004B7788">
              <w:rPr>
                <w:rFonts w:asciiTheme="majorHAnsi" w:hAnsiTheme="majorHAnsi"/>
                <w:sz w:val="18"/>
                <w:szCs w:val="18"/>
              </w:rPr>
              <w:t>13</w:t>
            </w:r>
            <w:r w:rsidRPr="004B7788">
              <w:rPr>
                <w:rFonts w:asciiTheme="majorHAnsi" w:hAnsiTheme="majorHAnsi"/>
                <w:sz w:val="18"/>
                <w:szCs w:val="18"/>
                <w:vertAlign w:val="superscript"/>
              </w:rPr>
              <w:t>th</w:t>
            </w:r>
            <w:r w:rsidRPr="004B7788">
              <w:rPr>
                <w:rFonts w:asciiTheme="majorHAnsi" w:hAnsiTheme="majorHAnsi"/>
                <w:sz w:val="18"/>
                <w:szCs w:val="18"/>
              </w:rPr>
              <w:t xml:space="preserve">  June</w:t>
            </w:r>
          </w:p>
        </w:tc>
        <w:tc>
          <w:tcPr>
            <w:tcW w:w="7573" w:type="dxa"/>
          </w:tcPr>
          <w:p w:rsidR="00B43AFE" w:rsidRPr="004B7788" w:rsidRDefault="00B43AFE" w:rsidP="004B7788">
            <w:pPr>
              <w:rPr>
                <w:rFonts w:asciiTheme="majorHAnsi" w:hAnsiTheme="majorHAnsi"/>
                <w:sz w:val="18"/>
                <w:szCs w:val="18"/>
              </w:rPr>
            </w:pPr>
            <w:r w:rsidRPr="004B7788">
              <w:rPr>
                <w:rFonts w:asciiTheme="majorHAnsi" w:hAnsiTheme="majorHAnsi"/>
                <w:sz w:val="18"/>
                <w:szCs w:val="18"/>
              </w:rPr>
              <w:t xml:space="preserve">09.00 Briefing with national consultant for support of the terminal evaluation in MK (Danco Uzunov, UNDP CO Office in Skopje) </w:t>
            </w: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Meeting with National Project Manager for the MK component (Dimitrija Sekovski, UNDP CO Office in Skopje)</w:t>
            </w: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Meeting with State Secretary for Environment, Ministry of Environment and Physical Planning, FYR Macedonia (Sonja Lepitkova)</w:t>
            </w: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Meeting with the GEF Operational Focal Point at the Ministry of Environment (Daniela Stefanovska)</w:t>
            </w: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National Programme Officer, Swiss Agency for Development and Cooperation (Stanislava Dodeva)</w:t>
            </w: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Meeting with Communications and Partnership Officer at UNDP CO Skopje (Sandra Ismanovski, UNDP CO Office in Skopje)</w:t>
            </w: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(Overnight in Skopje)</w:t>
            </w:r>
          </w:p>
        </w:tc>
      </w:tr>
      <w:tr w:rsidR="00B43AFE" w:rsidRPr="004B7788" w:rsidTr="004B7788">
        <w:tc>
          <w:tcPr>
            <w:tcW w:w="959" w:type="dxa"/>
          </w:tcPr>
          <w:p w:rsidR="00B43AFE" w:rsidRPr="004B7788" w:rsidRDefault="00B43AFE" w:rsidP="004B7788">
            <w:pPr>
              <w:rPr>
                <w:rFonts w:asciiTheme="majorHAnsi" w:hAnsiTheme="majorHAnsi"/>
                <w:sz w:val="18"/>
                <w:szCs w:val="18"/>
              </w:rPr>
            </w:pPr>
            <w:r w:rsidRPr="004B7788">
              <w:rPr>
                <w:rFonts w:asciiTheme="majorHAnsi" w:hAnsiTheme="majorHAnsi"/>
                <w:sz w:val="18"/>
                <w:szCs w:val="18"/>
              </w:rPr>
              <w:t>Thu</w:t>
            </w:r>
          </w:p>
        </w:tc>
        <w:tc>
          <w:tcPr>
            <w:tcW w:w="1039" w:type="dxa"/>
          </w:tcPr>
          <w:p w:rsidR="00B43AFE" w:rsidRPr="004B7788" w:rsidRDefault="00B43AFE" w:rsidP="004B7788">
            <w:pPr>
              <w:rPr>
                <w:rFonts w:asciiTheme="majorHAnsi" w:hAnsiTheme="majorHAnsi"/>
                <w:sz w:val="18"/>
                <w:szCs w:val="18"/>
              </w:rPr>
            </w:pPr>
            <w:r w:rsidRPr="004B7788">
              <w:rPr>
                <w:rFonts w:asciiTheme="majorHAnsi" w:hAnsiTheme="majorHAnsi"/>
                <w:sz w:val="18"/>
                <w:szCs w:val="18"/>
              </w:rPr>
              <w:t>14</w:t>
            </w:r>
            <w:r w:rsidRPr="004B7788">
              <w:rPr>
                <w:rFonts w:asciiTheme="majorHAnsi" w:hAnsiTheme="majorHAnsi"/>
                <w:sz w:val="18"/>
                <w:szCs w:val="18"/>
                <w:vertAlign w:val="superscript"/>
              </w:rPr>
              <w:t>th</w:t>
            </w:r>
            <w:r w:rsidRPr="004B7788">
              <w:rPr>
                <w:rFonts w:asciiTheme="majorHAnsi" w:hAnsiTheme="majorHAnsi"/>
                <w:sz w:val="18"/>
                <w:szCs w:val="18"/>
              </w:rPr>
              <w:t xml:space="preserve">  June</w:t>
            </w:r>
          </w:p>
        </w:tc>
        <w:tc>
          <w:tcPr>
            <w:tcW w:w="7573" w:type="dxa"/>
          </w:tcPr>
          <w:p w:rsidR="00B43AFE" w:rsidRPr="004B7788" w:rsidRDefault="00B43AFE" w:rsidP="004B7788">
            <w:pPr>
              <w:rPr>
                <w:rFonts w:asciiTheme="majorHAnsi" w:hAnsiTheme="majorHAnsi"/>
                <w:sz w:val="18"/>
                <w:szCs w:val="18"/>
              </w:rPr>
            </w:pPr>
            <w:r w:rsidRPr="004B7788">
              <w:rPr>
                <w:rFonts w:asciiTheme="majorHAnsi" w:hAnsiTheme="majorHAnsi"/>
                <w:sz w:val="18"/>
                <w:szCs w:val="18"/>
              </w:rPr>
              <w:t xml:space="preserve">Meeting with the Head of Department on Waters, Ministry of Environment and Physical Planning (Ylber Mirta) </w:t>
            </w: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Meeting with the Head of Division for Nature Protection, Ministry of Environment and Physical Planning (Sasko Jordanov)</w:t>
            </w: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Meeting with the Head of Department for Legislation, Ministry of Environment and Physical Planning (Jadranka Ivanova)</w:t>
            </w: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Meeting with the Team leader – Species and Habitats conservation plans (Ljubco Melovski)</w:t>
            </w: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(Travel to Ohrid)</w:t>
            </w:r>
          </w:p>
        </w:tc>
      </w:tr>
      <w:tr w:rsidR="00B43AFE" w:rsidRPr="004B7788" w:rsidTr="004B7788">
        <w:tc>
          <w:tcPr>
            <w:tcW w:w="959" w:type="dxa"/>
          </w:tcPr>
          <w:p w:rsidR="00B43AFE" w:rsidRPr="004B7788" w:rsidRDefault="00B43AFE" w:rsidP="004B7788">
            <w:pPr>
              <w:rPr>
                <w:rFonts w:asciiTheme="majorHAnsi" w:hAnsiTheme="majorHAnsi"/>
                <w:sz w:val="18"/>
                <w:szCs w:val="18"/>
              </w:rPr>
            </w:pPr>
            <w:r w:rsidRPr="004B7788">
              <w:rPr>
                <w:rFonts w:asciiTheme="majorHAnsi" w:hAnsiTheme="majorHAnsi"/>
                <w:sz w:val="18"/>
                <w:szCs w:val="18"/>
              </w:rPr>
              <w:t>Fri</w:t>
            </w:r>
          </w:p>
        </w:tc>
        <w:tc>
          <w:tcPr>
            <w:tcW w:w="1039" w:type="dxa"/>
          </w:tcPr>
          <w:p w:rsidR="00B43AFE" w:rsidRPr="004B7788" w:rsidRDefault="00B43AFE" w:rsidP="004B7788">
            <w:pPr>
              <w:rPr>
                <w:rFonts w:asciiTheme="majorHAnsi" w:hAnsiTheme="majorHAnsi"/>
                <w:sz w:val="18"/>
                <w:szCs w:val="18"/>
              </w:rPr>
            </w:pPr>
            <w:r w:rsidRPr="004B7788">
              <w:rPr>
                <w:rFonts w:asciiTheme="majorHAnsi" w:hAnsiTheme="majorHAnsi"/>
                <w:sz w:val="18"/>
                <w:szCs w:val="18"/>
              </w:rPr>
              <w:t>15</w:t>
            </w:r>
            <w:r w:rsidRPr="004B7788">
              <w:rPr>
                <w:rFonts w:asciiTheme="majorHAnsi" w:hAnsiTheme="majorHAnsi"/>
                <w:sz w:val="18"/>
                <w:szCs w:val="18"/>
                <w:vertAlign w:val="superscript"/>
              </w:rPr>
              <w:t>th</w:t>
            </w:r>
            <w:r w:rsidRPr="004B7788">
              <w:rPr>
                <w:rFonts w:asciiTheme="majorHAnsi" w:hAnsiTheme="majorHAnsi"/>
                <w:sz w:val="18"/>
                <w:szCs w:val="18"/>
              </w:rPr>
              <w:t xml:space="preserve">  June</w:t>
            </w:r>
          </w:p>
        </w:tc>
        <w:tc>
          <w:tcPr>
            <w:tcW w:w="7573" w:type="dxa"/>
          </w:tcPr>
          <w:p w:rsidR="00B43AFE" w:rsidRPr="004B7788" w:rsidRDefault="00B43AFE" w:rsidP="004B7788">
            <w:pPr>
              <w:rPr>
                <w:rFonts w:asciiTheme="majorHAnsi" w:hAnsiTheme="majorHAnsi"/>
                <w:sz w:val="18"/>
                <w:szCs w:val="18"/>
              </w:rPr>
            </w:pPr>
            <w:r w:rsidRPr="004B7788">
              <w:rPr>
                <w:rFonts w:asciiTheme="majorHAnsi" w:hAnsiTheme="majorHAnsi"/>
                <w:sz w:val="18"/>
                <w:szCs w:val="18"/>
              </w:rPr>
              <w:t xml:space="preserve">Meeting with the Project coordinator for the MK components, Ohrid Lake Secretariat (Dejan Panovski) </w:t>
            </w: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Meeting with the Team leader – Transboundary Fisheries Management Plan (Zoran Spirkovski)</w:t>
            </w: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 xml:space="preserve">Meeting with the Mayor of Municipality of Resen (Mihail Volkanovski) </w:t>
            </w: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Meeting with the Environmental Inspector, Sector of Urban Planning, Environmental and Planning Services, Municipality of Resen (Andrijana Georgievska)</w:t>
            </w: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Meeting with the President of Union of Agricultural Producers (Stevce Radevski) and the Laboratory Manager of Union of Agricultural Producers (Frosina Gorgievska)</w:t>
            </w: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Meeting with focal point for the Ezerani protected area at the Municipality of Resen (Naumce Tashovski)</w:t>
            </w: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bCs/>
                <w:sz w:val="18"/>
                <w:szCs w:val="18"/>
              </w:rPr>
            </w:pPr>
            <w:r w:rsidRPr="004B7788">
              <w:rPr>
                <w:rFonts w:asciiTheme="majorHAnsi" w:hAnsiTheme="majorHAnsi"/>
                <w:bCs/>
                <w:sz w:val="18"/>
                <w:szCs w:val="18"/>
              </w:rPr>
              <w:t>(Overnight in Ohird)</w:t>
            </w:r>
          </w:p>
        </w:tc>
      </w:tr>
      <w:tr w:rsidR="00B43AFE" w:rsidRPr="004B7788" w:rsidTr="004B7788">
        <w:tc>
          <w:tcPr>
            <w:tcW w:w="959" w:type="dxa"/>
          </w:tcPr>
          <w:p w:rsidR="00B43AFE" w:rsidRPr="004B7788" w:rsidRDefault="00B43AFE" w:rsidP="004B7788">
            <w:pPr>
              <w:rPr>
                <w:rFonts w:asciiTheme="majorHAnsi" w:hAnsiTheme="majorHAnsi"/>
                <w:sz w:val="18"/>
                <w:szCs w:val="18"/>
              </w:rPr>
            </w:pPr>
            <w:r w:rsidRPr="004B7788">
              <w:rPr>
                <w:rFonts w:asciiTheme="majorHAnsi" w:hAnsiTheme="majorHAnsi"/>
                <w:sz w:val="18"/>
                <w:szCs w:val="18"/>
              </w:rPr>
              <w:t>Sat</w:t>
            </w:r>
          </w:p>
        </w:tc>
        <w:tc>
          <w:tcPr>
            <w:tcW w:w="1039" w:type="dxa"/>
          </w:tcPr>
          <w:p w:rsidR="00B43AFE" w:rsidRPr="004B7788" w:rsidRDefault="00B43AFE" w:rsidP="004B7788">
            <w:pPr>
              <w:rPr>
                <w:rFonts w:asciiTheme="majorHAnsi" w:hAnsiTheme="majorHAnsi"/>
                <w:sz w:val="18"/>
                <w:szCs w:val="18"/>
              </w:rPr>
            </w:pPr>
            <w:r w:rsidRPr="004B7788">
              <w:rPr>
                <w:rFonts w:asciiTheme="majorHAnsi" w:hAnsiTheme="majorHAnsi"/>
                <w:sz w:val="18"/>
                <w:szCs w:val="18"/>
              </w:rPr>
              <w:t>16</w:t>
            </w:r>
            <w:r w:rsidRPr="004B7788">
              <w:rPr>
                <w:rFonts w:asciiTheme="majorHAnsi" w:hAnsiTheme="majorHAnsi"/>
                <w:sz w:val="18"/>
                <w:szCs w:val="18"/>
                <w:vertAlign w:val="superscript"/>
              </w:rPr>
              <w:t>th</w:t>
            </w:r>
            <w:r w:rsidRPr="004B7788">
              <w:rPr>
                <w:rFonts w:asciiTheme="majorHAnsi" w:hAnsiTheme="majorHAnsi"/>
                <w:sz w:val="18"/>
                <w:szCs w:val="18"/>
              </w:rPr>
              <w:t xml:space="preserve"> June</w:t>
            </w:r>
          </w:p>
        </w:tc>
        <w:tc>
          <w:tcPr>
            <w:tcW w:w="7573" w:type="dxa"/>
          </w:tcPr>
          <w:p w:rsidR="00B43AFE" w:rsidRPr="004B7788" w:rsidRDefault="00B43AFE" w:rsidP="004B7788">
            <w:pPr>
              <w:rPr>
                <w:rFonts w:asciiTheme="majorHAnsi" w:hAnsiTheme="majorHAnsi"/>
                <w:sz w:val="18"/>
                <w:szCs w:val="18"/>
              </w:rPr>
            </w:pPr>
            <w:r w:rsidRPr="004B7788">
              <w:rPr>
                <w:rFonts w:asciiTheme="majorHAnsi" w:hAnsiTheme="majorHAnsi"/>
                <w:sz w:val="18"/>
                <w:szCs w:val="18"/>
              </w:rPr>
              <w:t>Meeting with the Public Forestry Enterprise PrespaDrvo (Kire Barandovski)</w:t>
            </w: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Meeting with the President of the NGO Coalition for Perspective Prespa Region (Sonja Fuzevska)</w:t>
            </w: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Meeting with the  staff at the Natural Capital Resource Center (Ljupco Krstevski and Maja Kotevska)</w:t>
            </w: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Afternoon: Meetings with project staff at the project office in Resen</w:t>
            </w: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bCs/>
                <w:sz w:val="18"/>
                <w:szCs w:val="18"/>
              </w:rPr>
              <w:t>(Overnight in Ohrid)</w:t>
            </w:r>
          </w:p>
        </w:tc>
      </w:tr>
      <w:tr w:rsidR="00B43AFE" w:rsidRPr="004B7788" w:rsidTr="004B7788">
        <w:tc>
          <w:tcPr>
            <w:tcW w:w="959" w:type="dxa"/>
          </w:tcPr>
          <w:p w:rsidR="00B43AFE" w:rsidRPr="004B7788" w:rsidRDefault="00B43AFE" w:rsidP="004B7788">
            <w:pPr>
              <w:rPr>
                <w:rFonts w:asciiTheme="majorHAnsi" w:hAnsiTheme="majorHAnsi"/>
                <w:sz w:val="18"/>
                <w:szCs w:val="18"/>
              </w:rPr>
            </w:pPr>
            <w:r w:rsidRPr="004B7788">
              <w:rPr>
                <w:rFonts w:asciiTheme="majorHAnsi" w:hAnsiTheme="majorHAnsi"/>
                <w:sz w:val="18"/>
                <w:szCs w:val="18"/>
              </w:rPr>
              <w:t>Sun</w:t>
            </w:r>
          </w:p>
        </w:tc>
        <w:tc>
          <w:tcPr>
            <w:tcW w:w="1039" w:type="dxa"/>
          </w:tcPr>
          <w:p w:rsidR="00B43AFE" w:rsidRPr="004B7788" w:rsidRDefault="00B43AFE" w:rsidP="004B7788">
            <w:pPr>
              <w:rPr>
                <w:rFonts w:asciiTheme="majorHAnsi" w:hAnsiTheme="majorHAnsi"/>
                <w:sz w:val="18"/>
                <w:szCs w:val="18"/>
              </w:rPr>
            </w:pPr>
            <w:r w:rsidRPr="004B7788">
              <w:rPr>
                <w:rFonts w:asciiTheme="majorHAnsi" w:hAnsiTheme="majorHAnsi"/>
                <w:sz w:val="18"/>
                <w:szCs w:val="18"/>
              </w:rPr>
              <w:t>17</w:t>
            </w:r>
            <w:r w:rsidRPr="004B7788">
              <w:rPr>
                <w:rFonts w:asciiTheme="majorHAnsi" w:hAnsiTheme="majorHAnsi"/>
                <w:sz w:val="18"/>
                <w:szCs w:val="18"/>
                <w:vertAlign w:val="superscript"/>
              </w:rPr>
              <w:t>th</w:t>
            </w:r>
            <w:r w:rsidRPr="004B7788">
              <w:rPr>
                <w:rFonts w:asciiTheme="majorHAnsi" w:hAnsiTheme="majorHAnsi"/>
                <w:sz w:val="18"/>
                <w:szCs w:val="18"/>
              </w:rPr>
              <w:t xml:space="preserve">  June</w:t>
            </w:r>
          </w:p>
        </w:tc>
        <w:tc>
          <w:tcPr>
            <w:tcW w:w="7573" w:type="dxa"/>
          </w:tcPr>
          <w:p w:rsidR="00B43AFE" w:rsidRPr="004B7788" w:rsidRDefault="00B43AFE" w:rsidP="004B7788">
            <w:pPr>
              <w:rPr>
                <w:rFonts w:asciiTheme="majorHAnsi" w:hAnsiTheme="majorHAnsi"/>
                <w:bCs/>
                <w:sz w:val="18"/>
                <w:szCs w:val="18"/>
              </w:rPr>
            </w:pPr>
            <w:r w:rsidRPr="004B7788">
              <w:rPr>
                <w:rFonts w:asciiTheme="majorHAnsi" w:hAnsiTheme="majorHAnsi"/>
                <w:bCs/>
                <w:sz w:val="18"/>
                <w:szCs w:val="18"/>
              </w:rPr>
              <w:t>All day: Document review (PE)</w:t>
            </w:r>
          </w:p>
        </w:tc>
      </w:tr>
      <w:tr w:rsidR="00B43AFE" w:rsidRPr="004B7788" w:rsidTr="004B7788">
        <w:tc>
          <w:tcPr>
            <w:tcW w:w="959" w:type="dxa"/>
          </w:tcPr>
          <w:p w:rsidR="00B43AFE" w:rsidRPr="004B7788" w:rsidRDefault="00B43AFE" w:rsidP="004B7788">
            <w:pPr>
              <w:rPr>
                <w:rFonts w:asciiTheme="majorHAnsi" w:hAnsiTheme="majorHAnsi"/>
                <w:sz w:val="18"/>
                <w:szCs w:val="18"/>
              </w:rPr>
            </w:pPr>
            <w:r w:rsidRPr="004B7788">
              <w:rPr>
                <w:rFonts w:asciiTheme="majorHAnsi" w:hAnsiTheme="majorHAnsi"/>
                <w:sz w:val="18"/>
                <w:szCs w:val="18"/>
              </w:rPr>
              <w:t>Mon, 18</w:t>
            </w:r>
            <w:r w:rsidRPr="004B7788">
              <w:rPr>
                <w:rFonts w:asciiTheme="majorHAnsi" w:hAnsiTheme="majorHAnsi"/>
                <w:sz w:val="18"/>
                <w:szCs w:val="18"/>
                <w:vertAlign w:val="superscript"/>
              </w:rPr>
              <w:t>th</w:t>
            </w:r>
            <w:r w:rsidRPr="004B7788">
              <w:rPr>
                <w:rFonts w:asciiTheme="majorHAnsi" w:hAnsiTheme="majorHAnsi"/>
                <w:sz w:val="18"/>
                <w:szCs w:val="18"/>
              </w:rPr>
              <w:t xml:space="preserve">  June</w:t>
            </w:r>
          </w:p>
        </w:tc>
        <w:tc>
          <w:tcPr>
            <w:tcW w:w="1039" w:type="dxa"/>
          </w:tcPr>
          <w:p w:rsidR="00B43AFE" w:rsidRPr="004B7788" w:rsidRDefault="00B43AFE" w:rsidP="004B7788">
            <w:pPr>
              <w:rPr>
                <w:rFonts w:asciiTheme="majorHAnsi" w:hAnsiTheme="majorHAnsi"/>
                <w:sz w:val="18"/>
                <w:szCs w:val="18"/>
              </w:rPr>
            </w:pPr>
            <w:r w:rsidRPr="004B7788">
              <w:rPr>
                <w:rFonts w:asciiTheme="majorHAnsi" w:hAnsiTheme="majorHAnsi"/>
                <w:sz w:val="18"/>
                <w:szCs w:val="18"/>
              </w:rPr>
              <w:t>8.30 (GMT +1)</w:t>
            </w: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12.00 (GMT+2)</w:t>
            </w: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 xml:space="preserve">14.00 (GMT +2) </w:t>
            </w:r>
          </w:p>
        </w:tc>
        <w:tc>
          <w:tcPr>
            <w:tcW w:w="7573" w:type="dxa"/>
          </w:tcPr>
          <w:p w:rsidR="00B43AFE" w:rsidRPr="004B7788" w:rsidRDefault="00B43AFE" w:rsidP="004B7788">
            <w:pPr>
              <w:rPr>
                <w:rFonts w:asciiTheme="majorHAnsi" w:hAnsiTheme="majorHAnsi"/>
                <w:sz w:val="18"/>
                <w:szCs w:val="18"/>
              </w:rPr>
            </w:pPr>
            <w:r w:rsidRPr="004B7788">
              <w:rPr>
                <w:rFonts w:asciiTheme="majorHAnsi" w:hAnsiTheme="majorHAnsi"/>
                <w:sz w:val="18"/>
                <w:szCs w:val="18"/>
              </w:rPr>
              <w:t>Departure for Greece</w:t>
            </w: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Meeting with the Society for Protection of Prespa (Myrsini Malakou, Vivi Roumeliotou)</w:t>
            </w: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Meeting with the Mayor of Municipality of Prespa (Vasilis Tsepas)  and Advisor (Dr. Yannis Kazoglou)</w:t>
            </w: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Travel to Albania</w:t>
            </w:r>
          </w:p>
          <w:p w:rsidR="00B43AFE" w:rsidRPr="004B7788" w:rsidRDefault="00B43AFE" w:rsidP="004B7788">
            <w:pPr>
              <w:rPr>
                <w:rFonts w:asciiTheme="majorHAnsi" w:hAnsiTheme="majorHAnsi"/>
                <w:bCs/>
                <w:sz w:val="18"/>
                <w:szCs w:val="18"/>
              </w:rPr>
            </w:pPr>
          </w:p>
          <w:p w:rsidR="00B43AFE" w:rsidRPr="004B7788" w:rsidRDefault="00B43AFE" w:rsidP="004B7788">
            <w:pPr>
              <w:rPr>
                <w:rFonts w:asciiTheme="majorHAnsi" w:hAnsiTheme="majorHAnsi"/>
                <w:bCs/>
                <w:sz w:val="18"/>
                <w:szCs w:val="18"/>
              </w:rPr>
            </w:pPr>
            <w:r w:rsidRPr="004B7788">
              <w:rPr>
                <w:rFonts w:asciiTheme="majorHAnsi" w:hAnsiTheme="majorHAnsi"/>
                <w:bCs/>
                <w:sz w:val="18"/>
                <w:szCs w:val="18"/>
              </w:rPr>
              <w:t xml:space="preserve">(Overnight in Korca) </w:t>
            </w:r>
          </w:p>
        </w:tc>
      </w:tr>
      <w:tr w:rsidR="00B43AFE" w:rsidRPr="004B7788" w:rsidTr="004B7788">
        <w:tc>
          <w:tcPr>
            <w:tcW w:w="959" w:type="dxa"/>
          </w:tcPr>
          <w:p w:rsidR="00B43AFE" w:rsidRPr="004B7788" w:rsidRDefault="00B43AFE" w:rsidP="004B7788">
            <w:pPr>
              <w:rPr>
                <w:rFonts w:asciiTheme="majorHAnsi" w:hAnsiTheme="majorHAnsi"/>
                <w:sz w:val="18"/>
                <w:szCs w:val="18"/>
              </w:rPr>
            </w:pPr>
            <w:r w:rsidRPr="004B7788">
              <w:rPr>
                <w:rFonts w:asciiTheme="majorHAnsi" w:hAnsiTheme="majorHAnsi"/>
                <w:sz w:val="18"/>
                <w:szCs w:val="18"/>
              </w:rPr>
              <w:t>Tue, 19</w:t>
            </w:r>
            <w:r w:rsidRPr="004B7788">
              <w:rPr>
                <w:rFonts w:asciiTheme="majorHAnsi" w:hAnsiTheme="majorHAnsi"/>
                <w:sz w:val="18"/>
                <w:szCs w:val="18"/>
                <w:vertAlign w:val="superscript"/>
              </w:rPr>
              <w:t>th</w:t>
            </w:r>
            <w:r w:rsidRPr="004B7788">
              <w:rPr>
                <w:rFonts w:asciiTheme="majorHAnsi" w:hAnsiTheme="majorHAnsi"/>
                <w:sz w:val="18"/>
                <w:szCs w:val="18"/>
              </w:rPr>
              <w:t xml:space="preserve">  June</w:t>
            </w:r>
          </w:p>
        </w:tc>
        <w:tc>
          <w:tcPr>
            <w:tcW w:w="1039" w:type="dxa"/>
          </w:tcPr>
          <w:p w:rsidR="00B43AFE" w:rsidRPr="004B7788" w:rsidRDefault="00B43AFE" w:rsidP="004B7788">
            <w:pPr>
              <w:rPr>
                <w:rFonts w:asciiTheme="majorHAnsi" w:hAnsiTheme="majorHAnsi"/>
                <w:sz w:val="18"/>
                <w:szCs w:val="18"/>
              </w:rPr>
            </w:pPr>
            <w:r w:rsidRPr="004B7788">
              <w:rPr>
                <w:rFonts w:asciiTheme="majorHAnsi" w:hAnsiTheme="majorHAnsi"/>
                <w:sz w:val="18"/>
                <w:szCs w:val="18"/>
              </w:rPr>
              <w:t>0930-1000</w:t>
            </w: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1030-1100</w:t>
            </w: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1100-1130</w:t>
            </w: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1130-1230</w:t>
            </w: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1300-1330</w:t>
            </w: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1430-1500</w:t>
            </w: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1500-1530</w:t>
            </w: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1630</w:t>
            </w:r>
          </w:p>
        </w:tc>
        <w:tc>
          <w:tcPr>
            <w:tcW w:w="7573" w:type="dxa"/>
          </w:tcPr>
          <w:p w:rsidR="00B43AFE" w:rsidRPr="004B7788" w:rsidRDefault="00B43AFE" w:rsidP="004B7788">
            <w:pPr>
              <w:rPr>
                <w:rFonts w:asciiTheme="majorHAnsi" w:hAnsiTheme="majorHAnsi"/>
                <w:sz w:val="18"/>
                <w:szCs w:val="18"/>
              </w:rPr>
            </w:pPr>
            <w:r w:rsidRPr="004B7788">
              <w:rPr>
                <w:rFonts w:asciiTheme="majorHAnsi" w:hAnsiTheme="majorHAnsi"/>
                <w:sz w:val="18"/>
                <w:szCs w:val="18"/>
              </w:rPr>
              <w:t>Meeting with the Mayor of Liqenas, Albania (Edmond Temelko)</w:t>
            </w: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Meeting with the Director of the National Prespa Park Albania (Olsi Duma) and Chief Inspector of National Park Prespa (Vasil Male)</w:t>
            </w: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Meeting with Head of NGO “Association of Forest and Pasture Users of Prespa” (Vasil Jankulla)</w:t>
            </w: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Meeting with Head of Fisherman’s Association and OFM (Yilli Kape, Koco Trajce) and the Fisheries Inspector for the Prespa Lake (Pellumb Hoxha)</w:t>
            </w: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Meeting with Head of Woman/ tourist associations (Valentina Vurmo)</w:t>
            </w: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Meeting with  Mayor of Proger (Artur Argolli)</w:t>
            </w: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Meeting with the representative of the Farmers’ Association (Nevruz Shkembi, Nardi Hoxha)</w:t>
            </w: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Travel to Tirana</w:t>
            </w: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Overnight stay in Tirana</w:t>
            </w:r>
          </w:p>
        </w:tc>
      </w:tr>
      <w:tr w:rsidR="00B43AFE" w:rsidRPr="004B7788" w:rsidTr="004B7788">
        <w:tc>
          <w:tcPr>
            <w:tcW w:w="959" w:type="dxa"/>
          </w:tcPr>
          <w:p w:rsidR="00B43AFE" w:rsidRPr="004B7788" w:rsidRDefault="00B43AFE" w:rsidP="004B7788">
            <w:pPr>
              <w:rPr>
                <w:rFonts w:asciiTheme="majorHAnsi" w:hAnsiTheme="majorHAnsi"/>
                <w:sz w:val="18"/>
                <w:szCs w:val="18"/>
              </w:rPr>
            </w:pPr>
            <w:r w:rsidRPr="004B7788">
              <w:rPr>
                <w:rFonts w:asciiTheme="majorHAnsi" w:hAnsiTheme="majorHAnsi"/>
                <w:sz w:val="18"/>
                <w:szCs w:val="18"/>
              </w:rPr>
              <w:t>Wed, 20</w:t>
            </w:r>
            <w:r w:rsidRPr="004B7788">
              <w:rPr>
                <w:rFonts w:asciiTheme="majorHAnsi" w:hAnsiTheme="majorHAnsi"/>
                <w:sz w:val="18"/>
                <w:szCs w:val="18"/>
                <w:vertAlign w:val="superscript"/>
              </w:rPr>
              <w:t>th</w:t>
            </w:r>
            <w:r w:rsidRPr="004B7788">
              <w:rPr>
                <w:rFonts w:asciiTheme="majorHAnsi" w:hAnsiTheme="majorHAnsi"/>
                <w:sz w:val="18"/>
                <w:szCs w:val="18"/>
              </w:rPr>
              <w:t xml:space="preserve"> June</w:t>
            </w:r>
          </w:p>
        </w:tc>
        <w:tc>
          <w:tcPr>
            <w:tcW w:w="1039" w:type="dxa"/>
          </w:tcPr>
          <w:p w:rsidR="00B43AFE" w:rsidRPr="004B7788" w:rsidRDefault="00B43AFE" w:rsidP="004B7788">
            <w:pPr>
              <w:rPr>
                <w:rFonts w:asciiTheme="majorHAnsi" w:hAnsiTheme="majorHAnsi"/>
                <w:sz w:val="18"/>
                <w:szCs w:val="18"/>
              </w:rPr>
            </w:pPr>
            <w:r w:rsidRPr="004B7788">
              <w:rPr>
                <w:rFonts w:asciiTheme="majorHAnsi" w:hAnsiTheme="majorHAnsi"/>
                <w:sz w:val="18"/>
                <w:szCs w:val="18"/>
              </w:rPr>
              <w:t>0930-1000</w:t>
            </w:r>
          </w:p>
          <w:p w:rsidR="00B43AFE" w:rsidRPr="004B7788" w:rsidRDefault="00B43AFE" w:rsidP="004F4FCE">
            <w:pPr>
              <w:rPr>
                <w:rFonts w:asciiTheme="majorHAnsi" w:hAnsiTheme="majorHAnsi"/>
                <w:sz w:val="18"/>
                <w:szCs w:val="18"/>
              </w:rPr>
            </w:pPr>
          </w:p>
          <w:p w:rsidR="00B43AFE" w:rsidRPr="004B7788" w:rsidRDefault="00B43AFE" w:rsidP="00FC1E0C">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1030-1130</w:t>
            </w:r>
          </w:p>
          <w:p w:rsidR="00B43AFE" w:rsidRPr="004B7788" w:rsidRDefault="00B43AFE" w:rsidP="004F4FCE">
            <w:pPr>
              <w:rPr>
                <w:rFonts w:asciiTheme="majorHAnsi" w:hAnsiTheme="majorHAnsi"/>
                <w:sz w:val="18"/>
                <w:szCs w:val="18"/>
              </w:rPr>
            </w:pPr>
          </w:p>
          <w:p w:rsidR="00B43AFE" w:rsidRPr="004B7788" w:rsidRDefault="00B43AFE" w:rsidP="00FC1E0C">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1200-</w:t>
            </w:r>
          </w:p>
          <w:p w:rsidR="00B43AFE" w:rsidRPr="004B7788" w:rsidRDefault="00B43AFE" w:rsidP="004F4FCE">
            <w:pPr>
              <w:rPr>
                <w:rFonts w:asciiTheme="majorHAnsi" w:hAnsiTheme="majorHAnsi"/>
                <w:sz w:val="18"/>
                <w:szCs w:val="18"/>
              </w:rPr>
            </w:pPr>
          </w:p>
          <w:p w:rsidR="00B43AFE" w:rsidRPr="004B7788" w:rsidRDefault="00B43AFE" w:rsidP="00FC1E0C">
            <w:pPr>
              <w:rPr>
                <w:rFonts w:asciiTheme="majorHAnsi" w:hAnsiTheme="majorHAnsi"/>
                <w:sz w:val="18"/>
                <w:szCs w:val="18"/>
              </w:rPr>
            </w:pPr>
          </w:p>
          <w:p w:rsidR="00B43AFE" w:rsidRPr="004B7788" w:rsidRDefault="00B43AFE" w:rsidP="00E47796">
            <w:pPr>
              <w:rPr>
                <w:rFonts w:asciiTheme="majorHAnsi" w:hAnsiTheme="majorHAnsi"/>
                <w:sz w:val="18"/>
                <w:szCs w:val="18"/>
              </w:rPr>
            </w:pPr>
          </w:p>
          <w:p w:rsidR="00B43AFE" w:rsidRPr="004B7788" w:rsidRDefault="00B43AFE" w:rsidP="00522AD6">
            <w:pPr>
              <w:rPr>
                <w:rFonts w:asciiTheme="majorHAnsi" w:hAnsiTheme="majorHAnsi"/>
                <w:sz w:val="18"/>
                <w:szCs w:val="18"/>
              </w:rPr>
            </w:pPr>
          </w:p>
          <w:p w:rsidR="00B43AFE" w:rsidRPr="004B7788" w:rsidRDefault="00B43AFE" w:rsidP="00C24A6A">
            <w:pPr>
              <w:rPr>
                <w:rFonts w:asciiTheme="majorHAnsi" w:hAnsiTheme="majorHAnsi"/>
                <w:sz w:val="18"/>
                <w:szCs w:val="18"/>
              </w:rPr>
            </w:pPr>
          </w:p>
          <w:p w:rsidR="00B43AFE" w:rsidRPr="004B7788" w:rsidRDefault="00B43AFE" w:rsidP="00C24A6A">
            <w:pPr>
              <w:rPr>
                <w:rFonts w:asciiTheme="majorHAnsi" w:hAnsiTheme="majorHAnsi"/>
                <w:sz w:val="18"/>
                <w:szCs w:val="18"/>
              </w:rPr>
            </w:pPr>
          </w:p>
          <w:p w:rsidR="00B43AFE" w:rsidRPr="004B7788" w:rsidRDefault="00B43AFE" w:rsidP="00C24A6A">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1300</w:t>
            </w:r>
          </w:p>
          <w:p w:rsidR="00B43AFE" w:rsidRPr="004B7788" w:rsidRDefault="00B43AFE" w:rsidP="004F4FCE">
            <w:pPr>
              <w:rPr>
                <w:rFonts w:asciiTheme="majorHAnsi" w:hAnsiTheme="majorHAnsi"/>
                <w:sz w:val="18"/>
                <w:szCs w:val="18"/>
              </w:rPr>
            </w:pPr>
          </w:p>
          <w:p w:rsidR="00B43AFE" w:rsidRPr="004B7788" w:rsidRDefault="00B43AFE" w:rsidP="00FC1E0C">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1500-1530</w:t>
            </w:r>
          </w:p>
          <w:p w:rsidR="00B43AFE" w:rsidRPr="004B7788" w:rsidRDefault="00B43AFE" w:rsidP="004F4FCE">
            <w:pPr>
              <w:rPr>
                <w:rFonts w:asciiTheme="majorHAnsi" w:hAnsiTheme="majorHAnsi"/>
                <w:sz w:val="18"/>
                <w:szCs w:val="18"/>
              </w:rPr>
            </w:pPr>
          </w:p>
          <w:p w:rsidR="00B43AFE" w:rsidRPr="004B7788" w:rsidRDefault="00B43AFE" w:rsidP="00FC1E0C">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1600-1630</w:t>
            </w:r>
          </w:p>
        </w:tc>
        <w:tc>
          <w:tcPr>
            <w:tcW w:w="7573" w:type="dxa"/>
          </w:tcPr>
          <w:p w:rsidR="00B43AFE" w:rsidRPr="004B7788" w:rsidRDefault="00B43AFE" w:rsidP="004B7788">
            <w:pPr>
              <w:rPr>
                <w:rFonts w:asciiTheme="majorHAnsi" w:hAnsiTheme="majorHAnsi"/>
                <w:sz w:val="18"/>
                <w:szCs w:val="18"/>
              </w:rPr>
            </w:pPr>
            <w:r w:rsidRPr="004B7788">
              <w:rPr>
                <w:rFonts w:asciiTheme="majorHAnsi" w:hAnsiTheme="majorHAnsi"/>
                <w:sz w:val="18"/>
                <w:szCs w:val="18"/>
              </w:rPr>
              <w:t>Meeting with the UNDP Albania Environment Program Analyst (Elvita Kabashi)</w:t>
            </w: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Meeting with the National Project Manager for the Prespa Project in Albania (Violeta Zuna) and the Project Specialist (Eno Dodbiba)</w:t>
            </w: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 xml:space="preserve">Meeting with the General Director and Chairman of Management Committee at the Ministry of Environment, Forestry and Water Administration and Project Director for the Prespa Project (Pellumb Abeshi) </w:t>
            </w: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 xml:space="preserve">Meeting with the Head of Protected Areas Department at the Ministry of Environment in Albania (Nihat Dragoti) </w:t>
            </w: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Meeting with the Biodiversity specialist at the Ministry of Environment in Albania (Elvana Ramaj)</w:t>
            </w: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Meeting with representative of REC – Regional Environmental Center Albania (Mihallaq Qirjo)</w:t>
            </w:r>
          </w:p>
          <w:p w:rsidR="00B43AFE" w:rsidRPr="004B7788" w:rsidRDefault="00B43AFE" w:rsidP="004B7788">
            <w:pPr>
              <w:rPr>
                <w:rFonts w:asciiTheme="majorHAnsi" w:hAnsiTheme="majorHAnsi"/>
                <w:sz w:val="18"/>
                <w:szCs w:val="18"/>
              </w:rPr>
            </w:pPr>
          </w:p>
          <w:p w:rsidR="00B43AFE" w:rsidRDefault="00B43AFE" w:rsidP="004B7788">
            <w:pPr>
              <w:rPr>
                <w:rFonts w:asciiTheme="majorHAnsi" w:hAnsiTheme="majorHAnsi"/>
                <w:sz w:val="18"/>
                <w:szCs w:val="18"/>
              </w:rPr>
            </w:pPr>
            <w:r w:rsidRPr="004B7788">
              <w:rPr>
                <w:rFonts w:asciiTheme="majorHAnsi" w:hAnsiTheme="majorHAnsi"/>
                <w:sz w:val="18"/>
                <w:szCs w:val="18"/>
              </w:rPr>
              <w:t>Meeting with a representative from INCA (Zamir Dedej)</w:t>
            </w:r>
          </w:p>
          <w:p w:rsidR="004F4FCE" w:rsidRPr="004B7788" w:rsidRDefault="004F4FC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Overnight stay in Tirana</w:t>
            </w:r>
          </w:p>
        </w:tc>
      </w:tr>
      <w:tr w:rsidR="00B43AFE" w:rsidRPr="004B7788" w:rsidTr="004B7788">
        <w:tc>
          <w:tcPr>
            <w:tcW w:w="959" w:type="dxa"/>
          </w:tcPr>
          <w:p w:rsidR="00B43AFE" w:rsidRPr="004B7788" w:rsidRDefault="00B43AFE" w:rsidP="004B7788">
            <w:pPr>
              <w:rPr>
                <w:rFonts w:asciiTheme="majorHAnsi" w:hAnsiTheme="majorHAnsi"/>
                <w:sz w:val="18"/>
                <w:szCs w:val="18"/>
              </w:rPr>
            </w:pPr>
            <w:r w:rsidRPr="004B7788">
              <w:rPr>
                <w:rFonts w:asciiTheme="majorHAnsi" w:hAnsiTheme="majorHAnsi"/>
                <w:sz w:val="18"/>
                <w:szCs w:val="18"/>
              </w:rPr>
              <w:t>Thu, 21</w:t>
            </w:r>
            <w:r w:rsidRPr="004B7788">
              <w:rPr>
                <w:rFonts w:asciiTheme="majorHAnsi" w:hAnsiTheme="majorHAnsi"/>
                <w:sz w:val="18"/>
                <w:szCs w:val="18"/>
                <w:vertAlign w:val="superscript"/>
              </w:rPr>
              <w:t>st</w:t>
            </w:r>
            <w:r w:rsidRPr="004B7788">
              <w:rPr>
                <w:rFonts w:asciiTheme="majorHAnsi" w:hAnsiTheme="majorHAnsi"/>
                <w:sz w:val="18"/>
                <w:szCs w:val="18"/>
              </w:rPr>
              <w:t xml:space="preserve"> June</w:t>
            </w:r>
          </w:p>
        </w:tc>
        <w:tc>
          <w:tcPr>
            <w:tcW w:w="1039" w:type="dxa"/>
          </w:tcPr>
          <w:p w:rsidR="00B43AFE" w:rsidRPr="004B7788" w:rsidRDefault="00B43AFE" w:rsidP="004B7788">
            <w:pPr>
              <w:rPr>
                <w:rFonts w:asciiTheme="majorHAnsi" w:hAnsiTheme="majorHAnsi"/>
                <w:sz w:val="18"/>
                <w:szCs w:val="18"/>
              </w:rPr>
            </w:pPr>
            <w:r w:rsidRPr="004B7788">
              <w:rPr>
                <w:rFonts w:asciiTheme="majorHAnsi" w:hAnsiTheme="majorHAnsi"/>
                <w:sz w:val="18"/>
                <w:szCs w:val="18"/>
              </w:rPr>
              <w:t>0930-1000</w:t>
            </w:r>
          </w:p>
          <w:p w:rsidR="00B43AFE" w:rsidRPr="004B7788" w:rsidRDefault="00B43AFE" w:rsidP="004F4FCE">
            <w:pPr>
              <w:rPr>
                <w:rFonts w:asciiTheme="majorHAnsi" w:hAnsiTheme="majorHAnsi"/>
                <w:sz w:val="18"/>
                <w:szCs w:val="18"/>
              </w:rPr>
            </w:pPr>
          </w:p>
          <w:p w:rsidR="00B43AFE" w:rsidRPr="004B7788" w:rsidRDefault="00B43AFE" w:rsidP="00FC1E0C">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1030-1100</w:t>
            </w:r>
          </w:p>
          <w:p w:rsidR="00B43AFE" w:rsidRPr="004B7788" w:rsidRDefault="00B43AFE" w:rsidP="004F4FCE">
            <w:pPr>
              <w:rPr>
                <w:rFonts w:asciiTheme="majorHAnsi" w:hAnsiTheme="majorHAnsi"/>
                <w:sz w:val="18"/>
                <w:szCs w:val="18"/>
              </w:rPr>
            </w:pPr>
          </w:p>
          <w:p w:rsidR="00B43AFE" w:rsidRPr="004B7788" w:rsidRDefault="00B43AFE" w:rsidP="00FC1E0C">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1130-1200</w:t>
            </w: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 xml:space="preserve"> </w:t>
            </w:r>
          </w:p>
          <w:p w:rsidR="00B43AFE" w:rsidRPr="004B7788" w:rsidRDefault="00B43AFE" w:rsidP="004F4FCE">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1230-1300</w:t>
            </w:r>
          </w:p>
          <w:p w:rsidR="00B43AFE" w:rsidRPr="004B7788" w:rsidRDefault="00B43AFE" w:rsidP="004F4FCE">
            <w:pPr>
              <w:rPr>
                <w:rFonts w:asciiTheme="majorHAnsi" w:hAnsiTheme="majorHAnsi"/>
                <w:sz w:val="18"/>
                <w:szCs w:val="18"/>
              </w:rPr>
            </w:pPr>
          </w:p>
          <w:p w:rsidR="00B43AFE" w:rsidRPr="004B7788" w:rsidRDefault="00B43AFE" w:rsidP="00FC1E0C">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1400-1500</w:t>
            </w:r>
          </w:p>
          <w:p w:rsidR="00B43AFE" w:rsidRPr="004B7788" w:rsidRDefault="00B43AFE" w:rsidP="004F4FCE">
            <w:pPr>
              <w:rPr>
                <w:rFonts w:asciiTheme="majorHAnsi" w:hAnsiTheme="majorHAnsi"/>
                <w:sz w:val="18"/>
                <w:szCs w:val="18"/>
              </w:rPr>
            </w:pPr>
          </w:p>
          <w:p w:rsidR="00B43AFE" w:rsidRPr="004B7788" w:rsidRDefault="00B43AFE" w:rsidP="00FC1E0C">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1600</w:t>
            </w:r>
          </w:p>
        </w:tc>
        <w:tc>
          <w:tcPr>
            <w:tcW w:w="7573" w:type="dxa"/>
          </w:tcPr>
          <w:p w:rsidR="00B43AFE" w:rsidRPr="004B7788" w:rsidRDefault="00B43AFE" w:rsidP="004B7788">
            <w:pPr>
              <w:rPr>
                <w:rFonts w:asciiTheme="majorHAnsi" w:hAnsiTheme="majorHAnsi"/>
                <w:sz w:val="18"/>
                <w:szCs w:val="18"/>
              </w:rPr>
            </w:pPr>
            <w:r w:rsidRPr="004B7788">
              <w:rPr>
                <w:rFonts w:asciiTheme="majorHAnsi" w:hAnsiTheme="majorHAnsi"/>
                <w:sz w:val="18"/>
                <w:szCs w:val="18"/>
              </w:rPr>
              <w:t>Meeting with a representative of the Association of mammals (Ferdinand Bego)</w:t>
            </w: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color w:val="FF0000"/>
                <w:sz w:val="18"/>
                <w:szCs w:val="18"/>
              </w:rPr>
            </w:pPr>
            <w:r w:rsidRPr="004B7788">
              <w:rPr>
                <w:rFonts w:asciiTheme="majorHAnsi" w:hAnsiTheme="majorHAnsi"/>
                <w:sz w:val="18"/>
                <w:szCs w:val="18"/>
              </w:rPr>
              <w:t xml:space="preserve">Meeting with KfW representative and former METT specialist for the project (Timaq Lako) </w:t>
            </w:r>
            <w:r w:rsidRPr="004B7788">
              <w:rPr>
                <w:rFonts w:asciiTheme="majorHAnsi" w:hAnsiTheme="majorHAnsi"/>
                <w:color w:val="FF0000"/>
                <w:sz w:val="18"/>
                <w:szCs w:val="18"/>
              </w:rPr>
              <w:t>potentially brought forward to Tuesday – TBC</w:t>
            </w:r>
          </w:p>
          <w:p w:rsidR="00B43AFE" w:rsidRPr="004B7788" w:rsidRDefault="00B43AFE" w:rsidP="004B7788">
            <w:pPr>
              <w:rPr>
                <w:rFonts w:asciiTheme="majorHAnsi" w:hAnsiTheme="majorHAnsi"/>
                <w:color w:val="FF0000"/>
                <w:sz w:val="18"/>
                <w:szCs w:val="18"/>
              </w:rPr>
            </w:pP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Meeting with Water management consultant (Molaner Kolaneci)</w:t>
            </w: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Meeting with a project fisheries consultant (Rezart Kapedani)</w:t>
            </w: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Meetings with project staff at the Project office in Tirana, Debriefing</w:t>
            </w: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Travel to Skopje</w:t>
            </w: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Overnight stay in Skopje</w:t>
            </w:r>
          </w:p>
        </w:tc>
      </w:tr>
      <w:tr w:rsidR="00B43AFE" w:rsidRPr="004B7788" w:rsidTr="004B7788">
        <w:tc>
          <w:tcPr>
            <w:tcW w:w="959" w:type="dxa"/>
          </w:tcPr>
          <w:p w:rsidR="00B43AFE" w:rsidRPr="004B7788" w:rsidRDefault="00B43AFE" w:rsidP="004B7788">
            <w:pPr>
              <w:rPr>
                <w:rFonts w:asciiTheme="majorHAnsi" w:hAnsiTheme="majorHAnsi"/>
                <w:sz w:val="18"/>
                <w:szCs w:val="18"/>
              </w:rPr>
            </w:pPr>
            <w:r w:rsidRPr="004B7788">
              <w:rPr>
                <w:rFonts w:asciiTheme="majorHAnsi" w:hAnsiTheme="majorHAnsi"/>
                <w:sz w:val="18"/>
                <w:szCs w:val="18"/>
              </w:rPr>
              <w:t>Fri, 22</w:t>
            </w:r>
            <w:r w:rsidRPr="004B7788">
              <w:rPr>
                <w:rFonts w:asciiTheme="majorHAnsi" w:hAnsiTheme="majorHAnsi"/>
                <w:sz w:val="18"/>
                <w:szCs w:val="18"/>
                <w:vertAlign w:val="superscript"/>
              </w:rPr>
              <w:t>nd</w:t>
            </w:r>
            <w:r w:rsidR="00FC1E0C" w:rsidRPr="00E47796">
              <w:rPr>
                <w:rFonts w:asciiTheme="majorHAnsi" w:hAnsiTheme="majorHAnsi"/>
                <w:sz w:val="18"/>
                <w:szCs w:val="18"/>
              </w:rPr>
              <w:t xml:space="preserve"> </w:t>
            </w:r>
            <w:r w:rsidRPr="004B7788">
              <w:rPr>
                <w:rFonts w:asciiTheme="majorHAnsi" w:hAnsiTheme="majorHAnsi"/>
                <w:sz w:val="18"/>
                <w:szCs w:val="18"/>
              </w:rPr>
              <w:t>June</w:t>
            </w:r>
          </w:p>
        </w:tc>
        <w:tc>
          <w:tcPr>
            <w:tcW w:w="1039" w:type="dxa"/>
          </w:tcPr>
          <w:p w:rsidR="00B43AFE" w:rsidRPr="004B7788" w:rsidRDefault="00B43AFE" w:rsidP="004B7788">
            <w:pPr>
              <w:rPr>
                <w:rFonts w:asciiTheme="majorHAnsi" w:hAnsiTheme="majorHAnsi"/>
                <w:sz w:val="18"/>
                <w:szCs w:val="18"/>
              </w:rPr>
            </w:pPr>
            <w:r w:rsidRPr="004B7788">
              <w:rPr>
                <w:rFonts w:asciiTheme="majorHAnsi" w:hAnsiTheme="majorHAnsi"/>
                <w:sz w:val="18"/>
                <w:szCs w:val="18"/>
              </w:rPr>
              <w:t>22</w:t>
            </w:r>
            <w:r w:rsidRPr="004B7788">
              <w:rPr>
                <w:rFonts w:asciiTheme="majorHAnsi" w:hAnsiTheme="majorHAnsi"/>
                <w:sz w:val="18"/>
                <w:szCs w:val="18"/>
                <w:vertAlign w:val="superscript"/>
              </w:rPr>
              <w:t>nd</w:t>
            </w:r>
            <w:r w:rsidRPr="004B7788">
              <w:rPr>
                <w:rFonts w:asciiTheme="majorHAnsi" w:hAnsiTheme="majorHAnsi"/>
                <w:sz w:val="18"/>
                <w:szCs w:val="18"/>
              </w:rPr>
              <w:t xml:space="preserve"> June</w:t>
            </w:r>
          </w:p>
        </w:tc>
        <w:tc>
          <w:tcPr>
            <w:tcW w:w="7573" w:type="dxa"/>
          </w:tcPr>
          <w:p w:rsidR="00B43AFE" w:rsidRPr="004B7788" w:rsidRDefault="00B43AFE" w:rsidP="004B7788">
            <w:pPr>
              <w:rPr>
                <w:rFonts w:asciiTheme="majorHAnsi" w:hAnsiTheme="majorHAnsi"/>
                <w:sz w:val="18"/>
                <w:szCs w:val="18"/>
              </w:rPr>
            </w:pPr>
            <w:r w:rsidRPr="004B7788">
              <w:rPr>
                <w:rFonts w:asciiTheme="majorHAnsi" w:hAnsiTheme="majorHAnsi"/>
                <w:sz w:val="18"/>
                <w:szCs w:val="18"/>
              </w:rPr>
              <w:t>Meeting with a representative from GIZ (Nikoleta Bogatinova)</w:t>
            </w: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Skype meeting with Prespa National Forest Management Body (Leto Papadoloulou)</w:t>
            </w: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Debriefing with Head of the Environment Cluster (Anita Kodzoman), DRR of UNDP (Alessandro Fracassetti)</w:t>
            </w:r>
          </w:p>
          <w:p w:rsidR="00B43AFE" w:rsidRPr="004B7788" w:rsidRDefault="00B43AFE" w:rsidP="004B7788">
            <w:pPr>
              <w:rPr>
                <w:rFonts w:asciiTheme="majorHAnsi" w:hAnsiTheme="majorHAnsi"/>
                <w:sz w:val="18"/>
                <w:szCs w:val="18"/>
              </w:rPr>
            </w:pPr>
          </w:p>
          <w:p w:rsidR="00B43AFE" w:rsidRPr="004B7788" w:rsidRDefault="00B43AFE" w:rsidP="004B7788">
            <w:pPr>
              <w:rPr>
                <w:rFonts w:asciiTheme="majorHAnsi" w:hAnsiTheme="majorHAnsi"/>
                <w:sz w:val="18"/>
                <w:szCs w:val="18"/>
              </w:rPr>
            </w:pPr>
            <w:r w:rsidRPr="004B7788">
              <w:rPr>
                <w:rFonts w:asciiTheme="majorHAnsi" w:hAnsiTheme="majorHAnsi"/>
                <w:sz w:val="18"/>
                <w:szCs w:val="18"/>
              </w:rPr>
              <w:t>Overnight in Skopje</w:t>
            </w:r>
          </w:p>
        </w:tc>
      </w:tr>
      <w:tr w:rsidR="00B43AFE" w:rsidRPr="004B7788" w:rsidTr="004B7788">
        <w:tc>
          <w:tcPr>
            <w:tcW w:w="959" w:type="dxa"/>
          </w:tcPr>
          <w:p w:rsidR="00B43AFE" w:rsidRPr="004B7788" w:rsidRDefault="00B43AFE" w:rsidP="004B7788">
            <w:pPr>
              <w:rPr>
                <w:rFonts w:asciiTheme="majorHAnsi" w:hAnsiTheme="majorHAnsi"/>
                <w:sz w:val="18"/>
                <w:szCs w:val="18"/>
              </w:rPr>
            </w:pPr>
            <w:r w:rsidRPr="004B7788">
              <w:rPr>
                <w:rFonts w:asciiTheme="majorHAnsi" w:hAnsiTheme="majorHAnsi"/>
                <w:sz w:val="18"/>
                <w:szCs w:val="18"/>
              </w:rPr>
              <w:t>Sat</w:t>
            </w:r>
          </w:p>
        </w:tc>
        <w:tc>
          <w:tcPr>
            <w:tcW w:w="1039" w:type="dxa"/>
          </w:tcPr>
          <w:p w:rsidR="00B43AFE" w:rsidRPr="004B7788" w:rsidRDefault="00B43AFE" w:rsidP="004B7788">
            <w:pPr>
              <w:rPr>
                <w:rFonts w:asciiTheme="majorHAnsi" w:hAnsiTheme="majorHAnsi"/>
                <w:sz w:val="18"/>
                <w:szCs w:val="18"/>
              </w:rPr>
            </w:pPr>
            <w:r w:rsidRPr="004B7788">
              <w:rPr>
                <w:rFonts w:asciiTheme="majorHAnsi" w:hAnsiTheme="majorHAnsi"/>
                <w:sz w:val="18"/>
                <w:szCs w:val="18"/>
              </w:rPr>
              <w:t>23</w:t>
            </w:r>
            <w:r w:rsidRPr="004B7788">
              <w:rPr>
                <w:rFonts w:asciiTheme="majorHAnsi" w:hAnsiTheme="majorHAnsi"/>
                <w:sz w:val="18"/>
                <w:szCs w:val="18"/>
                <w:vertAlign w:val="superscript"/>
              </w:rPr>
              <w:t>rd</w:t>
            </w:r>
            <w:r w:rsidRPr="004B7788">
              <w:rPr>
                <w:rFonts w:asciiTheme="majorHAnsi" w:hAnsiTheme="majorHAnsi"/>
                <w:sz w:val="18"/>
                <w:szCs w:val="18"/>
              </w:rPr>
              <w:t xml:space="preserve"> June</w:t>
            </w:r>
          </w:p>
        </w:tc>
        <w:tc>
          <w:tcPr>
            <w:tcW w:w="7573" w:type="dxa"/>
          </w:tcPr>
          <w:p w:rsidR="00B43AFE" w:rsidRPr="004B7788" w:rsidRDefault="00B43AFE" w:rsidP="004B7788">
            <w:pPr>
              <w:rPr>
                <w:rFonts w:asciiTheme="majorHAnsi" w:hAnsiTheme="majorHAnsi"/>
                <w:sz w:val="18"/>
                <w:szCs w:val="18"/>
              </w:rPr>
            </w:pPr>
            <w:r w:rsidRPr="004B7788">
              <w:rPr>
                <w:rFonts w:asciiTheme="majorHAnsi" w:hAnsiTheme="majorHAnsi"/>
                <w:sz w:val="18"/>
                <w:szCs w:val="18"/>
              </w:rPr>
              <w:t>Departure</w:t>
            </w:r>
          </w:p>
        </w:tc>
      </w:tr>
    </w:tbl>
    <w:p w:rsidR="00A217B3" w:rsidRPr="000A3C73" w:rsidRDefault="00B43AFE" w:rsidP="00066970">
      <w:pPr>
        <w:pStyle w:val="BodyText"/>
        <w:numPr>
          <w:ilvl w:val="0"/>
          <w:numId w:val="0"/>
        </w:numPr>
      </w:pPr>
      <w:r w:rsidRPr="000A3C73" w:rsidDel="00B43AFE">
        <w:rPr>
          <w:highlight w:val="yellow"/>
        </w:rPr>
        <w:t xml:space="preserve"> </w:t>
      </w:r>
    </w:p>
    <w:p w:rsidR="00A217B3" w:rsidRPr="000A3C73" w:rsidRDefault="00A217B3" w:rsidP="00066970">
      <w:pPr>
        <w:pStyle w:val="BodyText"/>
        <w:numPr>
          <w:ilvl w:val="0"/>
          <w:numId w:val="0"/>
        </w:numPr>
      </w:pPr>
    </w:p>
    <w:sectPr w:rsidR="00A217B3" w:rsidRPr="000A3C73" w:rsidSect="00EB3F2D">
      <w:headerReference w:type="default" r:id="rId48"/>
      <w:pgSz w:w="12240" w:h="15840"/>
      <w:pgMar w:top="1440" w:right="1440" w:bottom="1440" w:left="1440" w:header="720" w:footer="720" w:gutter="0"/>
      <w:pgNumType w:start="8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3258" w:rsidRDefault="00ED3258">
      <w:r>
        <w:separator/>
      </w:r>
    </w:p>
  </w:endnote>
  <w:endnote w:type="continuationSeparator" w:id="0">
    <w:p w:rsidR="00ED3258" w:rsidRDefault="00ED325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yriad Pro">
    <w:altName w:val="Segoe UI"/>
    <w:panose1 w:val="020B0503030403020204"/>
    <w:charset w:val="00"/>
    <w:family w:val="swiss"/>
    <w:notTrueType/>
    <w:pitch w:val="variable"/>
    <w:sig w:usb0="00000001" w:usb1="5000204B" w:usb2="00000000"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Lucida Grande">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auto"/>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ＭＳ 明朝">
    <w:charset w:val="4E"/>
    <w:family w:val="auto"/>
    <w:pitch w:val="variable"/>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F9D" w:rsidRDefault="008269C6" w:rsidP="00EA50B6">
    <w:pPr>
      <w:pStyle w:val="Footer"/>
      <w:framePr w:wrap="around" w:vAnchor="text" w:hAnchor="margin" w:xAlign="right" w:y="1"/>
      <w:rPr>
        <w:rStyle w:val="PageNumber"/>
      </w:rPr>
    </w:pPr>
    <w:r>
      <w:rPr>
        <w:rStyle w:val="PageNumber"/>
      </w:rPr>
      <w:fldChar w:fldCharType="begin"/>
    </w:r>
    <w:r w:rsidR="00E66F9D">
      <w:rPr>
        <w:rStyle w:val="PageNumber"/>
      </w:rPr>
      <w:instrText xml:space="preserve">PAGE  </w:instrText>
    </w:r>
    <w:r>
      <w:rPr>
        <w:rStyle w:val="PageNumber"/>
      </w:rPr>
      <w:fldChar w:fldCharType="end"/>
    </w:r>
  </w:p>
  <w:p w:rsidR="00E66F9D" w:rsidRDefault="00E66F9D" w:rsidP="00A3537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F9D" w:rsidRPr="00A35372" w:rsidRDefault="008269C6" w:rsidP="00EA50B6">
    <w:pPr>
      <w:pStyle w:val="Footer"/>
      <w:framePr w:wrap="around" w:vAnchor="text" w:hAnchor="margin" w:xAlign="right" w:y="1"/>
      <w:rPr>
        <w:rStyle w:val="PageNumber"/>
      </w:rPr>
    </w:pPr>
    <w:r w:rsidRPr="00A35372">
      <w:rPr>
        <w:rStyle w:val="PageNumber"/>
        <w:rFonts w:ascii="Calibri" w:hAnsi="Calibri"/>
        <w:sz w:val="20"/>
      </w:rPr>
      <w:fldChar w:fldCharType="begin"/>
    </w:r>
    <w:r w:rsidR="00E66F9D" w:rsidRPr="00A35372">
      <w:rPr>
        <w:rStyle w:val="PageNumber"/>
        <w:rFonts w:ascii="Calibri" w:hAnsi="Calibri"/>
        <w:sz w:val="20"/>
      </w:rPr>
      <w:instrText xml:space="preserve">PAGE  </w:instrText>
    </w:r>
    <w:r w:rsidRPr="00A35372">
      <w:rPr>
        <w:rStyle w:val="PageNumber"/>
        <w:rFonts w:ascii="Calibri" w:hAnsi="Calibri"/>
        <w:sz w:val="20"/>
      </w:rPr>
      <w:fldChar w:fldCharType="separate"/>
    </w:r>
    <w:r w:rsidR="005A5A24">
      <w:rPr>
        <w:rStyle w:val="PageNumber"/>
        <w:rFonts w:ascii="Calibri" w:hAnsi="Calibri"/>
        <w:noProof/>
        <w:sz w:val="20"/>
      </w:rPr>
      <w:t>23</w:t>
    </w:r>
    <w:r w:rsidRPr="00A35372">
      <w:rPr>
        <w:rStyle w:val="PageNumber"/>
        <w:rFonts w:ascii="Calibri" w:hAnsi="Calibri"/>
        <w:sz w:val="20"/>
      </w:rPr>
      <w:fldChar w:fldCharType="end"/>
    </w:r>
  </w:p>
  <w:p w:rsidR="00E66F9D" w:rsidRDefault="00E66F9D" w:rsidP="00A3537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3258" w:rsidRDefault="00ED3258">
      <w:r>
        <w:separator/>
      </w:r>
    </w:p>
  </w:footnote>
  <w:footnote w:type="continuationSeparator" w:id="0">
    <w:p w:rsidR="00ED3258" w:rsidRDefault="00ED3258">
      <w:r>
        <w:continuationSeparator/>
      </w:r>
    </w:p>
  </w:footnote>
  <w:footnote w:id="1">
    <w:p w:rsidR="00E66F9D" w:rsidRDefault="00E66F9D">
      <w:pPr>
        <w:pStyle w:val="FootnoteText"/>
      </w:pPr>
      <w:r>
        <w:rPr>
          <w:rStyle w:val="FootnoteReference"/>
        </w:rPr>
        <w:footnoteRef/>
      </w:r>
      <w:hyperlink r:id="rId1" w:anchor="spp" w:history="1">
        <w:r w:rsidRPr="009C6392">
          <w:rPr>
            <w:rStyle w:val="Hyperlink"/>
          </w:rPr>
          <w:t>http://www.ramsar.org/cda/en/ramsar-activities-awards-1999-ramsar-wetland-15970/main/ramsar/1-63-67-152%5E15970_4000_0__#spp</w:t>
        </w:r>
      </w:hyperlink>
      <w:r>
        <w:t xml:space="preserve">. </w:t>
      </w:r>
    </w:p>
  </w:footnote>
  <w:footnote w:id="2">
    <w:p w:rsidR="00E66F9D" w:rsidRDefault="00E66F9D">
      <w:pPr>
        <w:pStyle w:val="FootnoteText"/>
      </w:pPr>
      <w:r>
        <w:rPr>
          <w:rStyle w:val="FootnoteReference"/>
        </w:rPr>
        <w:footnoteRef/>
      </w:r>
      <w:r>
        <w:t>GEF Evaluation Office.2007. “Joint Evaluation of the GEF Activity Cycle and Modalities,” Evaluation Report No. 33. Washington, D.C.: GEF Evaluation Office.</w:t>
      </w:r>
    </w:p>
  </w:footnote>
  <w:footnote w:id="3">
    <w:p w:rsidR="00E66F9D" w:rsidRDefault="00E66F9D" w:rsidP="00185FB6">
      <w:pPr>
        <w:pStyle w:val="FootnoteText"/>
      </w:pPr>
      <w:r w:rsidRPr="005F450A">
        <w:rPr>
          <w:rStyle w:val="FootnoteReference"/>
        </w:rPr>
        <w:footnoteRef/>
      </w:r>
      <w:r w:rsidRPr="007739CD">
        <w:t xml:space="preserve">Sources: 1.A. N/A; 1.B. GEF PMIS; 2.A. N/A; 2.B. </w:t>
      </w:r>
      <w:r>
        <w:t>2010 PIR</w:t>
      </w:r>
      <w:r w:rsidRPr="007739CD">
        <w:t xml:space="preserve">; 3.A. N/S; 3.B. </w:t>
      </w:r>
      <w:r>
        <w:t>GEF online project database</w:t>
      </w:r>
      <w:r w:rsidRPr="007739CD">
        <w:t xml:space="preserve">; 4.A. N/A; 4.B. GEF </w:t>
      </w:r>
      <w:r>
        <w:t>PMIS; 5.A. GEF PMIS</w:t>
      </w:r>
      <w:r w:rsidRPr="007739CD">
        <w:t xml:space="preserve">; 5.B. GEF PMIS; 6.A. N/S; 6.B. GEF PMIS; 7.A. N/S; 7.B. </w:t>
      </w:r>
      <w:r>
        <w:t>GEF PMIS; 8.A. N/S; 8.B. 2008</w:t>
      </w:r>
      <w:r w:rsidRPr="007739CD">
        <w:t xml:space="preserve"> PIR; 9.A. </w:t>
      </w:r>
      <w:r>
        <w:t>N/S; 9.B. 2008</w:t>
      </w:r>
      <w:r w:rsidRPr="007739CD">
        <w:t xml:space="preserve"> PIR; 10.A. </w:t>
      </w:r>
      <w:r>
        <w:t>2008 PIR</w:t>
      </w:r>
      <w:r w:rsidRPr="007739CD">
        <w:t>; 10.B.</w:t>
      </w:r>
      <w:r>
        <w:t xml:space="preserve"> Date of MTE report; 11.A. 2008</w:t>
      </w:r>
      <w:r w:rsidRPr="007739CD">
        <w:t xml:space="preserve"> PIR; 11.B. </w:t>
      </w:r>
      <w:r>
        <w:t>Project team communication</w:t>
      </w:r>
      <w:r w:rsidRPr="007739CD">
        <w:t xml:space="preserve">; 12.A. </w:t>
      </w:r>
      <w:r>
        <w:t>2010 PIR</w:t>
      </w:r>
      <w:r w:rsidRPr="007739CD">
        <w:t xml:space="preserve">; 12.B. </w:t>
      </w:r>
      <w:r>
        <w:t>Date of terminal evaluation field mission; 13.A. N/S; 13.B. As per UNDP standard procedures.</w:t>
      </w:r>
    </w:p>
  </w:footnote>
  <w:footnote w:id="4">
    <w:p w:rsidR="00E66F9D" w:rsidRDefault="00E66F9D">
      <w:pPr>
        <w:pStyle w:val="FootnoteText"/>
      </w:pPr>
      <w:r>
        <w:rPr>
          <w:rStyle w:val="FootnoteReference"/>
        </w:rPr>
        <w:footnoteRef/>
      </w:r>
      <w:r>
        <w:t xml:space="preserve"> S</w:t>
      </w:r>
      <w:r w:rsidRPr="000069BC">
        <w:t xml:space="preserve">ee the </w:t>
      </w:r>
      <w:r>
        <w:t>“</w:t>
      </w:r>
      <w:r w:rsidRPr="000069BC">
        <w:t>Project Concept and Design</w:t>
      </w:r>
      <w:r>
        <w:t>”</w:t>
      </w:r>
      <w:r w:rsidRPr="000069BC">
        <w:t xml:space="preserve"> section of the mid-term evaluation for an in-depth analysis of the contradictions in the project document</w:t>
      </w:r>
      <w:r>
        <w:t>.</w:t>
      </w:r>
    </w:p>
  </w:footnote>
  <w:footnote w:id="5">
    <w:p w:rsidR="00E66F9D" w:rsidRDefault="00E66F9D">
      <w:pPr>
        <w:pStyle w:val="FootnoteText"/>
      </w:pPr>
      <w:r>
        <w:rPr>
          <w:rStyle w:val="FootnoteReference"/>
        </w:rPr>
        <w:footnoteRef/>
      </w:r>
      <w:r>
        <w:t xml:space="preserve"> Source: GEF Evaluation Review of Outcomes to Impacts Handbook. </w:t>
      </w:r>
    </w:p>
  </w:footnote>
  <w:footnote w:id="6">
    <w:p w:rsidR="00E66F9D" w:rsidRDefault="00E66F9D" w:rsidP="00301CFD">
      <w:pPr>
        <w:pStyle w:val="FootnoteText"/>
      </w:pPr>
      <w:r>
        <w:rPr>
          <w:rStyle w:val="FootnoteReference"/>
        </w:rPr>
        <w:footnoteRef/>
      </w:r>
      <w:r>
        <w:t xml:space="preserve"> POC meetings were specified as semi-annually in the project document, but after further discussion annual meetings were deemed sufficient. </w:t>
      </w:r>
    </w:p>
  </w:footnote>
  <w:footnote w:id="7">
    <w:p w:rsidR="00E66F9D" w:rsidRDefault="00E66F9D" w:rsidP="00EA145F">
      <w:pPr>
        <w:pStyle w:val="FootnoteText"/>
      </w:pPr>
      <w:r>
        <w:rPr>
          <w:rStyle w:val="FootnoteReference"/>
        </w:rPr>
        <w:footnoteRef/>
      </w:r>
      <w:r>
        <w:t xml:space="preserve"> For the focal area strategic approach for GEF-4, see GEF Council document GEF/C.31/1, “Focal Area Strategic and Strategic Programming for GEF-4,” July 16, 2007. </w:t>
      </w:r>
    </w:p>
  </w:footnote>
  <w:footnote w:id="8">
    <w:p w:rsidR="00E66F9D" w:rsidRDefault="00E66F9D">
      <w:pPr>
        <w:pStyle w:val="FootnoteText"/>
      </w:pPr>
      <w:r>
        <w:rPr>
          <w:rStyle w:val="FootnoteReference"/>
        </w:rPr>
        <w:footnoteRef/>
      </w:r>
      <w:r>
        <w:t xml:space="preserve"> For the focal area strategic priorities for GEF-5, see GEF Council document GEF/R.5/31, “GEF-5 Programming Document,” May 3, 2010. </w:t>
      </w:r>
    </w:p>
  </w:footnote>
  <w:footnote w:id="9">
    <w:p w:rsidR="00E66F9D" w:rsidRDefault="00E66F9D">
      <w:pPr>
        <w:pStyle w:val="FootnoteText"/>
      </w:pPr>
      <w:r>
        <w:rPr>
          <w:rStyle w:val="FootnoteReference"/>
        </w:rPr>
        <w:footnoteRef/>
      </w:r>
      <w:r>
        <w:t xml:space="preserve"> UNDP TRAC funding is allocated from UNDP’s global core budget; TRAC stands for “target resource assignment from the core”.</w:t>
      </w:r>
    </w:p>
  </w:footnote>
  <w:footnote w:id="10">
    <w:p w:rsidR="00E66F9D" w:rsidRDefault="00E66F9D">
      <w:pPr>
        <w:pStyle w:val="FootnoteText"/>
      </w:pPr>
      <w:r>
        <w:rPr>
          <w:rStyle w:val="FootnoteReference"/>
        </w:rPr>
        <w:footnoteRef/>
      </w:r>
      <w:r>
        <w:t xml:space="preserve"> </w:t>
      </w:r>
      <w:r w:rsidRPr="00870E9A">
        <w:t>For reference, the outcomes can be considered in shorthand as: Outcome 1 – Land and Water / Natural Resource Management; Outcome 2 – Improvement of the Productive Sector; Outcome 3 – PA Strengthening / Biodiversity Conservation; Outcome 4 – Transboundary Cooperation; Outcome 5 – Lessons Learned and Adaptive Management.</w:t>
      </w:r>
    </w:p>
  </w:footnote>
  <w:footnote w:id="11">
    <w:p w:rsidR="00E66F9D" w:rsidRDefault="00E66F9D">
      <w:pPr>
        <w:pStyle w:val="FootnoteText"/>
      </w:pPr>
      <w:r>
        <w:rPr>
          <w:rStyle w:val="FootnoteReference"/>
        </w:rPr>
        <w:footnoteRef/>
      </w:r>
      <w:r>
        <w:t xml:space="preserve"> As per the GEF Council decision C.20.6 (November 2002) on co-financing, associated financing is “finance for other activities that are related to the project or to similar commitments but which is not essential for the project’s successful implementation.” Historically, many GEF projects have counted funding strictly defined as “associated financing” as actual project co-financing, thus it would not be unjustified to say that some other activities carried out in the Prespa basin could be considered co-financing. </w:t>
      </w:r>
    </w:p>
  </w:footnote>
  <w:footnote w:id="12">
    <w:p w:rsidR="00E66F9D" w:rsidRDefault="00E66F9D">
      <w:pPr>
        <w:pStyle w:val="FootnoteText"/>
      </w:pPr>
      <w:r>
        <w:rPr>
          <w:rStyle w:val="FootnoteReference"/>
        </w:rPr>
        <w:footnoteRef/>
      </w:r>
      <w:r>
        <w:t xml:space="preserve"> </w:t>
      </w:r>
      <w:r w:rsidRPr="00581CC1">
        <w:t xml:space="preserve">The leveraged additional resources from SDC that were </w:t>
      </w:r>
      <w:r>
        <w:t>managed by UNDP Macedonia are $9,927,</w:t>
      </w:r>
      <w:r w:rsidRPr="00581CC1">
        <w:t>700 USD (using UN</w:t>
      </w:r>
      <w:r>
        <w:t xml:space="preserve"> rate of exchange for Nov 2012)</w:t>
      </w:r>
      <w:r w:rsidRPr="00581CC1">
        <w:t>: Extension of the Solid Waste Management Service in the Rural Communities of Prespa - 472,000 CHF; Restoration of Golema</w:t>
      </w:r>
      <w:r>
        <w:t xml:space="preserve"> </w:t>
      </w:r>
      <w:r w:rsidRPr="00581CC1">
        <w:t>Reka (Phase I and II) - 3,000,000 CHF; Pilot Project on Biodegradable Waste Management in the Prespa Region – 760,000 CHF; Restoration of Prespa Lake Ecosystem (Implementation of the Prespa Lake Watershed Management Plan) – 5,000,000 CHF.</w:t>
      </w:r>
    </w:p>
  </w:footnote>
  <w:footnote w:id="13">
    <w:p w:rsidR="00E66F9D" w:rsidRDefault="00E66F9D">
      <w:pPr>
        <w:pStyle w:val="FootnoteText"/>
      </w:pPr>
      <w:r>
        <w:rPr>
          <w:rStyle w:val="FootnoteReference"/>
        </w:rPr>
        <w:footnoteRef/>
      </w:r>
      <w:r>
        <w:t xml:space="preserve"> Data from the project document, unless otherwise noted, except for information on distance from capital, which is based on Google Maps and personal experience of the evaluator. </w:t>
      </w:r>
    </w:p>
  </w:footnote>
  <w:footnote w:id="14">
    <w:p w:rsidR="00E66F9D" w:rsidRDefault="00E66F9D">
      <w:pPr>
        <w:pStyle w:val="FootnoteText"/>
      </w:pPr>
      <w:r>
        <w:rPr>
          <w:rStyle w:val="FootnoteReference"/>
        </w:rPr>
        <w:footnoteRef/>
      </w:r>
      <w:r>
        <w:t xml:space="preserve"> Calculated based on data provided in the project document, and data available online through multiple sources. For Macedonia and Albania, this is calculated based on per capita GDP for 2005, approximately when the data in the project was provided. For Greece this is calculated based on pre-crisis 2009 income. </w:t>
      </w:r>
    </w:p>
  </w:footnote>
  <w:footnote w:id="15">
    <w:p w:rsidR="00E66F9D" w:rsidRDefault="00E66F9D">
      <w:pPr>
        <w:pStyle w:val="FootnoteText"/>
      </w:pPr>
      <w:r>
        <w:rPr>
          <w:rStyle w:val="FootnoteReference"/>
        </w:rPr>
        <w:footnoteRef/>
      </w:r>
      <w:r>
        <w:t xml:space="preserve"> Just for illustrative purposes, this is a very “back of the napkin” calculation as such: Population x per capita GDP / total GDP. For Macedonia this works out as 0.22% of GDP. </w:t>
      </w:r>
    </w:p>
  </w:footnote>
  <w:footnote w:id="16">
    <w:p w:rsidR="00E66F9D" w:rsidRDefault="00E66F9D">
      <w:pPr>
        <w:pStyle w:val="FootnoteText"/>
      </w:pPr>
      <w:r>
        <w:rPr>
          <w:rStyle w:val="FootnoteReference"/>
        </w:rPr>
        <w:footnoteRef/>
      </w:r>
      <w:r>
        <w:t xml:space="preserve"> Source: Project document budgeted component workplans. </w:t>
      </w:r>
    </w:p>
  </w:footnote>
  <w:footnote w:id="17">
    <w:p w:rsidR="00E66F9D" w:rsidRDefault="00E66F9D" w:rsidP="007A2135">
      <w:pPr>
        <w:pStyle w:val="FootnoteText"/>
      </w:pPr>
      <w:r w:rsidRPr="00E90626">
        <w:rPr>
          <w:rStyle w:val="FootnoteReference"/>
          <w:szCs w:val="16"/>
        </w:rPr>
        <w:footnoteRef/>
      </w:r>
      <w:r w:rsidRPr="006B2EF4">
        <w:t>They include analyses of the existing regulatory and institutional framework with relevance to site productive sectors (water, forest, agriculture. and fishery), identification of the cross-cutting issues thereof with the need for maintenance and conservation of ecosystem health, provisions for the future watershed management perspective, insight and recommendations for the human and financial resources with implications on enforcement and control.</w:t>
      </w:r>
    </w:p>
  </w:footnote>
  <w:footnote w:id="18">
    <w:p w:rsidR="00E66F9D" w:rsidRDefault="00E66F9D">
      <w:pPr>
        <w:pStyle w:val="FootnoteText"/>
      </w:pPr>
      <w:r>
        <w:rPr>
          <w:rStyle w:val="FootnoteReference"/>
        </w:rPr>
        <w:footnoteRef/>
      </w:r>
      <w:r w:rsidRPr="00786CB6">
        <w:rPr>
          <w:lang w:val="en-GB"/>
        </w:rPr>
        <w:t>The Devolli canal was constructed in 1976 for irrigation in the summer; during the winter the Devolli water was allowed to run into Micro Prespa, which led to heavy siltation from the Albanian side.</w:t>
      </w:r>
    </w:p>
  </w:footnote>
  <w:footnote w:id="19">
    <w:p w:rsidR="00E66F9D" w:rsidRPr="00695C39" w:rsidRDefault="00E66F9D" w:rsidP="00582FD5">
      <w:pPr>
        <w:pStyle w:val="FootnoteText"/>
        <w:jc w:val="both"/>
        <w:rPr>
          <w:sz w:val="18"/>
          <w:szCs w:val="18"/>
          <w:lang w:val="mk-MK"/>
        </w:rPr>
      </w:pPr>
      <w:r w:rsidRPr="00695C39">
        <w:rPr>
          <w:rStyle w:val="FootnoteReference"/>
          <w:sz w:val="18"/>
          <w:szCs w:val="18"/>
        </w:rPr>
        <w:footnoteRef/>
      </w:r>
      <w:r w:rsidRPr="00786CB6">
        <w:rPr>
          <w:szCs w:val="20"/>
        </w:rPr>
        <w:t>The WMC includes representatives of: the MoEPP, Municipality of Resen, Forest Enterprise, Ministry of Agriculture, Forestry and Water Economy, Farmers Association, Environmental NGO representatives, Protected Area Managers, Fishermen’s Association, Public Utility Enterprise (water supply, wastewater and solid waste), Ministry of Transport and Communications, and Ministry of Internal Affairs, Scientific/Research Institutions (Hydrobiological Institute, Public Health Institute), Irrigation management (irrigation company and water-user groups), installations’ operators (main polluters) and other. It is chaired by the MoEPP.</w:t>
      </w:r>
    </w:p>
  </w:footnote>
  <w:footnote w:id="20">
    <w:p w:rsidR="00E66F9D" w:rsidRPr="00780E9D" w:rsidRDefault="00E66F9D" w:rsidP="000C43AF">
      <w:pPr>
        <w:pStyle w:val="FootnoteText"/>
      </w:pPr>
      <w:r w:rsidRPr="00780E9D">
        <w:rPr>
          <w:rStyle w:val="FootnoteReference"/>
          <w:rFonts w:ascii="Times New Roman" w:hAnsi="Times New Roman"/>
        </w:rPr>
        <w:footnoteRef/>
      </w:r>
      <w:r w:rsidRPr="00786CB6">
        <w:rPr>
          <w:szCs w:val="20"/>
        </w:rPr>
        <w:t>Three articles related to Prespa Park project: 1) Forest biodiversity assessment prepared by Mehmet Meta and Stavri Pllaha; 2) Supporting local environmental planning for the communities around Prespa lakes; 3) Transboundary component of GEF UNDP Prespa Park Project launched</w:t>
      </w:r>
      <w:r>
        <w:rPr>
          <w:szCs w:val="20"/>
        </w:rPr>
        <w:t>.</w:t>
      </w:r>
    </w:p>
  </w:footnote>
  <w:footnote w:id="21">
    <w:p w:rsidR="00E66F9D" w:rsidRPr="00141A80" w:rsidRDefault="00E66F9D" w:rsidP="001657BB">
      <w:pPr>
        <w:pStyle w:val="FootnoteText"/>
        <w:spacing w:after="60"/>
        <w:jc w:val="both"/>
        <w:rPr>
          <w:sz w:val="18"/>
          <w:szCs w:val="18"/>
        </w:rPr>
      </w:pPr>
      <w:r w:rsidRPr="00141A80">
        <w:rPr>
          <w:rStyle w:val="FootnoteReference"/>
          <w:sz w:val="18"/>
          <w:szCs w:val="18"/>
        </w:rPr>
        <w:footnoteRef/>
      </w:r>
      <w:r w:rsidRPr="00786CB6">
        <w:rPr>
          <w:szCs w:val="20"/>
        </w:rPr>
        <w:t>Composition of the Ezerani council: MoEPP (nature sector), Municipality of Resen, Ministry of Agriculture, Forestry and Water Economy, local communities of Ezerani, Perovo and Asamati, agricultural associations, public forest enterprise, public utility management enterprise, Natural Capital Resource Center, Hydrobiological Institute, Ohrid, Community Support Center (NGO), Directorate for Rescue and Protection, water management.</w:t>
      </w:r>
    </w:p>
  </w:footnote>
  <w:footnote w:id="22">
    <w:p w:rsidR="00E66F9D" w:rsidRDefault="00E66F9D">
      <w:pPr>
        <w:pStyle w:val="FootnoteText"/>
      </w:pPr>
      <w:r>
        <w:rPr>
          <w:rStyle w:val="FootnoteReference"/>
        </w:rPr>
        <w:footnoteRef/>
      </w:r>
      <w:r>
        <w:t xml:space="preserve"> SPP, 2011. “With a seal of approval from the European Union, the International Agreement for the Prespa Park is now in the hands of the three states that share the Prespa Basin,” October 6, 2011. </w:t>
      </w:r>
      <w:hyperlink r:id="rId2" w:history="1">
        <w:r w:rsidRPr="00A03B38">
          <w:rPr>
            <w:rStyle w:val="Hyperlink"/>
          </w:rPr>
          <w:t>http://www.spp.gr</w:t>
        </w:r>
      </w:hyperlink>
      <w:r>
        <w:t xml:space="preserve">. </w:t>
      </w:r>
    </w:p>
  </w:footnote>
  <w:footnote w:id="23">
    <w:p w:rsidR="00E66F9D" w:rsidRDefault="00E66F9D">
      <w:pPr>
        <w:pStyle w:val="FootnoteText"/>
      </w:pPr>
      <w:r>
        <w:rPr>
          <w:rStyle w:val="FootnoteReference"/>
        </w:rPr>
        <w:footnoteRef/>
      </w:r>
      <w:r>
        <w:t xml:space="preserve"> Available at </w:t>
      </w:r>
      <w:hyperlink r:id="rId3" w:history="1">
        <w:r w:rsidRPr="00A03B38">
          <w:rPr>
            <w:rStyle w:val="Hyperlink"/>
          </w:rPr>
          <w:t>http://europeandcis.undp.org/news/show/72DC6188-F203-1EE9-B343816E216B1384</w:t>
        </w:r>
      </w:hyperlink>
      <w:r>
        <w:t xml:space="preserve">. </w:t>
      </w:r>
    </w:p>
  </w:footnote>
  <w:footnote w:id="24">
    <w:p w:rsidR="00E66F9D" w:rsidRDefault="00E66F9D">
      <w:pPr>
        <w:pStyle w:val="FootnoteText"/>
      </w:pPr>
      <w:r>
        <w:rPr>
          <w:rStyle w:val="FootnoteReference"/>
        </w:rPr>
        <w:footnoteRef/>
      </w:r>
      <w:r>
        <w:t xml:space="preserve"> See </w:t>
      </w:r>
      <w:hyperlink r:id="rId4" w:history="1">
        <w:r w:rsidRPr="00A03B38">
          <w:rPr>
            <w:rStyle w:val="Hyperlink"/>
          </w:rPr>
          <w:t>http://www.unepscs.org/</w:t>
        </w:r>
      </w:hyperlink>
      <w:r>
        <w:t xml:space="preserve">, available as of September 2012. </w:t>
      </w:r>
    </w:p>
  </w:footnote>
  <w:footnote w:id="25">
    <w:p w:rsidR="00E66F9D" w:rsidRDefault="00E66F9D" w:rsidP="001731BD">
      <w:pPr>
        <w:pStyle w:val="FootnoteText"/>
      </w:pPr>
      <w:r>
        <w:rPr>
          <w:rStyle w:val="FootnoteReference"/>
        </w:rPr>
        <w:footnoteRef/>
      </w:r>
      <w:r w:rsidRPr="00AF7AD1">
        <w:rPr>
          <w:bCs/>
          <w:szCs w:val="22"/>
          <w:lang w:val="mk-MK"/>
        </w:rPr>
        <w:t>See discussions under Output 3.2 and Output 4.4 in the mid-term evaluation for further commentary on the timing of the completion of the conservation plans.</w:t>
      </w:r>
    </w:p>
  </w:footnote>
  <w:footnote w:id="26">
    <w:p w:rsidR="00E66F9D" w:rsidRDefault="00E66F9D">
      <w:pPr>
        <w:pStyle w:val="FootnoteText"/>
      </w:pPr>
      <w:r>
        <w:rPr>
          <w:rStyle w:val="FootnoteReference"/>
        </w:rPr>
        <w:footnoteRef/>
      </w:r>
      <w:r>
        <w:t xml:space="preserve"> The plans are available in English at </w:t>
      </w:r>
      <w:hyperlink r:id="rId5" w:history="1">
        <w:r w:rsidRPr="00481E88">
          <w:rPr>
            <w:rStyle w:val="Hyperlink"/>
          </w:rPr>
          <w:t>http://prespa.iwlearn.org/species-and-habitats-conservation-and-action-plans</w:t>
        </w:r>
      </w:hyperlink>
      <w:r>
        <w:t xml:space="preserve">. </w:t>
      </w:r>
    </w:p>
  </w:footnote>
  <w:footnote w:id="27">
    <w:p w:rsidR="00E66F9D" w:rsidRDefault="00E66F9D">
      <w:pPr>
        <w:pStyle w:val="FootnoteText"/>
      </w:pPr>
      <w:r>
        <w:rPr>
          <w:rStyle w:val="FootnoteReference"/>
        </w:rPr>
        <w:footnoteRef/>
      </w:r>
      <w:r>
        <w:t xml:space="preserve"> Source: Stojanov, A., et al. 2012. “Brown Bear Conservation Action Plan for the Prespa Lakes Watershed,” Final Report, January 2012. </w:t>
      </w:r>
    </w:p>
  </w:footnote>
  <w:footnote w:id="28">
    <w:p w:rsidR="00E66F9D" w:rsidRDefault="00E66F9D" w:rsidP="009C3B3C">
      <w:pPr>
        <w:pStyle w:val="FootnoteText"/>
      </w:pPr>
      <w:r>
        <w:rPr>
          <w:rStyle w:val="FootnoteReference"/>
        </w:rPr>
        <w:footnoteRef/>
      </w:r>
      <w:r>
        <w:t xml:space="preserve"> Although under consideration when the GEF project was under development, according to project stakeholders the KfW assistance for Albanian Prespa was delayed by a hesitancy of the Albanian government to revise the institutional and legal status of the Prespa National Park to facilitate it’s independent legal status, rather than continuing to be an entity dependent on the forestry division of the MoEFWA. This issue was never resolved and KfW decided to proceed with this bilateral support anyway, after a delay of a number of years. </w:t>
      </w:r>
    </w:p>
  </w:footnote>
  <w:footnote w:id="29">
    <w:p w:rsidR="00E66F9D" w:rsidRDefault="00E66F9D" w:rsidP="00006730">
      <w:pPr>
        <w:pStyle w:val="FootnoteText"/>
      </w:pPr>
      <w:r>
        <w:rPr>
          <w:rStyle w:val="FootnoteReference"/>
        </w:rPr>
        <w:footnoteRef/>
      </w:r>
      <w:r>
        <w:t xml:space="preserve"> The GEF Evaluation Office defines SMART indicators as those that are: Specific, Measureable, Achievable and Attributable, Relevant and Realistic, Timebound, Timely, Trackable and Targeted. See </w:t>
      </w:r>
      <w:hyperlink r:id="rId6" w:history="1">
        <w:r w:rsidRPr="00FD2482">
          <w:rPr>
            <w:rStyle w:val="Hyperlink"/>
          </w:rPr>
          <w:t>http://www.gefcountrysupport.org/report_detail.cfm?projectId=232</w:t>
        </w:r>
      </w:hyperlink>
      <w:r>
        <w:t xml:space="preserve"> for additional information. </w:t>
      </w:r>
    </w:p>
  </w:footnote>
  <w:footnote w:id="30">
    <w:p w:rsidR="00E66F9D" w:rsidRDefault="00E66F9D">
      <w:pPr>
        <w:pStyle w:val="FootnoteText"/>
      </w:pPr>
      <w:r>
        <w:rPr>
          <w:rStyle w:val="FootnoteReference"/>
        </w:rPr>
        <w:footnoteRef/>
      </w:r>
      <w:r>
        <w:t xml:space="preserve"> See Annex 2</w:t>
      </w:r>
      <w:r w:rsidRPr="00B6148A">
        <w:t xml:space="preserve"> of</w:t>
      </w:r>
      <w:r>
        <w:t xml:space="preserve"> the transboundary component inception report.</w:t>
      </w:r>
    </w:p>
  </w:footnote>
  <w:footnote w:id="31">
    <w:p w:rsidR="00E66F9D" w:rsidRDefault="00E66F9D">
      <w:pPr>
        <w:pStyle w:val="FootnoteText"/>
      </w:pPr>
      <w:r>
        <w:rPr>
          <w:rStyle w:val="FootnoteReference"/>
        </w:rPr>
        <w:footnoteRef/>
      </w:r>
      <w:r>
        <w:t xml:space="preserve"> Source: 2012 PIR. </w:t>
      </w:r>
    </w:p>
  </w:footnote>
  <w:footnote w:id="32">
    <w:p w:rsidR="00E66F9D" w:rsidRPr="00901BE4" w:rsidRDefault="00E66F9D" w:rsidP="00005252">
      <w:pPr>
        <w:pStyle w:val="FootnoteText"/>
        <w:rPr>
          <w:color w:val="000000"/>
        </w:rPr>
      </w:pPr>
      <w:r w:rsidRPr="00901BE4">
        <w:rPr>
          <w:rStyle w:val="FootnoteReference"/>
          <w:color w:val="000000"/>
        </w:rPr>
        <w:footnoteRef/>
      </w:r>
      <w:r w:rsidRPr="00901BE4">
        <w:rPr>
          <w:color w:val="000000"/>
        </w:rPr>
        <w:t xml:space="preserve"> </w:t>
      </w:r>
      <w:r w:rsidRPr="00901BE4">
        <w:rPr>
          <w:color w:val="000000"/>
          <w:u w:val="single"/>
        </w:rPr>
        <w:t>Consolidated comment</w:t>
      </w:r>
      <w:r w:rsidRPr="00901BE4">
        <w:rPr>
          <w:color w:val="000000"/>
        </w:rPr>
        <w:t>: The Manual is now under development. See the comment 50.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F9D" w:rsidRPr="001E39A2" w:rsidRDefault="00E66F9D" w:rsidP="00C57D82">
    <w:pPr>
      <w:pStyle w:val="Header"/>
      <w:pBdr>
        <w:bottom w:val="single" w:sz="4" w:space="1" w:color="auto"/>
      </w:pBdr>
      <w:tabs>
        <w:tab w:val="right" w:pos="9360"/>
      </w:tabs>
      <w:rPr>
        <w:rFonts w:ascii="Calibri" w:hAnsi="Calibri"/>
        <w:i/>
        <w:sz w:val="20"/>
        <w:szCs w:val="20"/>
      </w:rPr>
    </w:pPr>
    <w:r w:rsidRPr="001E39A2">
      <w:rPr>
        <w:rFonts w:ascii="Calibri" w:hAnsi="Calibri"/>
        <w:i/>
        <w:sz w:val="20"/>
        <w:szCs w:val="20"/>
      </w:rPr>
      <w:t>Integrated Ecosystem Management in the Prespa Lakes Basin</w:t>
    </w:r>
  </w:p>
  <w:p w:rsidR="00E66F9D" w:rsidRPr="009F7251" w:rsidRDefault="00E66F9D" w:rsidP="00B41E00">
    <w:pPr>
      <w:pStyle w:val="Header"/>
      <w:pBdr>
        <w:bottom w:val="single" w:sz="4" w:space="1" w:color="auto"/>
      </w:pBdr>
      <w:tabs>
        <w:tab w:val="clear" w:pos="8640"/>
        <w:tab w:val="right" w:pos="9360"/>
      </w:tabs>
      <w:rPr>
        <w:rFonts w:ascii="Calibri" w:hAnsi="Calibri"/>
        <w:i/>
        <w:sz w:val="20"/>
      </w:rPr>
    </w:pPr>
    <w:r>
      <w:rPr>
        <w:rFonts w:ascii="Calibri" w:hAnsi="Calibri"/>
        <w:i/>
        <w:sz w:val="20"/>
      </w:rPr>
      <w:t>UNDP FYR Macedonia, UNDP Albania, Greece</w:t>
    </w:r>
    <w:r w:rsidRPr="009F7251">
      <w:rPr>
        <w:rFonts w:ascii="Calibri" w:hAnsi="Calibri"/>
        <w:i/>
        <w:sz w:val="20"/>
      </w:rPr>
      <w:tab/>
    </w:r>
    <w:r>
      <w:rPr>
        <w:rFonts w:ascii="Calibri" w:hAnsi="Calibri"/>
        <w:i/>
        <w:sz w:val="20"/>
      </w:rPr>
      <w:tab/>
      <w:t>Terminal</w:t>
    </w:r>
    <w:r w:rsidRPr="009F7251">
      <w:rPr>
        <w:rFonts w:ascii="Calibri" w:hAnsi="Calibri"/>
        <w:i/>
        <w:sz w:val="20"/>
      </w:rPr>
      <w:t xml:space="preserve"> Evaluation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F9D" w:rsidRPr="001E39A2" w:rsidRDefault="00E66F9D" w:rsidP="001E39A2">
    <w:pPr>
      <w:pStyle w:val="Header"/>
      <w:pBdr>
        <w:bottom w:val="single" w:sz="4" w:space="1" w:color="auto"/>
      </w:pBdr>
      <w:tabs>
        <w:tab w:val="right" w:pos="9360"/>
      </w:tabs>
      <w:rPr>
        <w:rFonts w:ascii="Calibri" w:hAnsi="Calibri"/>
        <w:i/>
        <w:sz w:val="20"/>
        <w:szCs w:val="20"/>
      </w:rPr>
    </w:pPr>
    <w:r w:rsidRPr="001E39A2">
      <w:rPr>
        <w:rFonts w:ascii="Calibri" w:hAnsi="Calibri"/>
        <w:i/>
        <w:sz w:val="20"/>
        <w:szCs w:val="20"/>
      </w:rPr>
      <w:t>Integrated Ecosystem Management in the Prespa Lakes Basin</w:t>
    </w:r>
  </w:p>
  <w:p w:rsidR="00E66F9D" w:rsidRPr="001E39A2" w:rsidRDefault="00E66F9D" w:rsidP="001E39A2">
    <w:pPr>
      <w:pStyle w:val="Header"/>
      <w:pBdr>
        <w:bottom w:val="single" w:sz="4" w:space="1" w:color="auto"/>
      </w:pBdr>
      <w:tabs>
        <w:tab w:val="clear" w:pos="8640"/>
        <w:tab w:val="right" w:pos="12960"/>
      </w:tabs>
      <w:rPr>
        <w:rFonts w:ascii="Calibri" w:hAnsi="Calibri"/>
        <w:i/>
        <w:sz w:val="20"/>
      </w:rPr>
    </w:pPr>
    <w:r>
      <w:rPr>
        <w:rFonts w:ascii="Calibri" w:hAnsi="Calibri"/>
        <w:i/>
        <w:sz w:val="20"/>
      </w:rPr>
      <w:t>UNDP FYR Macedonia, UNDP Albania, Greece</w:t>
    </w:r>
    <w:r w:rsidRPr="009F7251">
      <w:rPr>
        <w:rFonts w:ascii="Calibri" w:hAnsi="Calibri"/>
        <w:i/>
        <w:sz w:val="20"/>
      </w:rPr>
      <w:tab/>
    </w:r>
    <w:r>
      <w:rPr>
        <w:rFonts w:ascii="Calibri" w:hAnsi="Calibri"/>
        <w:i/>
        <w:sz w:val="20"/>
      </w:rPr>
      <w:tab/>
      <w:t>Terminal</w:t>
    </w:r>
    <w:r w:rsidRPr="009F7251">
      <w:rPr>
        <w:rFonts w:ascii="Calibri" w:hAnsi="Calibri"/>
        <w:i/>
        <w:sz w:val="20"/>
      </w:rPr>
      <w:t xml:space="preserve"> Evaluation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F9D" w:rsidRPr="001E39A2" w:rsidRDefault="00E66F9D" w:rsidP="001E39A2">
    <w:pPr>
      <w:pStyle w:val="Header"/>
      <w:pBdr>
        <w:bottom w:val="single" w:sz="4" w:space="1" w:color="auto"/>
      </w:pBdr>
      <w:tabs>
        <w:tab w:val="right" w:pos="9360"/>
      </w:tabs>
      <w:rPr>
        <w:rFonts w:ascii="Calibri" w:hAnsi="Calibri"/>
        <w:i/>
        <w:sz w:val="20"/>
        <w:szCs w:val="20"/>
      </w:rPr>
    </w:pPr>
    <w:r w:rsidRPr="001E39A2">
      <w:rPr>
        <w:rFonts w:ascii="Calibri" w:hAnsi="Calibri"/>
        <w:i/>
        <w:sz w:val="20"/>
        <w:szCs w:val="20"/>
      </w:rPr>
      <w:t>Integrated Ecosystem Management in the Prespa Lakes Basin</w:t>
    </w:r>
  </w:p>
  <w:p w:rsidR="00E66F9D" w:rsidRPr="001E39A2" w:rsidRDefault="00E66F9D" w:rsidP="001E39A2">
    <w:pPr>
      <w:pStyle w:val="Header"/>
      <w:pBdr>
        <w:bottom w:val="single" w:sz="4" w:space="1" w:color="auto"/>
      </w:pBdr>
      <w:tabs>
        <w:tab w:val="clear" w:pos="8640"/>
        <w:tab w:val="right" w:pos="9360"/>
      </w:tabs>
      <w:rPr>
        <w:rFonts w:ascii="Calibri" w:hAnsi="Calibri"/>
        <w:i/>
        <w:sz w:val="20"/>
      </w:rPr>
    </w:pPr>
    <w:r>
      <w:rPr>
        <w:rFonts w:ascii="Calibri" w:hAnsi="Calibri"/>
        <w:i/>
        <w:sz w:val="20"/>
      </w:rPr>
      <w:t>UNDP FYR Macedonia, UNDP Albania, Greece</w:t>
    </w:r>
    <w:r w:rsidRPr="009F7251">
      <w:rPr>
        <w:rFonts w:ascii="Calibri" w:hAnsi="Calibri"/>
        <w:i/>
        <w:sz w:val="20"/>
      </w:rPr>
      <w:tab/>
    </w:r>
    <w:r>
      <w:rPr>
        <w:rFonts w:ascii="Calibri" w:hAnsi="Calibri"/>
        <w:i/>
        <w:sz w:val="20"/>
      </w:rPr>
      <w:tab/>
      <w:t>Terminal Evaluation</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F9D" w:rsidRPr="001E39A2" w:rsidRDefault="00E66F9D" w:rsidP="001E39A2">
    <w:pPr>
      <w:pStyle w:val="Header"/>
      <w:pBdr>
        <w:bottom w:val="single" w:sz="4" w:space="1" w:color="auto"/>
      </w:pBdr>
      <w:tabs>
        <w:tab w:val="right" w:pos="9360"/>
      </w:tabs>
      <w:rPr>
        <w:rFonts w:ascii="Calibri" w:hAnsi="Calibri"/>
        <w:i/>
        <w:sz w:val="20"/>
        <w:szCs w:val="20"/>
      </w:rPr>
    </w:pPr>
    <w:r w:rsidRPr="001E39A2">
      <w:rPr>
        <w:rFonts w:ascii="Calibri" w:hAnsi="Calibri"/>
        <w:i/>
        <w:sz w:val="20"/>
        <w:szCs w:val="20"/>
      </w:rPr>
      <w:t>Integrated Ecosystem Management in the Prespa Lakes Basin</w:t>
    </w:r>
  </w:p>
  <w:p w:rsidR="00E66F9D" w:rsidRPr="001E39A2" w:rsidRDefault="00E66F9D" w:rsidP="001E39A2">
    <w:pPr>
      <w:pStyle w:val="Header"/>
      <w:pBdr>
        <w:bottom w:val="single" w:sz="4" w:space="1" w:color="auto"/>
      </w:pBdr>
      <w:tabs>
        <w:tab w:val="clear" w:pos="8640"/>
        <w:tab w:val="right" w:pos="12960"/>
      </w:tabs>
      <w:rPr>
        <w:rFonts w:ascii="Calibri" w:hAnsi="Calibri"/>
        <w:i/>
        <w:sz w:val="20"/>
      </w:rPr>
    </w:pPr>
    <w:r>
      <w:rPr>
        <w:rFonts w:ascii="Calibri" w:hAnsi="Calibri"/>
        <w:i/>
        <w:sz w:val="20"/>
      </w:rPr>
      <w:t>UNDP FYR Macedonia, UNDP Albania, Greece</w:t>
    </w:r>
    <w:r w:rsidRPr="009F7251">
      <w:rPr>
        <w:rFonts w:ascii="Calibri" w:hAnsi="Calibri"/>
        <w:i/>
        <w:sz w:val="20"/>
      </w:rPr>
      <w:tab/>
    </w:r>
    <w:r>
      <w:rPr>
        <w:rFonts w:ascii="Calibri" w:hAnsi="Calibri"/>
        <w:i/>
        <w:sz w:val="20"/>
      </w:rPr>
      <w:tab/>
      <w:t>Terminal</w:t>
    </w:r>
    <w:r w:rsidRPr="009F7251">
      <w:rPr>
        <w:rFonts w:ascii="Calibri" w:hAnsi="Calibri"/>
        <w:i/>
        <w:sz w:val="20"/>
      </w:rPr>
      <w:t xml:space="preserve"> Evaluation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F9D" w:rsidRPr="001E39A2" w:rsidRDefault="00E66F9D" w:rsidP="001E39A2">
    <w:pPr>
      <w:pStyle w:val="Header"/>
      <w:pBdr>
        <w:bottom w:val="single" w:sz="4" w:space="1" w:color="auto"/>
      </w:pBdr>
      <w:tabs>
        <w:tab w:val="right" w:pos="9360"/>
      </w:tabs>
      <w:rPr>
        <w:rFonts w:ascii="Calibri" w:hAnsi="Calibri"/>
        <w:i/>
        <w:sz w:val="20"/>
        <w:szCs w:val="20"/>
      </w:rPr>
    </w:pPr>
    <w:r w:rsidRPr="001E39A2">
      <w:rPr>
        <w:rFonts w:ascii="Calibri" w:hAnsi="Calibri"/>
        <w:i/>
        <w:sz w:val="20"/>
        <w:szCs w:val="20"/>
      </w:rPr>
      <w:t>Integrated Ecosystem Management in the Prespa Lakes Basin</w:t>
    </w:r>
  </w:p>
  <w:p w:rsidR="00E66F9D" w:rsidRPr="001E39A2" w:rsidRDefault="00E66F9D" w:rsidP="001E39A2">
    <w:pPr>
      <w:pStyle w:val="Header"/>
      <w:pBdr>
        <w:bottom w:val="single" w:sz="4" w:space="1" w:color="auto"/>
      </w:pBdr>
      <w:tabs>
        <w:tab w:val="clear" w:pos="8640"/>
        <w:tab w:val="right" w:pos="9360"/>
      </w:tabs>
      <w:rPr>
        <w:rFonts w:ascii="Calibri" w:hAnsi="Calibri"/>
        <w:i/>
        <w:sz w:val="20"/>
      </w:rPr>
    </w:pPr>
    <w:r>
      <w:rPr>
        <w:rFonts w:ascii="Calibri" w:hAnsi="Calibri"/>
        <w:i/>
        <w:sz w:val="20"/>
      </w:rPr>
      <w:t>UNDP FYR Macedonia, UNDP Albania, Greece</w:t>
    </w:r>
    <w:r w:rsidRPr="009F7251">
      <w:rPr>
        <w:rFonts w:ascii="Calibri" w:hAnsi="Calibri"/>
        <w:i/>
        <w:sz w:val="20"/>
      </w:rPr>
      <w:tab/>
    </w:r>
    <w:r>
      <w:rPr>
        <w:rFonts w:ascii="Calibri" w:hAnsi="Calibri"/>
        <w:i/>
        <w:sz w:val="20"/>
      </w:rPr>
      <w:tab/>
      <w:t>Terminal Evaluation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F9D" w:rsidRPr="001E39A2" w:rsidRDefault="00E66F9D" w:rsidP="001E39A2">
    <w:pPr>
      <w:pStyle w:val="Header"/>
      <w:pBdr>
        <w:bottom w:val="single" w:sz="4" w:space="1" w:color="auto"/>
      </w:pBdr>
      <w:tabs>
        <w:tab w:val="right" w:pos="9360"/>
      </w:tabs>
      <w:rPr>
        <w:rFonts w:ascii="Calibri" w:hAnsi="Calibri"/>
        <w:i/>
        <w:sz w:val="20"/>
        <w:szCs w:val="20"/>
      </w:rPr>
    </w:pPr>
    <w:r w:rsidRPr="001E39A2">
      <w:rPr>
        <w:rFonts w:ascii="Calibri" w:hAnsi="Calibri"/>
        <w:i/>
        <w:sz w:val="20"/>
        <w:szCs w:val="20"/>
      </w:rPr>
      <w:t>Integrated Ecosystem Management in the Prespa Lakes Basin</w:t>
    </w:r>
  </w:p>
  <w:p w:rsidR="00E66F9D" w:rsidRPr="001E39A2" w:rsidRDefault="00E66F9D" w:rsidP="001E39A2">
    <w:pPr>
      <w:pStyle w:val="Header"/>
      <w:pBdr>
        <w:bottom w:val="single" w:sz="4" w:space="1" w:color="auto"/>
      </w:pBdr>
      <w:tabs>
        <w:tab w:val="clear" w:pos="8640"/>
        <w:tab w:val="right" w:pos="9360"/>
      </w:tabs>
      <w:rPr>
        <w:rFonts w:ascii="Calibri" w:hAnsi="Calibri"/>
        <w:i/>
        <w:sz w:val="20"/>
      </w:rPr>
    </w:pPr>
    <w:r>
      <w:rPr>
        <w:rFonts w:ascii="Calibri" w:hAnsi="Calibri"/>
        <w:i/>
        <w:sz w:val="20"/>
      </w:rPr>
      <w:t>UNDP FYR Macedonia, UNDP Albania, Greece</w:t>
    </w:r>
    <w:r w:rsidRPr="009F7251">
      <w:rPr>
        <w:rFonts w:ascii="Calibri" w:hAnsi="Calibri"/>
        <w:i/>
        <w:sz w:val="20"/>
      </w:rPr>
      <w:tab/>
    </w:r>
    <w:r>
      <w:rPr>
        <w:rFonts w:ascii="Calibri" w:hAnsi="Calibri"/>
        <w:i/>
        <w:sz w:val="20"/>
      </w:rPr>
      <w:tab/>
      <w:t>Terminal Evaluation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878A5804"/>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FFFFFF82"/>
    <w:multiLevelType w:val="singleLevel"/>
    <w:tmpl w:val="99F4D1BE"/>
    <w:lvl w:ilvl="0">
      <w:start w:val="1"/>
      <w:numFmt w:val="bullet"/>
      <w:pStyle w:val="ListBullet3"/>
      <w:lvlText w:val=""/>
      <w:lvlJc w:val="left"/>
      <w:pPr>
        <w:tabs>
          <w:tab w:val="num" w:pos="1080"/>
        </w:tabs>
        <w:ind w:left="1080" w:hanging="360"/>
      </w:pPr>
      <w:rPr>
        <w:rFonts w:ascii="Symbol" w:hAnsi="Symbol" w:hint="default"/>
      </w:rPr>
    </w:lvl>
  </w:abstractNum>
  <w:abstractNum w:abstractNumId="2">
    <w:nsid w:val="FFFFFF83"/>
    <w:multiLevelType w:val="singleLevel"/>
    <w:tmpl w:val="DE448F34"/>
    <w:lvl w:ilvl="0">
      <w:start w:val="1"/>
      <w:numFmt w:val="bullet"/>
      <w:pStyle w:val="ListBullet2"/>
      <w:lvlText w:val=""/>
      <w:lvlJc w:val="left"/>
      <w:pPr>
        <w:tabs>
          <w:tab w:val="num" w:pos="720"/>
        </w:tabs>
        <w:ind w:left="720" w:hanging="360"/>
      </w:pPr>
      <w:rPr>
        <w:rFonts w:ascii="Symbol" w:hAnsi="Symbol" w:hint="default"/>
      </w:rPr>
    </w:lvl>
  </w:abstractNum>
  <w:abstractNum w:abstractNumId="3">
    <w:nsid w:val="FFFFFF89"/>
    <w:multiLevelType w:val="singleLevel"/>
    <w:tmpl w:val="7CF41CA2"/>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0F328B9"/>
    <w:multiLevelType w:val="hybridMultilevel"/>
    <w:tmpl w:val="EB4C8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25100A"/>
    <w:multiLevelType w:val="hybridMultilevel"/>
    <w:tmpl w:val="116A7436"/>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6">
    <w:nsid w:val="087A6414"/>
    <w:multiLevelType w:val="hybridMultilevel"/>
    <w:tmpl w:val="BEA69974"/>
    <w:lvl w:ilvl="0" w:tplc="D73A5710">
      <w:start w:val="1"/>
      <w:numFmt w:val="bullet"/>
      <w:pStyle w:val="NormalbulletsChar"/>
      <w:lvlText w:val=""/>
      <w:lvlJc w:val="left"/>
      <w:pPr>
        <w:tabs>
          <w:tab w:val="num" w:pos="360"/>
        </w:tabs>
        <w:ind w:left="36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8AF6479"/>
    <w:multiLevelType w:val="hybridMultilevel"/>
    <w:tmpl w:val="08EECB7E"/>
    <w:lvl w:ilvl="0" w:tplc="140C819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AB03262"/>
    <w:multiLevelType w:val="hybridMultilevel"/>
    <w:tmpl w:val="289EA7E4"/>
    <w:lvl w:ilvl="0" w:tplc="04190019">
      <w:start w:val="1"/>
      <w:numFmt w:val="lowerLett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11883928"/>
    <w:multiLevelType w:val="hybridMultilevel"/>
    <w:tmpl w:val="0B38BECC"/>
    <w:lvl w:ilvl="0" w:tplc="04190019">
      <w:start w:val="1"/>
      <w:numFmt w:val="lowerLett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12852DA5"/>
    <w:multiLevelType w:val="hybridMultilevel"/>
    <w:tmpl w:val="94BA3508"/>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1">
    <w:nsid w:val="162C564E"/>
    <w:multiLevelType w:val="multilevel"/>
    <w:tmpl w:val="0409001D"/>
    <w:styleLink w:val="TEReportHeading1"/>
    <w:lvl w:ilvl="0">
      <w:start w:val="1"/>
      <w:numFmt w:val="upperRoman"/>
      <w:lvlText w:val="%1)"/>
      <w:lvlJc w:val="left"/>
      <w:pPr>
        <w:ind w:left="360" w:hanging="360"/>
      </w:pPr>
      <w:rPr>
        <w:b/>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C0E0DEA"/>
    <w:multiLevelType w:val="hybridMultilevel"/>
    <w:tmpl w:val="BB145D18"/>
    <w:lvl w:ilvl="0" w:tplc="CC708C1C">
      <w:start w:val="1"/>
      <w:numFmt w:val="decimal"/>
      <w:pStyle w:val="B"/>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1EAB389C"/>
    <w:multiLevelType w:val="hybridMultilevel"/>
    <w:tmpl w:val="F2AE8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B537CB"/>
    <w:multiLevelType w:val="hybridMultilevel"/>
    <w:tmpl w:val="5FB65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39A139C"/>
    <w:multiLevelType w:val="hybridMultilevel"/>
    <w:tmpl w:val="C792D09A"/>
    <w:lvl w:ilvl="0" w:tplc="04190019">
      <w:start w:val="1"/>
      <w:numFmt w:val="lowerLetter"/>
      <w:lvlText w:val="%1."/>
      <w:lvlJc w:val="left"/>
      <w:pPr>
        <w:tabs>
          <w:tab w:val="num" w:pos="720"/>
        </w:tabs>
        <w:ind w:left="720" w:hanging="360"/>
      </w:pPr>
      <w:rPr>
        <w:rFonts w:cs="Times New Roman" w:hint="default"/>
      </w:rPr>
    </w:lvl>
    <w:lvl w:ilvl="1" w:tplc="5A9EBBB0">
      <w:start w:val="3"/>
      <w:numFmt w:val="bullet"/>
      <w:lvlText w:val="-"/>
      <w:lvlJc w:val="left"/>
      <w:pPr>
        <w:tabs>
          <w:tab w:val="num" w:pos="1440"/>
        </w:tabs>
        <w:ind w:left="1440" w:hanging="360"/>
      </w:pPr>
      <w:rPr>
        <w:rFonts w:ascii="Verdana" w:eastAsia="MS Mincho" w:hAnsi="Verdana"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24DE1A28"/>
    <w:multiLevelType w:val="hybridMultilevel"/>
    <w:tmpl w:val="BFB050FE"/>
    <w:lvl w:ilvl="0" w:tplc="74D8E28A">
      <w:start w:val="1"/>
      <w:numFmt w:val="decimal"/>
      <w:lvlText w:val="%1."/>
      <w:lvlJc w:val="left"/>
      <w:pPr>
        <w:tabs>
          <w:tab w:val="num" w:pos="360"/>
        </w:tabs>
        <w:ind w:left="360" w:hanging="360"/>
      </w:pPr>
      <w:rPr>
        <w:rFonts w:cs="Times New Roman"/>
      </w:rPr>
    </w:lvl>
    <w:lvl w:ilvl="1" w:tplc="60F63DE4">
      <w:numFmt w:val="none"/>
      <w:lvlText w:val=""/>
      <w:lvlJc w:val="left"/>
      <w:pPr>
        <w:tabs>
          <w:tab w:val="num" w:pos="360"/>
        </w:tabs>
      </w:pPr>
      <w:rPr>
        <w:rFonts w:cs="Times New Roman"/>
      </w:rPr>
    </w:lvl>
    <w:lvl w:ilvl="2" w:tplc="9FE00072">
      <w:numFmt w:val="none"/>
      <w:lvlText w:val=""/>
      <w:lvlJc w:val="left"/>
      <w:pPr>
        <w:tabs>
          <w:tab w:val="num" w:pos="360"/>
        </w:tabs>
      </w:pPr>
      <w:rPr>
        <w:rFonts w:cs="Times New Roman"/>
      </w:rPr>
    </w:lvl>
    <w:lvl w:ilvl="3" w:tplc="72E2DA1A">
      <w:numFmt w:val="none"/>
      <w:lvlText w:val=""/>
      <w:lvlJc w:val="left"/>
      <w:pPr>
        <w:tabs>
          <w:tab w:val="num" w:pos="360"/>
        </w:tabs>
      </w:pPr>
      <w:rPr>
        <w:rFonts w:cs="Times New Roman"/>
      </w:rPr>
    </w:lvl>
    <w:lvl w:ilvl="4" w:tplc="911096F4">
      <w:numFmt w:val="none"/>
      <w:lvlText w:val=""/>
      <w:lvlJc w:val="left"/>
      <w:pPr>
        <w:tabs>
          <w:tab w:val="num" w:pos="360"/>
        </w:tabs>
      </w:pPr>
      <w:rPr>
        <w:rFonts w:cs="Times New Roman"/>
      </w:rPr>
    </w:lvl>
    <w:lvl w:ilvl="5" w:tplc="9F5297E4">
      <w:numFmt w:val="none"/>
      <w:lvlText w:val=""/>
      <w:lvlJc w:val="left"/>
      <w:pPr>
        <w:tabs>
          <w:tab w:val="num" w:pos="360"/>
        </w:tabs>
      </w:pPr>
      <w:rPr>
        <w:rFonts w:cs="Times New Roman"/>
      </w:rPr>
    </w:lvl>
    <w:lvl w:ilvl="6" w:tplc="6CB84CC4">
      <w:numFmt w:val="none"/>
      <w:lvlText w:val=""/>
      <w:lvlJc w:val="left"/>
      <w:pPr>
        <w:tabs>
          <w:tab w:val="num" w:pos="360"/>
        </w:tabs>
      </w:pPr>
      <w:rPr>
        <w:rFonts w:cs="Times New Roman"/>
      </w:rPr>
    </w:lvl>
    <w:lvl w:ilvl="7" w:tplc="806E6C34">
      <w:numFmt w:val="none"/>
      <w:lvlText w:val=""/>
      <w:lvlJc w:val="left"/>
      <w:pPr>
        <w:tabs>
          <w:tab w:val="num" w:pos="360"/>
        </w:tabs>
      </w:pPr>
      <w:rPr>
        <w:rFonts w:cs="Times New Roman"/>
      </w:rPr>
    </w:lvl>
    <w:lvl w:ilvl="8" w:tplc="8D7E862C">
      <w:numFmt w:val="none"/>
      <w:lvlText w:val=""/>
      <w:lvlJc w:val="left"/>
      <w:pPr>
        <w:tabs>
          <w:tab w:val="num" w:pos="360"/>
        </w:tabs>
      </w:pPr>
      <w:rPr>
        <w:rFonts w:cs="Times New Roman"/>
      </w:rPr>
    </w:lvl>
  </w:abstractNum>
  <w:abstractNum w:abstractNumId="17">
    <w:nsid w:val="24FE6C93"/>
    <w:multiLevelType w:val="hybridMultilevel"/>
    <w:tmpl w:val="158CEA0C"/>
    <w:lvl w:ilvl="0" w:tplc="CA1C51CA">
      <w:start w:val="1"/>
      <w:numFmt w:val="decimal"/>
      <w:pStyle w:val="GEFPIFBodyTextNumberedPara"/>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5B6019E"/>
    <w:multiLevelType w:val="hybridMultilevel"/>
    <w:tmpl w:val="646E52A6"/>
    <w:lvl w:ilvl="0" w:tplc="04190019">
      <w:start w:val="1"/>
      <w:numFmt w:val="lowerLett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26BB11EE"/>
    <w:multiLevelType w:val="hybridMultilevel"/>
    <w:tmpl w:val="DF1CEC5C"/>
    <w:lvl w:ilvl="0" w:tplc="142C5400">
      <w:numFmt w:val="bullet"/>
      <w:lvlText w:val="-"/>
      <w:lvlJc w:val="left"/>
      <w:pPr>
        <w:ind w:left="720" w:hanging="360"/>
      </w:pPr>
      <w:rPr>
        <w:rFonts w:ascii="Myriad Pro" w:eastAsia="Times New Roman" w:hAnsi="Myriad Pr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6EC733A"/>
    <w:multiLevelType w:val="hybridMultilevel"/>
    <w:tmpl w:val="9AC054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7B17E40"/>
    <w:multiLevelType w:val="multilevel"/>
    <w:tmpl w:val="665E84A6"/>
    <w:lvl w:ilvl="0">
      <w:start w:val="1"/>
      <w:numFmt w:val="upperRoman"/>
      <w:pStyle w:val="Heading1"/>
      <w:suff w:val="space"/>
      <w:lvlText w:val="%1."/>
      <w:lvlJc w:val="left"/>
      <w:pPr>
        <w:ind w:left="2268" w:firstLine="0"/>
      </w:pPr>
      <w:rPr>
        <w:rFonts w:hint="default"/>
      </w:rPr>
    </w:lvl>
    <w:lvl w:ilvl="1">
      <w:start w:val="1"/>
      <w:numFmt w:val="upperLetter"/>
      <w:pStyle w:val="Heading2"/>
      <w:lvlText w:val="%2."/>
      <w:lvlJc w:val="left"/>
      <w:pPr>
        <w:ind w:left="2988" w:hanging="432"/>
      </w:pPr>
      <w:rPr>
        <w:rFonts w:hint="default"/>
      </w:rPr>
    </w:lvl>
    <w:lvl w:ilvl="2">
      <w:start w:val="1"/>
      <w:numFmt w:val="lowerRoman"/>
      <w:pStyle w:val="Heading3"/>
      <w:lvlText w:val="%3."/>
      <w:lvlJc w:val="left"/>
      <w:pPr>
        <w:ind w:left="3708" w:firstLine="0"/>
      </w:pPr>
      <w:rPr>
        <w:rFonts w:hint="default"/>
      </w:rPr>
    </w:lvl>
    <w:lvl w:ilvl="3">
      <w:start w:val="1"/>
      <w:numFmt w:val="lowerLetter"/>
      <w:lvlText w:val="%4)"/>
      <w:lvlJc w:val="left"/>
      <w:pPr>
        <w:ind w:left="4428" w:firstLine="0"/>
      </w:pPr>
      <w:rPr>
        <w:rFonts w:hint="default"/>
      </w:rPr>
    </w:lvl>
    <w:lvl w:ilvl="4">
      <w:start w:val="1"/>
      <w:numFmt w:val="decimal"/>
      <w:lvlText w:val="(%5)"/>
      <w:lvlJc w:val="left"/>
      <w:pPr>
        <w:ind w:left="5148" w:firstLine="0"/>
      </w:pPr>
      <w:rPr>
        <w:rFonts w:hint="default"/>
      </w:rPr>
    </w:lvl>
    <w:lvl w:ilvl="5">
      <w:start w:val="1"/>
      <w:numFmt w:val="lowerLetter"/>
      <w:lvlText w:val="(%6)"/>
      <w:lvlJc w:val="left"/>
      <w:pPr>
        <w:ind w:left="5868" w:firstLine="0"/>
      </w:pPr>
      <w:rPr>
        <w:rFonts w:hint="default"/>
      </w:rPr>
    </w:lvl>
    <w:lvl w:ilvl="6">
      <w:start w:val="1"/>
      <w:numFmt w:val="lowerRoman"/>
      <w:lvlText w:val="(%7)"/>
      <w:lvlJc w:val="left"/>
      <w:pPr>
        <w:ind w:left="6588" w:firstLine="0"/>
      </w:pPr>
      <w:rPr>
        <w:rFonts w:hint="default"/>
      </w:rPr>
    </w:lvl>
    <w:lvl w:ilvl="7">
      <w:start w:val="1"/>
      <w:numFmt w:val="lowerLetter"/>
      <w:lvlText w:val="(%8)"/>
      <w:lvlJc w:val="left"/>
      <w:pPr>
        <w:ind w:left="7308" w:firstLine="0"/>
      </w:pPr>
      <w:rPr>
        <w:rFonts w:hint="default"/>
      </w:rPr>
    </w:lvl>
    <w:lvl w:ilvl="8">
      <w:start w:val="1"/>
      <w:numFmt w:val="lowerRoman"/>
      <w:lvlText w:val="(%9)"/>
      <w:lvlJc w:val="left"/>
      <w:pPr>
        <w:ind w:left="8028" w:firstLine="0"/>
      </w:pPr>
      <w:rPr>
        <w:rFonts w:hint="default"/>
      </w:rPr>
    </w:lvl>
  </w:abstractNum>
  <w:abstractNum w:abstractNumId="22">
    <w:nsid w:val="2C3062B3"/>
    <w:multiLevelType w:val="hybridMultilevel"/>
    <w:tmpl w:val="028CF9DC"/>
    <w:lvl w:ilvl="0" w:tplc="E4CAA0D8">
      <w:start w:val="1"/>
      <w:numFmt w:val="bullet"/>
      <w:pStyle w:val="ListParagraph"/>
      <w:lvlText w:val=""/>
      <w:lvlJc w:val="left"/>
      <w:pPr>
        <w:ind w:left="360"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FA62005"/>
    <w:multiLevelType w:val="hybridMultilevel"/>
    <w:tmpl w:val="3250ADA8"/>
    <w:lvl w:ilvl="0" w:tplc="04190019">
      <w:start w:val="1"/>
      <w:numFmt w:val="lowerLett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31E61474"/>
    <w:multiLevelType w:val="hybridMultilevel"/>
    <w:tmpl w:val="E6DAC1DE"/>
    <w:lvl w:ilvl="0" w:tplc="FFFFFFFF">
      <w:start w:val="1"/>
      <w:numFmt w:val="bullet"/>
      <w:pStyle w:val="Normalbullets"/>
      <w:lvlText w:val=""/>
      <w:lvlJc w:val="left"/>
      <w:pPr>
        <w:tabs>
          <w:tab w:val="num" w:pos="360"/>
        </w:tabs>
        <w:ind w:left="360"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MS Mincho"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MS Mincho"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35472628"/>
    <w:multiLevelType w:val="hybridMultilevel"/>
    <w:tmpl w:val="67FC8764"/>
    <w:lvl w:ilvl="0" w:tplc="75B89DFA">
      <w:start w:val="1"/>
      <w:numFmt w:val="bullet"/>
      <w:pStyle w:val="Bullet2"/>
      <w:lvlText w:val=""/>
      <w:lvlJc w:val="left"/>
      <w:pPr>
        <w:tabs>
          <w:tab w:val="num" w:pos="216"/>
        </w:tabs>
        <w:ind w:left="216" w:hanging="216"/>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6FD5165"/>
    <w:multiLevelType w:val="hybridMultilevel"/>
    <w:tmpl w:val="129E8E84"/>
    <w:lvl w:ilvl="0" w:tplc="04190019">
      <w:start w:val="1"/>
      <w:numFmt w:val="lowerLetter"/>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3F461416"/>
    <w:multiLevelType w:val="hybridMultilevel"/>
    <w:tmpl w:val="0B38BECC"/>
    <w:lvl w:ilvl="0" w:tplc="04190019">
      <w:start w:val="1"/>
      <w:numFmt w:val="lowerLett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401B023F"/>
    <w:multiLevelType w:val="hybridMultilevel"/>
    <w:tmpl w:val="B8923E18"/>
    <w:lvl w:ilvl="0" w:tplc="69FEB014">
      <w:start w:val="1"/>
      <w:numFmt w:val="bullet"/>
      <w:lvlText w:val=""/>
      <w:lvlJc w:val="left"/>
      <w:pPr>
        <w:tabs>
          <w:tab w:val="num" w:pos="720"/>
        </w:tabs>
        <w:ind w:left="720" w:hanging="360"/>
      </w:pPr>
      <w:rPr>
        <w:rFonts w:ascii="Symbol" w:hAnsi="Symbol" w:hint="default"/>
        <w:sz w:val="20"/>
      </w:rPr>
    </w:lvl>
    <w:lvl w:ilvl="1" w:tplc="04190003">
      <w:start w:val="1"/>
      <w:numFmt w:val="bullet"/>
      <w:lvlText w:val="o"/>
      <w:lvlJc w:val="left"/>
      <w:pPr>
        <w:tabs>
          <w:tab w:val="num" w:pos="720"/>
        </w:tabs>
        <w:ind w:left="720" w:hanging="360"/>
      </w:pPr>
      <w:rPr>
        <w:rFonts w:ascii="Courier New" w:hAnsi="Courier New" w:hint="default"/>
      </w:rPr>
    </w:lvl>
    <w:lvl w:ilvl="2" w:tplc="04190005">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29">
    <w:nsid w:val="405F3553"/>
    <w:multiLevelType w:val="hybridMultilevel"/>
    <w:tmpl w:val="04A44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2336277"/>
    <w:multiLevelType w:val="hybridMultilevel"/>
    <w:tmpl w:val="59349556"/>
    <w:lvl w:ilvl="0" w:tplc="34167A26">
      <w:start w:val="1"/>
      <w:numFmt w:val="lowerRoman"/>
      <w:lvlText w:val="(%1)"/>
      <w:lvlJc w:val="left"/>
      <w:pPr>
        <w:tabs>
          <w:tab w:val="num" w:pos="576"/>
        </w:tabs>
        <w:ind w:left="576" w:hanging="576"/>
      </w:pPr>
      <w:rPr>
        <w:rFonts w:cs="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430566A1"/>
    <w:multiLevelType w:val="hybridMultilevel"/>
    <w:tmpl w:val="4AD2C1B0"/>
    <w:lvl w:ilvl="0" w:tplc="04190019">
      <w:start w:val="1"/>
      <w:numFmt w:val="lowerLetter"/>
      <w:lvlText w:val="%1."/>
      <w:lvlJc w:val="left"/>
      <w:pPr>
        <w:tabs>
          <w:tab w:val="num" w:pos="720"/>
        </w:tabs>
        <w:ind w:left="720" w:hanging="360"/>
      </w:pPr>
      <w:rPr>
        <w:rFonts w:cs="Times New Roman" w:hint="default"/>
      </w:rPr>
    </w:lvl>
    <w:lvl w:ilvl="1" w:tplc="69FEB014">
      <w:start w:val="1"/>
      <w:numFmt w:val="bullet"/>
      <w:lvlText w:val=""/>
      <w:lvlJc w:val="left"/>
      <w:pPr>
        <w:tabs>
          <w:tab w:val="num" w:pos="1440"/>
        </w:tabs>
        <w:ind w:left="1440" w:hanging="360"/>
      </w:pPr>
      <w:rPr>
        <w:rFonts w:ascii="Symbol" w:hAnsi="Symbol" w:hint="default"/>
        <w:sz w:val="20"/>
      </w:rPr>
    </w:lvl>
    <w:lvl w:ilvl="2" w:tplc="E0FA63C6">
      <w:start w:val="1"/>
      <w:numFmt w:val="bullet"/>
      <w:lvlText w:val="o"/>
      <w:lvlJc w:val="left"/>
      <w:pPr>
        <w:tabs>
          <w:tab w:val="num" w:pos="2340"/>
        </w:tabs>
        <w:ind w:left="2340" w:hanging="360"/>
      </w:pPr>
      <w:rPr>
        <w:rFonts w:ascii="Courier New" w:hAnsi="Courier New" w:hint="default"/>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44D27EAE"/>
    <w:multiLevelType w:val="hybridMultilevel"/>
    <w:tmpl w:val="7584B030"/>
    <w:lvl w:ilvl="0" w:tplc="8606258A">
      <w:start w:val="1"/>
      <w:numFmt w:val="bullet"/>
      <w:lvlText w:val=""/>
      <w:lvlJc w:val="left"/>
      <w:pPr>
        <w:tabs>
          <w:tab w:val="num" w:pos="720"/>
        </w:tabs>
        <w:ind w:left="720" w:hanging="360"/>
      </w:pPr>
      <w:rPr>
        <w:rFonts w:ascii="Symbol" w:hAnsi="Symbol" w:hint="default"/>
      </w:rPr>
    </w:lvl>
    <w:lvl w:ilvl="1" w:tplc="69FEB014">
      <w:start w:val="1"/>
      <w:numFmt w:val="bullet"/>
      <w:lvlText w:val=""/>
      <w:lvlJc w:val="left"/>
      <w:pPr>
        <w:tabs>
          <w:tab w:val="num" w:pos="1440"/>
        </w:tabs>
        <w:ind w:left="1440" w:hanging="360"/>
      </w:pPr>
      <w:rPr>
        <w:rFonts w:ascii="Symbol" w:hAnsi="Symbol" w:hint="default"/>
        <w:sz w:val="20"/>
      </w:rPr>
    </w:lvl>
    <w:lvl w:ilvl="2" w:tplc="E0FA63C6">
      <w:start w:val="1"/>
      <w:numFmt w:val="bullet"/>
      <w:lvlText w:val="o"/>
      <w:lvlJc w:val="left"/>
      <w:pPr>
        <w:tabs>
          <w:tab w:val="num" w:pos="2340"/>
        </w:tabs>
        <w:ind w:left="2340" w:hanging="360"/>
      </w:pPr>
      <w:rPr>
        <w:rFonts w:ascii="Courier New" w:hAnsi="Courier New" w:hint="default"/>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45E658F1"/>
    <w:multiLevelType w:val="hybridMultilevel"/>
    <w:tmpl w:val="1660E73C"/>
    <w:lvl w:ilvl="0" w:tplc="7DF49500">
      <w:start w:val="1"/>
      <w:numFmt w:val="decimal"/>
      <w:pStyle w:val="BodyText"/>
      <w:lvlText w:val="%1."/>
      <w:lvlJc w:val="left"/>
      <w:pPr>
        <w:ind w:left="0" w:firstLine="0"/>
      </w:pPr>
      <w:rPr>
        <w:rFonts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4">
    <w:nsid w:val="4AC23B9B"/>
    <w:multiLevelType w:val="hybridMultilevel"/>
    <w:tmpl w:val="E74E394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4AEF0A21"/>
    <w:multiLevelType w:val="hybridMultilevel"/>
    <w:tmpl w:val="7F50A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C2614D8"/>
    <w:multiLevelType w:val="hybridMultilevel"/>
    <w:tmpl w:val="D2942C44"/>
    <w:lvl w:ilvl="0" w:tplc="04190019">
      <w:start w:val="1"/>
      <w:numFmt w:val="lowerLett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4F1B7BB0"/>
    <w:multiLevelType w:val="multilevel"/>
    <w:tmpl w:val="B74A0BD2"/>
    <w:lvl w:ilvl="0">
      <w:start w:val="1"/>
      <w:numFmt w:val="decimal"/>
      <w:lvlText w:val="%1"/>
      <w:lvlJc w:val="left"/>
      <w:pPr>
        <w:ind w:left="360" w:hanging="360"/>
      </w:pPr>
      <w:rPr>
        <w:rFonts w:hint="default"/>
        <w:i/>
      </w:rPr>
    </w:lvl>
    <w:lvl w:ilvl="1">
      <w:start w:val="1"/>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440" w:hanging="1440"/>
      </w:pPr>
      <w:rPr>
        <w:rFonts w:hint="default"/>
        <w:i/>
      </w:rPr>
    </w:lvl>
  </w:abstractNum>
  <w:abstractNum w:abstractNumId="38">
    <w:nsid w:val="503B3C85"/>
    <w:multiLevelType w:val="hybridMultilevel"/>
    <w:tmpl w:val="B5EEFE18"/>
    <w:lvl w:ilvl="0" w:tplc="07D82E9E">
      <w:numFmt w:val="bullet"/>
      <w:lvlText w:val="•"/>
      <w:lvlJc w:val="left"/>
      <w:pPr>
        <w:ind w:left="720" w:hanging="360"/>
      </w:pPr>
      <w:rPr>
        <w:rFonts w:ascii="Calibri" w:eastAsia="Times New Roman" w:hAnsi="Calibri" w:cs="Calibri" w:hint="default"/>
        <w:b w:val="0"/>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9">
    <w:nsid w:val="50FD4137"/>
    <w:multiLevelType w:val="hybridMultilevel"/>
    <w:tmpl w:val="35F8E62E"/>
    <w:lvl w:ilvl="0" w:tplc="8606258A">
      <w:start w:val="1"/>
      <w:numFmt w:val="bullet"/>
      <w:lvlText w:val=""/>
      <w:lvlJc w:val="left"/>
      <w:pPr>
        <w:tabs>
          <w:tab w:val="num" w:pos="720"/>
        </w:tabs>
        <w:ind w:left="720" w:hanging="360"/>
      </w:pPr>
      <w:rPr>
        <w:rFonts w:ascii="Symbol" w:hAnsi="Symbol" w:hint="default"/>
      </w:rPr>
    </w:lvl>
    <w:lvl w:ilvl="1" w:tplc="69FEB014">
      <w:start w:val="1"/>
      <w:numFmt w:val="bullet"/>
      <w:lvlText w:val=""/>
      <w:lvlJc w:val="left"/>
      <w:pPr>
        <w:tabs>
          <w:tab w:val="num" w:pos="1440"/>
        </w:tabs>
        <w:ind w:left="1440" w:hanging="360"/>
      </w:pPr>
      <w:rPr>
        <w:rFonts w:ascii="Symbol" w:hAnsi="Symbol" w:hint="default"/>
        <w:sz w:val="20"/>
      </w:rPr>
    </w:lvl>
    <w:lvl w:ilvl="2" w:tplc="E0FA63C6">
      <w:start w:val="1"/>
      <w:numFmt w:val="bullet"/>
      <w:lvlText w:val="o"/>
      <w:lvlJc w:val="left"/>
      <w:pPr>
        <w:tabs>
          <w:tab w:val="num" w:pos="2340"/>
        </w:tabs>
        <w:ind w:left="2340" w:hanging="360"/>
      </w:pPr>
      <w:rPr>
        <w:rFonts w:ascii="Courier New" w:hAnsi="Courier New" w:hint="default"/>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
    <w:nsid w:val="51F97403"/>
    <w:multiLevelType w:val="hybridMultilevel"/>
    <w:tmpl w:val="15802CDE"/>
    <w:lvl w:ilvl="0" w:tplc="04190019">
      <w:start w:val="1"/>
      <w:numFmt w:val="lowerLett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
    <w:nsid w:val="52AB407F"/>
    <w:multiLevelType w:val="hybridMultilevel"/>
    <w:tmpl w:val="18BAE62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65006B8"/>
    <w:multiLevelType w:val="hybridMultilevel"/>
    <w:tmpl w:val="12301C60"/>
    <w:lvl w:ilvl="0" w:tplc="8E6439CE">
      <w:start w:val="1"/>
      <w:numFmt w:val="decimal"/>
      <w:lvlText w:val="%1)"/>
      <w:lvlJc w:val="left"/>
      <w:pPr>
        <w:ind w:left="720" w:hanging="360"/>
      </w:pPr>
      <w:rPr>
        <w:rFonts w:ascii="Calibri" w:hAnsi="Calibri"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58CC58ED"/>
    <w:multiLevelType w:val="hybridMultilevel"/>
    <w:tmpl w:val="7438F9E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2232" w:hanging="360"/>
      </w:pPr>
      <w:rPr>
        <w:rFonts w:ascii="Symbol" w:hAnsi="Symbol"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4">
    <w:nsid w:val="5C851628"/>
    <w:multiLevelType w:val="singleLevel"/>
    <w:tmpl w:val="B91C0434"/>
    <w:lvl w:ilvl="0">
      <w:start w:val="1"/>
      <w:numFmt w:val="bullet"/>
      <w:pStyle w:val="odrky"/>
      <w:lvlText w:val=""/>
      <w:lvlJc w:val="left"/>
      <w:pPr>
        <w:tabs>
          <w:tab w:val="num" w:pos="680"/>
        </w:tabs>
        <w:ind w:left="680" w:hanging="396"/>
      </w:pPr>
      <w:rPr>
        <w:rFonts w:ascii="Symbol" w:hAnsi="Symbol" w:hint="default"/>
      </w:rPr>
    </w:lvl>
  </w:abstractNum>
  <w:abstractNum w:abstractNumId="45">
    <w:nsid w:val="5D9D18DE"/>
    <w:multiLevelType w:val="hybridMultilevel"/>
    <w:tmpl w:val="766A3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0902FCE"/>
    <w:multiLevelType w:val="hybridMultilevel"/>
    <w:tmpl w:val="7E70FB0A"/>
    <w:lvl w:ilvl="0" w:tplc="04090005">
      <w:start w:val="1"/>
      <w:numFmt w:val="bullet"/>
      <w:lvlText w:val=""/>
      <w:lvlJc w:val="left"/>
      <w:pPr>
        <w:tabs>
          <w:tab w:val="num" w:pos="720"/>
        </w:tabs>
        <w:ind w:left="720" w:hanging="360"/>
      </w:pPr>
      <w:rPr>
        <w:rFonts w:ascii="Wingdings" w:hAnsi="Wingdings" w:hint="default"/>
      </w:rPr>
    </w:lvl>
    <w:lvl w:ilvl="1" w:tplc="DC2E8902">
      <w:start w:val="1"/>
      <w:numFmt w:val="bullet"/>
      <w:lvlText w:val=""/>
      <w:lvlJc w:val="left"/>
      <w:pPr>
        <w:tabs>
          <w:tab w:val="num" w:pos="320"/>
        </w:tabs>
        <w:ind w:left="360" w:hanging="360"/>
      </w:pPr>
      <w:rPr>
        <w:rFonts w:ascii="Wingdings" w:hAnsi="Wingdings" w:hint="default"/>
        <w:sz w:val="18"/>
      </w:rPr>
    </w:lvl>
    <w:lvl w:ilvl="2" w:tplc="04090003">
      <w:start w:val="1"/>
      <w:numFmt w:val="bullet"/>
      <w:lvlText w:val="o"/>
      <w:lvlJc w:val="left"/>
      <w:pPr>
        <w:tabs>
          <w:tab w:val="num" w:pos="786"/>
        </w:tabs>
        <w:ind w:left="786" w:hanging="360"/>
      </w:pPr>
      <w:rPr>
        <w:rFonts w:ascii="Courier New" w:hAnsi="Courier New" w:cs="Courier New" w:hint="default"/>
      </w:rPr>
    </w:lvl>
    <w:lvl w:ilvl="3" w:tplc="0409000F">
      <w:start w:val="1"/>
      <w:numFmt w:val="decimal"/>
      <w:lvlText w:val="%4."/>
      <w:lvlJc w:val="left"/>
      <w:pPr>
        <w:tabs>
          <w:tab w:val="num" w:pos="1495"/>
        </w:tabs>
        <w:ind w:left="1495" w:hanging="360"/>
      </w:pPr>
    </w:lvl>
    <w:lvl w:ilvl="4" w:tplc="DED89654">
      <w:start w:val="2"/>
      <w:numFmt w:val="decimal"/>
      <w:lvlText w:val="%5"/>
      <w:lvlJc w:val="left"/>
      <w:pPr>
        <w:tabs>
          <w:tab w:val="num" w:pos="3240"/>
        </w:tabs>
        <w:ind w:left="3240" w:hanging="360"/>
      </w:pPr>
      <w:rPr>
        <w:rFonts w:hint="default"/>
      </w:r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7">
    <w:nsid w:val="60DE6022"/>
    <w:multiLevelType w:val="hybridMultilevel"/>
    <w:tmpl w:val="8A36D466"/>
    <w:lvl w:ilvl="0" w:tplc="04090011">
      <w:start w:val="1"/>
      <w:numFmt w:val="decimal"/>
      <w:lvlText w:val="%1)"/>
      <w:lvlJc w:val="left"/>
      <w:pPr>
        <w:ind w:left="720" w:hanging="360"/>
      </w:pPr>
      <w:rPr>
        <w:rFonts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8">
    <w:nsid w:val="642D6465"/>
    <w:multiLevelType w:val="hybridMultilevel"/>
    <w:tmpl w:val="66ECFC90"/>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9">
    <w:nsid w:val="65455892"/>
    <w:multiLevelType w:val="hybridMultilevel"/>
    <w:tmpl w:val="42C6368C"/>
    <w:lvl w:ilvl="0" w:tplc="74B60C6C">
      <w:start w:val="67"/>
      <w:numFmt w:val="decimal"/>
      <w:lvlText w:val="%1."/>
      <w:lvlJc w:val="left"/>
      <w:pPr>
        <w:tabs>
          <w:tab w:val="num" w:pos="720"/>
        </w:tabs>
        <w:ind w:left="720" w:hanging="360"/>
      </w:pPr>
      <w:rPr>
        <w:rFonts w:hint="default"/>
      </w:rPr>
    </w:lvl>
    <w:lvl w:ilvl="1" w:tplc="E90E3DA8"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6A074A57"/>
    <w:multiLevelType w:val="hybridMultilevel"/>
    <w:tmpl w:val="70E6BBEC"/>
    <w:lvl w:ilvl="0" w:tplc="04190019">
      <w:start w:val="1"/>
      <w:numFmt w:val="lowerLett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1">
    <w:nsid w:val="6DE94D4A"/>
    <w:multiLevelType w:val="hybridMultilevel"/>
    <w:tmpl w:val="91CA8E5C"/>
    <w:lvl w:ilvl="0" w:tplc="FFFFFFFF">
      <w:start w:val="1"/>
      <w:numFmt w:val="bullet"/>
      <w:pStyle w:val="StyleBulletBold"/>
      <w:lvlText w:val=""/>
      <w:lvlJc w:val="left"/>
      <w:pPr>
        <w:tabs>
          <w:tab w:val="num" w:pos="720"/>
        </w:tabs>
        <w:ind w:left="720" w:hanging="360"/>
      </w:pPr>
      <w:rPr>
        <w:rFonts w:ascii="Symbol" w:hAnsi="Symbol" w:hint="default"/>
      </w:rPr>
    </w:lvl>
    <w:lvl w:ilvl="1" w:tplc="FFFFFFFF">
      <w:start w:val="1"/>
      <w:numFmt w:val="bullet"/>
      <w:lvlText w:val=""/>
      <w:lvlJc w:val="left"/>
      <w:pPr>
        <w:tabs>
          <w:tab w:val="num" w:pos="1800"/>
        </w:tabs>
        <w:ind w:left="1800" w:hanging="360"/>
      </w:pPr>
      <w:rPr>
        <w:rFonts w:ascii="Wingdings" w:hAnsi="Wingding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52">
    <w:nsid w:val="71702B7B"/>
    <w:multiLevelType w:val="hybridMultilevel"/>
    <w:tmpl w:val="81C27300"/>
    <w:lvl w:ilvl="0" w:tplc="04190019">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3">
    <w:nsid w:val="765D0FFE"/>
    <w:multiLevelType w:val="hybridMultilevel"/>
    <w:tmpl w:val="5BF684CA"/>
    <w:lvl w:ilvl="0" w:tplc="7DF49500">
      <w:start w:val="1"/>
      <w:numFmt w:val="decimal"/>
      <w:lvlText w:val="%1."/>
      <w:lvlJc w:val="left"/>
      <w:pPr>
        <w:ind w:left="0" w:firstLine="0"/>
      </w:pPr>
      <w:rPr>
        <w:rFonts w:hint="default"/>
      </w:rPr>
    </w:lvl>
    <w:lvl w:ilvl="1" w:tplc="04090001">
      <w:start w:val="1"/>
      <w:numFmt w:val="bullet"/>
      <w:lvlText w:val=""/>
      <w:lvlJc w:val="left"/>
      <w:pPr>
        <w:ind w:left="1872" w:hanging="360"/>
      </w:pPr>
      <w:rPr>
        <w:rFonts w:ascii="Symbol" w:hAnsi="Symbol"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4">
    <w:nsid w:val="7F5B0A71"/>
    <w:multiLevelType w:val="hybridMultilevel"/>
    <w:tmpl w:val="A38CB778"/>
    <w:lvl w:ilvl="0" w:tplc="E0FA63C6">
      <w:start w:val="1"/>
      <w:numFmt w:val="bullet"/>
      <w:lvlText w:val="o"/>
      <w:lvlJc w:val="left"/>
      <w:pPr>
        <w:tabs>
          <w:tab w:val="num" w:pos="1800"/>
        </w:tabs>
        <w:ind w:left="1800" w:hanging="360"/>
      </w:pPr>
      <w:rPr>
        <w:rFonts w:ascii="Courier New" w:hAnsi="Courier New" w:hint="default"/>
      </w:rPr>
    </w:lvl>
    <w:lvl w:ilvl="1" w:tplc="04090003">
      <w:start w:val="1"/>
      <w:numFmt w:val="bullet"/>
      <w:lvlText w:val="o"/>
      <w:lvlJc w:val="left"/>
      <w:pPr>
        <w:tabs>
          <w:tab w:val="num" w:pos="2520"/>
        </w:tabs>
        <w:ind w:left="2520" w:hanging="360"/>
      </w:pPr>
      <w:rPr>
        <w:rFonts w:ascii="Courier New" w:hAnsi="Courier New" w:hint="default"/>
      </w:rPr>
    </w:lvl>
    <w:lvl w:ilvl="2" w:tplc="E0FA63C6">
      <w:start w:val="1"/>
      <w:numFmt w:val="bullet"/>
      <w:lvlText w:val="o"/>
      <w:lvlJc w:val="left"/>
      <w:pPr>
        <w:tabs>
          <w:tab w:val="num" w:pos="3240"/>
        </w:tabs>
        <w:ind w:left="3240" w:hanging="360"/>
      </w:pPr>
      <w:rPr>
        <w:rFonts w:ascii="Courier New" w:hAnsi="Courier New"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11"/>
  </w:num>
  <w:num w:numId="2">
    <w:abstractNumId w:val="33"/>
  </w:num>
  <w:num w:numId="3">
    <w:abstractNumId w:val="21"/>
  </w:num>
  <w:num w:numId="4">
    <w:abstractNumId w:val="17"/>
  </w:num>
  <w:num w:numId="5">
    <w:abstractNumId w:val="24"/>
  </w:num>
  <w:num w:numId="6">
    <w:abstractNumId w:val="22"/>
  </w:num>
  <w:num w:numId="7">
    <w:abstractNumId w:val="51"/>
  </w:num>
  <w:num w:numId="8">
    <w:abstractNumId w:val="6"/>
  </w:num>
  <w:num w:numId="9">
    <w:abstractNumId w:val="3"/>
  </w:num>
  <w:num w:numId="10">
    <w:abstractNumId w:val="2"/>
  </w:num>
  <w:num w:numId="11">
    <w:abstractNumId w:val="1"/>
  </w:num>
  <w:num w:numId="12">
    <w:abstractNumId w:val="0"/>
  </w:num>
  <w:num w:numId="13">
    <w:abstractNumId w:val="25"/>
  </w:num>
  <w:num w:numId="14">
    <w:abstractNumId w:val="12"/>
  </w:num>
  <w:num w:numId="15">
    <w:abstractNumId w:val="46"/>
  </w:num>
  <w:num w:numId="16">
    <w:abstractNumId w:val="38"/>
  </w:num>
  <w:num w:numId="17">
    <w:abstractNumId w:val="7"/>
  </w:num>
  <w:num w:numId="18">
    <w:abstractNumId w:val="5"/>
  </w:num>
  <w:num w:numId="19">
    <w:abstractNumId w:val="10"/>
  </w:num>
  <w:num w:numId="20">
    <w:abstractNumId w:val="47"/>
  </w:num>
  <w:num w:numId="21">
    <w:abstractNumId w:val="14"/>
  </w:num>
  <w:num w:numId="22">
    <w:abstractNumId w:val="20"/>
  </w:num>
  <w:num w:numId="23">
    <w:abstractNumId w:val="44"/>
  </w:num>
  <w:num w:numId="24">
    <w:abstractNumId w:val="48"/>
  </w:num>
  <w:num w:numId="25">
    <w:abstractNumId w:val="4"/>
  </w:num>
  <w:num w:numId="26">
    <w:abstractNumId w:val="13"/>
  </w:num>
  <w:num w:numId="27">
    <w:abstractNumId w:val="41"/>
  </w:num>
  <w:num w:numId="28">
    <w:abstractNumId w:val="19"/>
  </w:num>
  <w:num w:numId="29">
    <w:abstractNumId w:val="30"/>
  </w:num>
  <w:num w:numId="30">
    <w:abstractNumId w:val="16"/>
  </w:num>
  <w:num w:numId="31">
    <w:abstractNumId w:val="15"/>
  </w:num>
  <w:num w:numId="32">
    <w:abstractNumId w:val="26"/>
  </w:num>
  <w:num w:numId="33">
    <w:abstractNumId w:val="40"/>
  </w:num>
  <w:num w:numId="34">
    <w:abstractNumId w:val="52"/>
  </w:num>
  <w:num w:numId="35">
    <w:abstractNumId w:val="8"/>
  </w:num>
  <w:num w:numId="36">
    <w:abstractNumId w:val="31"/>
  </w:num>
  <w:num w:numId="37">
    <w:abstractNumId w:val="18"/>
  </w:num>
  <w:num w:numId="38">
    <w:abstractNumId w:val="36"/>
  </w:num>
  <w:num w:numId="39">
    <w:abstractNumId w:val="23"/>
  </w:num>
  <w:num w:numId="40">
    <w:abstractNumId w:val="54"/>
  </w:num>
  <w:num w:numId="41">
    <w:abstractNumId w:val="50"/>
  </w:num>
  <w:num w:numId="42">
    <w:abstractNumId w:val="9"/>
  </w:num>
  <w:num w:numId="43">
    <w:abstractNumId w:val="28"/>
  </w:num>
  <w:num w:numId="44">
    <w:abstractNumId w:val="32"/>
  </w:num>
  <w:num w:numId="45">
    <w:abstractNumId w:val="39"/>
  </w:num>
  <w:num w:numId="46">
    <w:abstractNumId w:val="42"/>
  </w:num>
  <w:num w:numId="47">
    <w:abstractNumId w:val="37"/>
  </w:num>
  <w:num w:numId="48">
    <w:abstractNumId w:val="45"/>
  </w:num>
  <w:num w:numId="49">
    <w:abstractNumId w:val="27"/>
  </w:num>
  <w:num w:numId="50">
    <w:abstractNumId w:val="21"/>
  </w:num>
  <w:num w:numId="51">
    <w:abstractNumId w:val="35"/>
  </w:num>
  <w:num w:numId="52">
    <w:abstractNumId w:val="33"/>
  </w:num>
  <w:num w:numId="53">
    <w:abstractNumId w:val="33"/>
  </w:num>
  <w:num w:numId="54">
    <w:abstractNumId w:val="49"/>
  </w:num>
  <w:num w:numId="55">
    <w:abstractNumId w:val="29"/>
  </w:num>
  <w:num w:numId="56">
    <w:abstractNumId w:val="53"/>
  </w:num>
  <w:num w:numId="57">
    <w:abstractNumId w:val="43"/>
  </w:num>
  <w:num w:numId="58">
    <w:abstractNumId w:val="33"/>
  </w:num>
  <w:num w:numId="59">
    <w:abstractNumId w:val="33"/>
  </w:num>
  <w:num w:numId="60">
    <w:abstractNumId w:val="21"/>
  </w:num>
  <w:num w:numId="61">
    <w:abstractNumId w:val="33"/>
  </w:num>
  <w:num w:numId="62">
    <w:abstractNumId w:val="21"/>
  </w:num>
  <w:num w:numId="63">
    <w:abstractNumId w:val="21"/>
  </w:num>
  <w:num w:numId="64">
    <w:abstractNumId w:val="33"/>
  </w:num>
  <w:num w:numId="65">
    <w:abstractNumId w:val="33"/>
  </w:num>
  <w:num w:numId="66">
    <w:abstractNumId w:val="21"/>
  </w:num>
  <w:num w:numId="67">
    <w:abstractNumId w:val="21"/>
  </w:num>
  <w:num w:numId="68">
    <w:abstractNumId w:val="33"/>
  </w:num>
  <w:num w:numId="69">
    <w:abstractNumId w:val="34"/>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5122"/>
  </w:hdrShapeDefaults>
  <w:footnotePr>
    <w:footnote w:id="-1"/>
    <w:footnote w:id="0"/>
  </w:footnotePr>
  <w:endnotePr>
    <w:endnote w:id="-1"/>
    <w:endnote w:id="0"/>
  </w:endnotePr>
  <w:compat/>
  <w:rsids>
    <w:rsidRoot w:val="00ED77C1"/>
    <w:rsid w:val="00000474"/>
    <w:rsid w:val="00000AA7"/>
    <w:rsid w:val="00001356"/>
    <w:rsid w:val="00001A2E"/>
    <w:rsid w:val="00002831"/>
    <w:rsid w:val="00002ACA"/>
    <w:rsid w:val="00002B89"/>
    <w:rsid w:val="00002D6E"/>
    <w:rsid w:val="00003B9F"/>
    <w:rsid w:val="000045E8"/>
    <w:rsid w:val="00005252"/>
    <w:rsid w:val="0000546E"/>
    <w:rsid w:val="00005490"/>
    <w:rsid w:val="0000557D"/>
    <w:rsid w:val="00006127"/>
    <w:rsid w:val="00006730"/>
    <w:rsid w:val="0000699F"/>
    <w:rsid w:val="000069BC"/>
    <w:rsid w:val="00006C6D"/>
    <w:rsid w:val="000072C2"/>
    <w:rsid w:val="00011492"/>
    <w:rsid w:val="00011A34"/>
    <w:rsid w:val="00012286"/>
    <w:rsid w:val="0001256A"/>
    <w:rsid w:val="000126EE"/>
    <w:rsid w:val="00012F15"/>
    <w:rsid w:val="000130CD"/>
    <w:rsid w:val="00013477"/>
    <w:rsid w:val="0001347A"/>
    <w:rsid w:val="000135BA"/>
    <w:rsid w:val="00013B83"/>
    <w:rsid w:val="00014C14"/>
    <w:rsid w:val="000153EF"/>
    <w:rsid w:val="00015674"/>
    <w:rsid w:val="00015BE1"/>
    <w:rsid w:val="000160D2"/>
    <w:rsid w:val="00016E1F"/>
    <w:rsid w:val="000171F4"/>
    <w:rsid w:val="0002024D"/>
    <w:rsid w:val="00021518"/>
    <w:rsid w:val="000215FE"/>
    <w:rsid w:val="00021BB5"/>
    <w:rsid w:val="00021C02"/>
    <w:rsid w:val="00021D42"/>
    <w:rsid w:val="00022013"/>
    <w:rsid w:val="00022221"/>
    <w:rsid w:val="00023762"/>
    <w:rsid w:val="00024727"/>
    <w:rsid w:val="000249A3"/>
    <w:rsid w:val="00024FB7"/>
    <w:rsid w:val="000261EA"/>
    <w:rsid w:val="00026ADB"/>
    <w:rsid w:val="0002739A"/>
    <w:rsid w:val="0002743C"/>
    <w:rsid w:val="0002757A"/>
    <w:rsid w:val="000278FD"/>
    <w:rsid w:val="00027D26"/>
    <w:rsid w:val="00027FC2"/>
    <w:rsid w:val="000304A3"/>
    <w:rsid w:val="000309E1"/>
    <w:rsid w:val="00030CF1"/>
    <w:rsid w:val="00030FD4"/>
    <w:rsid w:val="00031019"/>
    <w:rsid w:val="000310F7"/>
    <w:rsid w:val="00031140"/>
    <w:rsid w:val="000322A3"/>
    <w:rsid w:val="0003234D"/>
    <w:rsid w:val="00032771"/>
    <w:rsid w:val="00032BA1"/>
    <w:rsid w:val="00032E34"/>
    <w:rsid w:val="0003335A"/>
    <w:rsid w:val="00033BAC"/>
    <w:rsid w:val="00033E10"/>
    <w:rsid w:val="0003409C"/>
    <w:rsid w:val="0003414D"/>
    <w:rsid w:val="00034387"/>
    <w:rsid w:val="00034570"/>
    <w:rsid w:val="000351DE"/>
    <w:rsid w:val="0003522D"/>
    <w:rsid w:val="000361EF"/>
    <w:rsid w:val="000361F0"/>
    <w:rsid w:val="00036760"/>
    <w:rsid w:val="00036925"/>
    <w:rsid w:val="00037C1B"/>
    <w:rsid w:val="000406B8"/>
    <w:rsid w:val="00040A81"/>
    <w:rsid w:val="00040E70"/>
    <w:rsid w:val="00041BC0"/>
    <w:rsid w:val="00041C8D"/>
    <w:rsid w:val="000424B7"/>
    <w:rsid w:val="0004268A"/>
    <w:rsid w:val="00042A08"/>
    <w:rsid w:val="00042E70"/>
    <w:rsid w:val="0004302C"/>
    <w:rsid w:val="000434E3"/>
    <w:rsid w:val="00043A2E"/>
    <w:rsid w:val="00044408"/>
    <w:rsid w:val="00045D80"/>
    <w:rsid w:val="00045D9D"/>
    <w:rsid w:val="000465FE"/>
    <w:rsid w:val="0004663B"/>
    <w:rsid w:val="0004690A"/>
    <w:rsid w:val="000472C0"/>
    <w:rsid w:val="00047FAD"/>
    <w:rsid w:val="0005007E"/>
    <w:rsid w:val="0005051C"/>
    <w:rsid w:val="00050918"/>
    <w:rsid w:val="00050949"/>
    <w:rsid w:val="00050CBF"/>
    <w:rsid w:val="00051763"/>
    <w:rsid w:val="00051F65"/>
    <w:rsid w:val="000545CC"/>
    <w:rsid w:val="000555FE"/>
    <w:rsid w:val="00056DFA"/>
    <w:rsid w:val="00057235"/>
    <w:rsid w:val="00057827"/>
    <w:rsid w:val="00057C56"/>
    <w:rsid w:val="00060599"/>
    <w:rsid w:val="00060EBF"/>
    <w:rsid w:val="00061AB4"/>
    <w:rsid w:val="00061CC7"/>
    <w:rsid w:val="00062B28"/>
    <w:rsid w:val="0006324A"/>
    <w:rsid w:val="00063EC7"/>
    <w:rsid w:val="00064DEB"/>
    <w:rsid w:val="00065EFF"/>
    <w:rsid w:val="0006652D"/>
    <w:rsid w:val="00066970"/>
    <w:rsid w:val="00066AAB"/>
    <w:rsid w:val="00066C8A"/>
    <w:rsid w:val="000672DC"/>
    <w:rsid w:val="0006730E"/>
    <w:rsid w:val="0006760D"/>
    <w:rsid w:val="000676CD"/>
    <w:rsid w:val="000700E3"/>
    <w:rsid w:val="00070890"/>
    <w:rsid w:val="00070E68"/>
    <w:rsid w:val="00071A00"/>
    <w:rsid w:val="00071CC9"/>
    <w:rsid w:val="00071EEF"/>
    <w:rsid w:val="00072092"/>
    <w:rsid w:val="0007250B"/>
    <w:rsid w:val="000731AC"/>
    <w:rsid w:val="0007339F"/>
    <w:rsid w:val="00073CA0"/>
    <w:rsid w:val="000740A5"/>
    <w:rsid w:val="000741B3"/>
    <w:rsid w:val="00074643"/>
    <w:rsid w:val="00074C48"/>
    <w:rsid w:val="00074F03"/>
    <w:rsid w:val="00075117"/>
    <w:rsid w:val="00075465"/>
    <w:rsid w:val="000756A3"/>
    <w:rsid w:val="00075F09"/>
    <w:rsid w:val="000762E1"/>
    <w:rsid w:val="0007634B"/>
    <w:rsid w:val="0007657E"/>
    <w:rsid w:val="00076767"/>
    <w:rsid w:val="00076A20"/>
    <w:rsid w:val="000770AF"/>
    <w:rsid w:val="00077298"/>
    <w:rsid w:val="00077764"/>
    <w:rsid w:val="00077895"/>
    <w:rsid w:val="00077AED"/>
    <w:rsid w:val="000809F4"/>
    <w:rsid w:val="00081279"/>
    <w:rsid w:val="00081743"/>
    <w:rsid w:val="00081A35"/>
    <w:rsid w:val="00081AE3"/>
    <w:rsid w:val="00081AEC"/>
    <w:rsid w:val="00081E15"/>
    <w:rsid w:val="00082838"/>
    <w:rsid w:val="00082E8E"/>
    <w:rsid w:val="00083BDD"/>
    <w:rsid w:val="00083F13"/>
    <w:rsid w:val="00084660"/>
    <w:rsid w:val="00084D43"/>
    <w:rsid w:val="00084F31"/>
    <w:rsid w:val="00086037"/>
    <w:rsid w:val="000869EA"/>
    <w:rsid w:val="00086FC7"/>
    <w:rsid w:val="0008737A"/>
    <w:rsid w:val="0008759F"/>
    <w:rsid w:val="000902EB"/>
    <w:rsid w:val="00090410"/>
    <w:rsid w:val="0009110D"/>
    <w:rsid w:val="00091E8F"/>
    <w:rsid w:val="00092106"/>
    <w:rsid w:val="00092467"/>
    <w:rsid w:val="00092C61"/>
    <w:rsid w:val="00093055"/>
    <w:rsid w:val="00093A37"/>
    <w:rsid w:val="00094A96"/>
    <w:rsid w:val="00094D92"/>
    <w:rsid w:val="0009564F"/>
    <w:rsid w:val="000958CB"/>
    <w:rsid w:val="000959CE"/>
    <w:rsid w:val="00095F59"/>
    <w:rsid w:val="0009621A"/>
    <w:rsid w:val="00096417"/>
    <w:rsid w:val="00096503"/>
    <w:rsid w:val="00096585"/>
    <w:rsid w:val="00096D92"/>
    <w:rsid w:val="000972E7"/>
    <w:rsid w:val="00097334"/>
    <w:rsid w:val="00097D29"/>
    <w:rsid w:val="000A084C"/>
    <w:rsid w:val="000A0AEE"/>
    <w:rsid w:val="000A0F25"/>
    <w:rsid w:val="000A1974"/>
    <w:rsid w:val="000A2304"/>
    <w:rsid w:val="000A26C0"/>
    <w:rsid w:val="000A2B3C"/>
    <w:rsid w:val="000A2DE0"/>
    <w:rsid w:val="000A2E33"/>
    <w:rsid w:val="000A3BF2"/>
    <w:rsid w:val="000A3C73"/>
    <w:rsid w:val="000A4072"/>
    <w:rsid w:val="000A452F"/>
    <w:rsid w:val="000A65F5"/>
    <w:rsid w:val="000A67B6"/>
    <w:rsid w:val="000A6AF4"/>
    <w:rsid w:val="000A71C1"/>
    <w:rsid w:val="000A74FD"/>
    <w:rsid w:val="000A7C6A"/>
    <w:rsid w:val="000B0263"/>
    <w:rsid w:val="000B02EF"/>
    <w:rsid w:val="000B06C2"/>
    <w:rsid w:val="000B0707"/>
    <w:rsid w:val="000B2053"/>
    <w:rsid w:val="000B2CBC"/>
    <w:rsid w:val="000B2F2C"/>
    <w:rsid w:val="000B3290"/>
    <w:rsid w:val="000B35AD"/>
    <w:rsid w:val="000B42A1"/>
    <w:rsid w:val="000B525E"/>
    <w:rsid w:val="000B5547"/>
    <w:rsid w:val="000B581C"/>
    <w:rsid w:val="000B5843"/>
    <w:rsid w:val="000B5A42"/>
    <w:rsid w:val="000B6BCB"/>
    <w:rsid w:val="000B6C8C"/>
    <w:rsid w:val="000B6E72"/>
    <w:rsid w:val="000B71E7"/>
    <w:rsid w:val="000B7F2B"/>
    <w:rsid w:val="000C0281"/>
    <w:rsid w:val="000C04E6"/>
    <w:rsid w:val="000C0588"/>
    <w:rsid w:val="000C0F84"/>
    <w:rsid w:val="000C0FAD"/>
    <w:rsid w:val="000C160B"/>
    <w:rsid w:val="000C1A2A"/>
    <w:rsid w:val="000C1B8B"/>
    <w:rsid w:val="000C1CD7"/>
    <w:rsid w:val="000C1CDD"/>
    <w:rsid w:val="000C2317"/>
    <w:rsid w:val="000C242A"/>
    <w:rsid w:val="000C259C"/>
    <w:rsid w:val="000C43AF"/>
    <w:rsid w:val="000C4898"/>
    <w:rsid w:val="000C4909"/>
    <w:rsid w:val="000C4A08"/>
    <w:rsid w:val="000C4F64"/>
    <w:rsid w:val="000C53D1"/>
    <w:rsid w:val="000C5B5A"/>
    <w:rsid w:val="000C5B89"/>
    <w:rsid w:val="000C6035"/>
    <w:rsid w:val="000C6358"/>
    <w:rsid w:val="000C6755"/>
    <w:rsid w:val="000C791F"/>
    <w:rsid w:val="000C7E99"/>
    <w:rsid w:val="000D0057"/>
    <w:rsid w:val="000D07E7"/>
    <w:rsid w:val="000D0B87"/>
    <w:rsid w:val="000D1299"/>
    <w:rsid w:val="000D15B8"/>
    <w:rsid w:val="000D15D2"/>
    <w:rsid w:val="000D1C5E"/>
    <w:rsid w:val="000D1E2A"/>
    <w:rsid w:val="000D218B"/>
    <w:rsid w:val="000D21E3"/>
    <w:rsid w:val="000D2559"/>
    <w:rsid w:val="000D272F"/>
    <w:rsid w:val="000D2AB7"/>
    <w:rsid w:val="000D31CA"/>
    <w:rsid w:val="000D3373"/>
    <w:rsid w:val="000D3457"/>
    <w:rsid w:val="000D360D"/>
    <w:rsid w:val="000D404C"/>
    <w:rsid w:val="000D4B6F"/>
    <w:rsid w:val="000D4C22"/>
    <w:rsid w:val="000D510F"/>
    <w:rsid w:val="000D5486"/>
    <w:rsid w:val="000D56F3"/>
    <w:rsid w:val="000D5CAD"/>
    <w:rsid w:val="000D6122"/>
    <w:rsid w:val="000D67FE"/>
    <w:rsid w:val="000D7AD5"/>
    <w:rsid w:val="000E0129"/>
    <w:rsid w:val="000E0164"/>
    <w:rsid w:val="000E058E"/>
    <w:rsid w:val="000E0D13"/>
    <w:rsid w:val="000E0F91"/>
    <w:rsid w:val="000E1881"/>
    <w:rsid w:val="000E1A44"/>
    <w:rsid w:val="000E1F00"/>
    <w:rsid w:val="000E2489"/>
    <w:rsid w:val="000E25B8"/>
    <w:rsid w:val="000E2A39"/>
    <w:rsid w:val="000E3060"/>
    <w:rsid w:val="000E351F"/>
    <w:rsid w:val="000E3793"/>
    <w:rsid w:val="000E39B5"/>
    <w:rsid w:val="000E3DB8"/>
    <w:rsid w:val="000E5C1C"/>
    <w:rsid w:val="000E661E"/>
    <w:rsid w:val="000E6BCC"/>
    <w:rsid w:val="000E6D69"/>
    <w:rsid w:val="000E6F9A"/>
    <w:rsid w:val="000E7E44"/>
    <w:rsid w:val="000F0286"/>
    <w:rsid w:val="000F0300"/>
    <w:rsid w:val="000F04BF"/>
    <w:rsid w:val="000F0A1A"/>
    <w:rsid w:val="000F0A24"/>
    <w:rsid w:val="000F0C77"/>
    <w:rsid w:val="000F122A"/>
    <w:rsid w:val="000F2033"/>
    <w:rsid w:val="000F2C33"/>
    <w:rsid w:val="000F30B7"/>
    <w:rsid w:val="000F329E"/>
    <w:rsid w:val="000F361F"/>
    <w:rsid w:val="000F39D1"/>
    <w:rsid w:val="000F4217"/>
    <w:rsid w:val="000F4574"/>
    <w:rsid w:val="000F47BD"/>
    <w:rsid w:val="000F4A34"/>
    <w:rsid w:val="000F4ABF"/>
    <w:rsid w:val="000F5CAC"/>
    <w:rsid w:val="000F5CE5"/>
    <w:rsid w:val="000F6883"/>
    <w:rsid w:val="000F6D52"/>
    <w:rsid w:val="000F72E2"/>
    <w:rsid w:val="000F7729"/>
    <w:rsid w:val="000F7B17"/>
    <w:rsid w:val="000F7D85"/>
    <w:rsid w:val="000F7F30"/>
    <w:rsid w:val="001009A0"/>
    <w:rsid w:val="00101666"/>
    <w:rsid w:val="001016A4"/>
    <w:rsid w:val="001017D6"/>
    <w:rsid w:val="00101B03"/>
    <w:rsid w:val="00101C0B"/>
    <w:rsid w:val="00101FA5"/>
    <w:rsid w:val="00102091"/>
    <w:rsid w:val="00102C51"/>
    <w:rsid w:val="00102F51"/>
    <w:rsid w:val="001044CC"/>
    <w:rsid w:val="001045C6"/>
    <w:rsid w:val="001048E2"/>
    <w:rsid w:val="001050C8"/>
    <w:rsid w:val="0010541F"/>
    <w:rsid w:val="001054C9"/>
    <w:rsid w:val="00105A1B"/>
    <w:rsid w:val="00105A61"/>
    <w:rsid w:val="00107763"/>
    <w:rsid w:val="0010779C"/>
    <w:rsid w:val="00107B48"/>
    <w:rsid w:val="00107C6E"/>
    <w:rsid w:val="00107EE5"/>
    <w:rsid w:val="001103E6"/>
    <w:rsid w:val="001104A8"/>
    <w:rsid w:val="00110716"/>
    <w:rsid w:val="00111C0A"/>
    <w:rsid w:val="00111C5A"/>
    <w:rsid w:val="001120F5"/>
    <w:rsid w:val="0011295B"/>
    <w:rsid w:val="001132EB"/>
    <w:rsid w:val="001132F4"/>
    <w:rsid w:val="001133EB"/>
    <w:rsid w:val="00113E00"/>
    <w:rsid w:val="001142A1"/>
    <w:rsid w:val="001146DF"/>
    <w:rsid w:val="00114704"/>
    <w:rsid w:val="001148FC"/>
    <w:rsid w:val="001158E0"/>
    <w:rsid w:val="001158F3"/>
    <w:rsid w:val="001160BD"/>
    <w:rsid w:val="001163B8"/>
    <w:rsid w:val="00116AD5"/>
    <w:rsid w:val="0011704A"/>
    <w:rsid w:val="00117132"/>
    <w:rsid w:val="001173A3"/>
    <w:rsid w:val="001203EE"/>
    <w:rsid w:val="0012076D"/>
    <w:rsid w:val="00120CBB"/>
    <w:rsid w:val="0012131A"/>
    <w:rsid w:val="001216EA"/>
    <w:rsid w:val="001218ED"/>
    <w:rsid w:val="00121BD3"/>
    <w:rsid w:val="00121DA6"/>
    <w:rsid w:val="00122799"/>
    <w:rsid w:val="00122D84"/>
    <w:rsid w:val="0012337C"/>
    <w:rsid w:val="00123EBA"/>
    <w:rsid w:val="0012447B"/>
    <w:rsid w:val="001245D7"/>
    <w:rsid w:val="00124691"/>
    <w:rsid w:val="00124989"/>
    <w:rsid w:val="00124AC2"/>
    <w:rsid w:val="00125020"/>
    <w:rsid w:val="001253BD"/>
    <w:rsid w:val="001259EB"/>
    <w:rsid w:val="00125D46"/>
    <w:rsid w:val="00125E62"/>
    <w:rsid w:val="00126588"/>
    <w:rsid w:val="00126E5B"/>
    <w:rsid w:val="001272CB"/>
    <w:rsid w:val="00127558"/>
    <w:rsid w:val="00130006"/>
    <w:rsid w:val="00130369"/>
    <w:rsid w:val="00130B68"/>
    <w:rsid w:val="00130D85"/>
    <w:rsid w:val="00131B97"/>
    <w:rsid w:val="00131E90"/>
    <w:rsid w:val="00132020"/>
    <w:rsid w:val="00132276"/>
    <w:rsid w:val="00132311"/>
    <w:rsid w:val="0013240E"/>
    <w:rsid w:val="00132616"/>
    <w:rsid w:val="00132A7C"/>
    <w:rsid w:val="00133745"/>
    <w:rsid w:val="00133805"/>
    <w:rsid w:val="00134EBA"/>
    <w:rsid w:val="00135000"/>
    <w:rsid w:val="001356FB"/>
    <w:rsid w:val="00135B8E"/>
    <w:rsid w:val="0013644E"/>
    <w:rsid w:val="00136B2B"/>
    <w:rsid w:val="00136DFB"/>
    <w:rsid w:val="00137454"/>
    <w:rsid w:val="001404B8"/>
    <w:rsid w:val="00140AC1"/>
    <w:rsid w:val="00141202"/>
    <w:rsid w:val="0014173A"/>
    <w:rsid w:val="00141B08"/>
    <w:rsid w:val="00141B0B"/>
    <w:rsid w:val="00141D9E"/>
    <w:rsid w:val="00142246"/>
    <w:rsid w:val="0014235B"/>
    <w:rsid w:val="00142E17"/>
    <w:rsid w:val="00143316"/>
    <w:rsid w:val="0014331E"/>
    <w:rsid w:val="001434DE"/>
    <w:rsid w:val="00143B62"/>
    <w:rsid w:val="00144091"/>
    <w:rsid w:val="0014410F"/>
    <w:rsid w:val="0014429E"/>
    <w:rsid w:val="00144461"/>
    <w:rsid w:val="00144558"/>
    <w:rsid w:val="00144A35"/>
    <w:rsid w:val="00144A79"/>
    <w:rsid w:val="001454B1"/>
    <w:rsid w:val="001456C3"/>
    <w:rsid w:val="00146908"/>
    <w:rsid w:val="00147529"/>
    <w:rsid w:val="001479A5"/>
    <w:rsid w:val="00150F1E"/>
    <w:rsid w:val="00151E2C"/>
    <w:rsid w:val="00153253"/>
    <w:rsid w:val="00153CFB"/>
    <w:rsid w:val="001546B4"/>
    <w:rsid w:val="00154702"/>
    <w:rsid w:val="001548A5"/>
    <w:rsid w:val="00155116"/>
    <w:rsid w:val="00157CEC"/>
    <w:rsid w:val="00157F41"/>
    <w:rsid w:val="00160036"/>
    <w:rsid w:val="0016006D"/>
    <w:rsid w:val="00160189"/>
    <w:rsid w:val="001602D6"/>
    <w:rsid w:val="001610C0"/>
    <w:rsid w:val="001612E5"/>
    <w:rsid w:val="001617A9"/>
    <w:rsid w:val="001629C8"/>
    <w:rsid w:val="00162BF2"/>
    <w:rsid w:val="00162C09"/>
    <w:rsid w:val="00162D50"/>
    <w:rsid w:val="00163887"/>
    <w:rsid w:val="00163BCE"/>
    <w:rsid w:val="00163C20"/>
    <w:rsid w:val="00164967"/>
    <w:rsid w:val="00164969"/>
    <w:rsid w:val="00164EF2"/>
    <w:rsid w:val="00164F38"/>
    <w:rsid w:val="00165198"/>
    <w:rsid w:val="00165528"/>
    <w:rsid w:val="00165794"/>
    <w:rsid w:val="001657BB"/>
    <w:rsid w:val="00166523"/>
    <w:rsid w:val="00167446"/>
    <w:rsid w:val="001675FB"/>
    <w:rsid w:val="00167A3E"/>
    <w:rsid w:val="0017034F"/>
    <w:rsid w:val="0017065B"/>
    <w:rsid w:val="00171130"/>
    <w:rsid w:val="001711BB"/>
    <w:rsid w:val="00171307"/>
    <w:rsid w:val="001714DA"/>
    <w:rsid w:val="0017159A"/>
    <w:rsid w:val="00171A6F"/>
    <w:rsid w:val="00171CFF"/>
    <w:rsid w:val="00171F18"/>
    <w:rsid w:val="001731BD"/>
    <w:rsid w:val="00173AD2"/>
    <w:rsid w:val="0017446E"/>
    <w:rsid w:val="00174484"/>
    <w:rsid w:val="00174CC4"/>
    <w:rsid w:val="00174CF3"/>
    <w:rsid w:val="0017560B"/>
    <w:rsid w:val="00175DD5"/>
    <w:rsid w:val="001761C0"/>
    <w:rsid w:val="0017645B"/>
    <w:rsid w:val="00176688"/>
    <w:rsid w:val="00176BB4"/>
    <w:rsid w:val="00177D98"/>
    <w:rsid w:val="001805FA"/>
    <w:rsid w:val="001806D8"/>
    <w:rsid w:val="00180B9D"/>
    <w:rsid w:val="001810C5"/>
    <w:rsid w:val="0018111E"/>
    <w:rsid w:val="00181A7E"/>
    <w:rsid w:val="00181F48"/>
    <w:rsid w:val="00182CEA"/>
    <w:rsid w:val="001831E5"/>
    <w:rsid w:val="001834DB"/>
    <w:rsid w:val="001835C4"/>
    <w:rsid w:val="00184291"/>
    <w:rsid w:val="001845BC"/>
    <w:rsid w:val="00184646"/>
    <w:rsid w:val="0018512F"/>
    <w:rsid w:val="00185A7F"/>
    <w:rsid w:val="00185FB6"/>
    <w:rsid w:val="00186632"/>
    <w:rsid w:val="00186985"/>
    <w:rsid w:val="00186FC2"/>
    <w:rsid w:val="001876E1"/>
    <w:rsid w:val="001877F1"/>
    <w:rsid w:val="001900FD"/>
    <w:rsid w:val="00190FB1"/>
    <w:rsid w:val="00191304"/>
    <w:rsid w:val="00191714"/>
    <w:rsid w:val="00191759"/>
    <w:rsid w:val="001919B7"/>
    <w:rsid w:val="00191E24"/>
    <w:rsid w:val="0019257A"/>
    <w:rsid w:val="00192803"/>
    <w:rsid w:val="001928EF"/>
    <w:rsid w:val="00192CE9"/>
    <w:rsid w:val="00192CF6"/>
    <w:rsid w:val="00192FAB"/>
    <w:rsid w:val="00193012"/>
    <w:rsid w:val="001932A7"/>
    <w:rsid w:val="001935DE"/>
    <w:rsid w:val="0019473B"/>
    <w:rsid w:val="00194771"/>
    <w:rsid w:val="00194911"/>
    <w:rsid w:val="00194ACD"/>
    <w:rsid w:val="00194F5E"/>
    <w:rsid w:val="00194FA3"/>
    <w:rsid w:val="0019500F"/>
    <w:rsid w:val="0019521F"/>
    <w:rsid w:val="001952D0"/>
    <w:rsid w:val="00196181"/>
    <w:rsid w:val="00196C95"/>
    <w:rsid w:val="00197FD9"/>
    <w:rsid w:val="001A03F2"/>
    <w:rsid w:val="001A05B4"/>
    <w:rsid w:val="001A15A7"/>
    <w:rsid w:val="001A2216"/>
    <w:rsid w:val="001A2664"/>
    <w:rsid w:val="001A2D58"/>
    <w:rsid w:val="001A2DB9"/>
    <w:rsid w:val="001A3385"/>
    <w:rsid w:val="001A38C4"/>
    <w:rsid w:val="001A390D"/>
    <w:rsid w:val="001A3D8F"/>
    <w:rsid w:val="001A4456"/>
    <w:rsid w:val="001A4590"/>
    <w:rsid w:val="001A47A0"/>
    <w:rsid w:val="001A47CC"/>
    <w:rsid w:val="001A4887"/>
    <w:rsid w:val="001A4B0D"/>
    <w:rsid w:val="001A506D"/>
    <w:rsid w:val="001A5082"/>
    <w:rsid w:val="001A5169"/>
    <w:rsid w:val="001A54F5"/>
    <w:rsid w:val="001A589A"/>
    <w:rsid w:val="001A5981"/>
    <w:rsid w:val="001A6167"/>
    <w:rsid w:val="001A65BD"/>
    <w:rsid w:val="001A669C"/>
    <w:rsid w:val="001A680F"/>
    <w:rsid w:val="001A72C7"/>
    <w:rsid w:val="001A7415"/>
    <w:rsid w:val="001A7491"/>
    <w:rsid w:val="001A78AF"/>
    <w:rsid w:val="001B0CE1"/>
    <w:rsid w:val="001B117B"/>
    <w:rsid w:val="001B141F"/>
    <w:rsid w:val="001B150B"/>
    <w:rsid w:val="001B2305"/>
    <w:rsid w:val="001B24A5"/>
    <w:rsid w:val="001B33CB"/>
    <w:rsid w:val="001B34B7"/>
    <w:rsid w:val="001B36A6"/>
    <w:rsid w:val="001B3C98"/>
    <w:rsid w:val="001B3DFD"/>
    <w:rsid w:val="001B4441"/>
    <w:rsid w:val="001B449B"/>
    <w:rsid w:val="001B4A84"/>
    <w:rsid w:val="001B4E4E"/>
    <w:rsid w:val="001B5488"/>
    <w:rsid w:val="001B59E3"/>
    <w:rsid w:val="001B5FA8"/>
    <w:rsid w:val="001B6480"/>
    <w:rsid w:val="001B6570"/>
    <w:rsid w:val="001B7684"/>
    <w:rsid w:val="001B7803"/>
    <w:rsid w:val="001C057B"/>
    <w:rsid w:val="001C0667"/>
    <w:rsid w:val="001C0CE4"/>
    <w:rsid w:val="001C14E5"/>
    <w:rsid w:val="001C1559"/>
    <w:rsid w:val="001C1D00"/>
    <w:rsid w:val="001C21A3"/>
    <w:rsid w:val="001C27AA"/>
    <w:rsid w:val="001C2AFC"/>
    <w:rsid w:val="001C34D2"/>
    <w:rsid w:val="001C34FF"/>
    <w:rsid w:val="001C383B"/>
    <w:rsid w:val="001C3D04"/>
    <w:rsid w:val="001C475B"/>
    <w:rsid w:val="001C48A2"/>
    <w:rsid w:val="001C57EA"/>
    <w:rsid w:val="001C58E0"/>
    <w:rsid w:val="001C5CA2"/>
    <w:rsid w:val="001C6158"/>
    <w:rsid w:val="001C6CA9"/>
    <w:rsid w:val="001C6EBB"/>
    <w:rsid w:val="001C716D"/>
    <w:rsid w:val="001C7371"/>
    <w:rsid w:val="001C7ADB"/>
    <w:rsid w:val="001C7FA5"/>
    <w:rsid w:val="001D056C"/>
    <w:rsid w:val="001D08D6"/>
    <w:rsid w:val="001D0961"/>
    <w:rsid w:val="001D2405"/>
    <w:rsid w:val="001D320A"/>
    <w:rsid w:val="001D43C1"/>
    <w:rsid w:val="001D43D3"/>
    <w:rsid w:val="001D443B"/>
    <w:rsid w:val="001D459A"/>
    <w:rsid w:val="001D46B3"/>
    <w:rsid w:val="001D489B"/>
    <w:rsid w:val="001D4D30"/>
    <w:rsid w:val="001D4E25"/>
    <w:rsid w:val="001D4FF2"/>
    <w:rsid w:val="001D5447"/>
    <w:rsid w:val="001D57C7"/>
    <w:rsid w:val="001D5850"/>
    <w:rsid w:val="001D5D92"/>
    <w:rsid w:val="001D5DA2"/>
    <w:rsid w:val="001D5E80"/>
    <w:rsid w:val="001E06B2"/>
    <w:rsid w:val="001E087F"/>
    <w:rsid w:val="001E1066"/>
    <w:rsid w:val="001E2535"/>
    <w:rsid w:val="001E3383"/>
    <w:rsid w:val="001E3509"/>
    <w:rsid w:val="001E35AC"/>
    <w:rsid w:val="001E39A2"/>
    <w:rsid w:val="001E42EB"/>
    <w:rsid w:val="001E6547"/>
    <w:rsid w:val="001E6749"/>
    <w:rsid w:val="001E6975"/>
    <w:rsid w:val="001E6D89"/>
    <w:rsid w:val="001E6E56"/>
    <w:rsid w:val="001E7008"/>
    <w:rsid w:val="001E753E"/>
    <w:rsid w:val="001E760B"/>
    <w:rsid w:val="001F035D"/>
    <w:rsid w:val="001F04A8"/>
    <w:rsid w:val="001F0927"/>
    <w:rsid w:val="001F102F"/>
    <w:rsid w:val="001F1B37"/>
    <w:rsid w:val="001F2340"/>
    <w:rsid w:val="001F2A1D"/>
    <w:rsid w:val="001F3559"/>
    <w:rsid w:val="001F38E0"/>
    <w:rsid w:val="001F4557"/>
    <w:rsid w:val="001F4CC7"/>
    <w:rsid w:val="001F58B9"/>
    <w:rsid w:val="001F5B92"/>
    <w:rsid w:val="001F6708"/>
    <w:rsid w:val="001F690A"/>
    <w:rsid w:val="001F6D93"/>
    <w:rsid w:val="001F72CD"/>
    <w:rsid w:val="00200710"/>
    <w:rsid w:val="002010F4"/>
    <w:rsid w:val="00201A69"/>
    <w:rsid w:val="00201E99"/>
    <w:rsid w:val="00201F59"/>
    <w:rsid w:val="002024DD"/>
    <w:rsid w:val="00202692"/>
    <w:rsid w:val="0020307A"/>
    <w:rsid w:val="002030D7"/>
    <w:rsid w:val="002032FE"/>
    <w:rsid w:val="00203C42"/>
    <w:rsid w:val="002040E2"/>
    <w:rsid w:val="002041AA"/>
    <w:rsid w:val="002047B9"/>
    <w:rsid w:val="00204860"/>
    <w:rsid w:val="00204AEE"/>
    <w:rsid w:val="00205061"/>
    <w:rsid w:val="00205865"/>
    <w:rsid w:val="00205AB9"/>
    <w:rsid w:val="00205BE0"/>
    <w:rsid w:val="00205F9F"/>
    <w:rsid w:val="00205FA6"/>
    <w:rsid w:val="00206E7A"/>
    <w:rsid w:val="00207028"/>
    <w:rsid w:val="00207640"/>
    <w:rsid w:val="00207BAC"/>
    <w:rsid w:val="00207F12"/>
    <w:rsid w:val="00210401"/>
    <w:rsid w:val="002104D9"/>
    <w:rsid w:val="00210879"/>
    <w:rsid w:val="00210EA2"/>
    <w:rsid w:val="00211468"/>
    <w:rsid w:val="002118E2"/>
    <w:rsid w:val="00212732"/>
    <w:rsid w:val="0021291C"/>
    <w:rsid w:val="00212B5D"/>
    <w:rsid w:val="00212BD2"/>
    <w:rsid w:val="00212C76"/>
    <w:rsid w:val="00212FF6"/>
    <w:rsid w:val="00213330"/>
    <w:rsid w:val="002133E0"/>
    <w:rsid w:val="0021364F"/>
    <w:rsid w:val="0021378A"/>
    <w:rsid w:val="00213B00"/>
    <w:rsid w:val="0021472D"/>
    <w:rsid w:val="0021494F"/>
    <w:rsid w:val="0021495A"/>
    <w:rsid w:val="00216052"/>
    <w:rsid w:val="0021634D"/>
    <w:rsid w:val="00216C69"/>
    <w:rsid w:val="0021717E"/>
    <w:rsid w:val="0021760C"/>
    <w:rsid w:val="00220D80"/>
    <w:rsid w:val="0022252B"/>
    <w:rsid w:val="0022366D"/>
    <w:rsid w:val="002240AF"/>
    <w:rsid w:val="002244A7"/>
    <w:rsid w:val="002248AF"/>
    <w:rsid w:val="00224C47"/>
    <w:rsid w:val="002253E0"/>
    <w:rsid w:val="00225870"/>
    <w:rsid w:val="00225E24"/>
    <w:rsid w:val="00226C1E"/>
    <w:rsid w:val="00226E4D"/>
    <w:rsid w:val="00227BD1"/>
    <w:rsid w:val="002300F7"/>
    <w:rsid w:val="00230303"/>
    <w:rsid w:val="0023067C"/>
    <w:rsid w:val="0023099D"/>
    <w:rsid w:val="00230C1B"/>
    <w:rsid w:val="0023273C"/>
    <w:rsid w:val="00232987"/>
    <w:rsid w:val="00232B88"/>
    <w:rsid w:val="0023341C"/>
    <w:rsid w:val="002336E8"/>
    <w:rsid w:val="002338A1"/>
    <w:rsid w:val="002339F8"/>
    <w:rsid w:val="00233ABF"/>
    <w:rsid w:val="00233B32"/>
    <w:rsid w:val="00233D1B"/>
    <w:rsid w:val="00234D39"/>
    <w:rsid w:val="00235193"/>
    <w:rsid w:val="00235462"/>
    <w:rsid w:val="0023593E"/>
    <w:rsid w:val="002359E3"/>
    <w:rsid w:val="002369A6"/>
    <w:rsid w:val="00236CE1"/>
    <w:rsid w:val="00236ED9"/>
    <w:rsid w:val="002370CB"/>
    <w:rsid w:val="0023751B"/>
    <w:rsid w:val="0023754E"/>
    <w:rsid w:val="00237577"/>
    <w:rsid w:val="00237956"/>
    <w:rsid w:val="00237B0C"/>
    <w:rsid w:val="00237DAA"/>
    <w:rsid w:val="002405FF"/>
    <w:rsid w:val="0024070F"/>
    <w:rsid w:val="00240848"/>
    <w:rsid w:val="002409F0"/>
    <w:rsid w:val="0024232F"/>
    <w:rsid w:val="002427A5"/>
    <w:rsid w:val="00243430"/>
    <w:rsid w:val="00243DCB"/>
    <w:rsid w:val="00243E02"/>
    <w:rsid w:val="002444E8"/>
    <w:rsid w:val="00244E5B"/>
    <w:rsid w:val="002451B1"/>
    <w:rsid w:val="00245757"/>
    <w:rsid w:val="002502F5"/>
    <w:rsid w:val="00250311"/>
    <w:rsid w:val="00250E12"/>
    <w:rsid w:val="002510F6"/>
    <w:rsid w:val="00251209"/>
    <w:rsid w:val="00251839"/>
    <w:rsid w:val="0025217C"/>
    <w:rsid w:val="0025387E"/>
    <w:rsid w:val="00253B89"/>
    <w:rsid w:val="00253B8F"/>
    <w:rsid w:val="00253E54"/>
    <w:rsid w:val="00254537"/>
    <w:rsid w:val="00254BB4"/>
    <w:rsid w:val="00255182"/>
    <w:rsid w:val="00255C5C"/>
    <w:rsid w:val="00255CBA"/>
    <w:rsid w:val="00256058"/>
    <w:rsid w:val="0025630B"/>
    <w:rsid w:val="0025643A"/>
    <w:rsid w:val="0025678D"/>
    <w:rsid w:val="00257549"/>
    <w:rsid w:val="00257790"/>
    <w:rsid w:val="002577D2"/>
    <w:rsid w:val="002578C5"/>
    <w:rsid w:val="00257CDD"/>
    <w:rsid w:val="00260676"/>
    <w:rsid w:val="002609F9"/>
    <w:rsid w:val="00260F00"/>
    <w:rsid w:val="00261571"/>
    <w:rsid w:val="00261D8A"/>
    <w:rsid w:val="00261E80"/>
    <w:rsid w:val="002625AD"/>
    <w:rsid w:val="002630AF"/>
    <w:rsid w:val="00263779"/>
    <w:rsid w:val="002642DB"/>
    <w:rsid w:val="002645DF"/>
    <w:rsid w:val="00264C15"/>
    <w:rsid w:val="0026508B"/>
    <w:rsid w:val="00265268"/>
    <w:rsid w:val="00265B99"/>
    <w:rsid w:val="002664BC"/>
    <w:rsid w:val="0026675B"/>
    <w:rsid w:val="00266DD8"/>
    <w:rsid w:val="00266F1B"/>
    <w:rsid w:val="00267081"/>
    <w:rsid w:val="00267529"/>
    <w:rsid w:val="00267B9A"/>
    <w:rsid w:val="0027034E"/>
    <w:rsid w:val="002709B7"/>
    <w:rsid w:val="00270A5F"/>
    <w:rsid w:val="00271784"/>
    <w:rsid w:val="00271A35"/>
    <w:rsid w:val="002731A5"/>
    <w:rsid w:val="002732FC"/>
    <w:rsid w:val="00273510"/>
    <w:rsid w:val="00273A8C"/>
    <w:rsid w:val="00273FCB"/>
    <w:rsid w:val="00274CBA"/>
    <w:rsid w:val="002751CC"/>
    <w:rsid w:val="00275A1B"/>
    <w:rsid w:val="00275D0F"/>
    <w:rsid w:val="002761B3"/>
    <w:rsid w:val="00276413"/>
    <w:rsid w:val="0027686F"/>
    <w:rsid w:val="00276CC7"/>
    <w:rsid w:val="002778C0"/>
    <w:rsid w:val="00277D28"/>
    <w:rsid w:val="0028018F"/>
    <w:rsid w:val="002807EC"/>
    <w:rsid w:val="00280BD5"/>
    <w:rsid w:val="00281730"/>
    <w:rsid w:val="00282818"/>
    <w:rsid w:val="002830AB"/>
    <w:rsid w:val="00283EA2"/>
    <w:rsid w:val="00284158"/>
    <w:rsid w:val="002843EC"/>
    <w:rsid w:val="00284AA5"/>
    <w:rsid w:val="00284D1F"/>
    <w:rsid w:val="0028592C"/>
    <w:rsid w:val="00285FF9"/>
    <w:rsid w:val="0028658B"/>
    <w:rsid w:val="0028664F"/>
    <w:rsid w:val="00286D6C"/>
    <w:rsid w:val="00286F3A"/>
    <w:rsid w:val="00290BF8"/>
    <w:rsid w:val="00290DCA"/>
    <w:rsid w:val="00292C91"/>
    <w:rsid w:val="00292F27"/>
    <w:rsid w:val="0029310B"/>
    <w:rsid w:val="00293725"/>
    <w:rsid w:val="002944FD"/>
    <w:rsid w:val="00294DA1"/>
    <w:rsid w:val="00294F06"/>
    <w:rsid w:val="00295BB8"/>
    <w:rsid w:val="002965C4"/>
    <w:rsid w:val="00296D6B"/>
    <w:rsid w:val="002971B2"/>
    <w:rsid w:val="00297764"/>
    <w:rsid w:val="00297CFA"/>
    <w:rsid w:val="00297D91"/>
    <w:rsid w:val="00297ED2"/>
    <w:rsid w:val="002A15D0"/>
    <w:rsid w:val="002A19D9"/>
    <w:rsid w:val="002A1AE2"/>
    <w:rsid w:val="002A1E4D"/>
    <w:rsid w:val="002A1F02"/>
    <w:rsid w:val="002A290F"/>
    <w:rsid w:val="002A3214"/>
    <w:rsid w:val="002A35E9"/>
    <w:rsid w:val="002A410E"/>
    <w:rsid w:val="002A502D"/>
    <w:rsid w:val="002A53C3"/>
    <w:rsid w:val="002A5482"/>
    <w:rsid w:val="002A56C0"/>
    <w:rsid w:val="002A59DA"/>
    <w:rsid w:val="002A664A"/>
    <w:rsid w:val="002A6767"/>
    <w:rsid w:val="002A6970"/>
    <w:rsid w:val="002A69B7"/>
    <w:rsid w:val="002A6C06"/>
    <w:rsid w:val="002A7050"/>
    <w:rsid w:val="002A717F"/>
    <w:rsid w:val="002A72D9"/>
    <w:rsid w:val="002A7D5E"/>
    <w:rsid w:val="002A7EDA"/>
    <w:rsid w:val="002B0103"/>
    <w:rsid w:val="002B0A40"/>
    <w:rsid w:val="002B0B41"/>
    <w:rsid w:val="002B0E98"/>
    <w:rsid w:val="002B0EAA"/>
    <w:rsid w:val="002B1910"/>
    <w:rsid w:val="002B2327"/>
    <w:rsid w:val="002B26A6"/>
    <w:rsid w:val="002B2CCB"/>
    <w:rsid w:val="002B328D"/>
    <w:rsid w:val="002B34D8"/>
    <w:rsid w:val="002B3AD4"/>
    <w:rsid w:val="002B3E96"/>
    <w:rsid w:val="002B43AA"/>
    <w:rsid w:val="002B43FD"/>
    <w:rsid w:val="002B4FC4"/>
    <w:rsid w:val="002B50E0"/>
    <w:rsid w:val="002B51EB"/>
    <w:rsid w:val="002B5B37"/>
    <w:rsid w:val="002B5C7C"/>
    <w:rsid w:val="002B5DE0"/>
    <w:rsid w:val="002B727C"/>
    <w:rsid w:val="002B7EFB"/>
    <w:rsid w:val="002C059A"/>
    <w:rsid w:val="002C080B"/>
    <w:rsid w:val="002C0C02"/>
    <w:rsid w:val="002C0C44"/>
    <w:rsid w:val="002C0E72"/>
    <w:rsid w:val="002C0FD8"/>
    <w:rsid w:val="002C10B0"/>
    <w:rsid w:val="002C1174"/>
    <w:rsid w:val="002C1954"/>
    <w:rsid w:val="002C1F4D"/>
    <w:rsid w:val="002C246B"/>
    <w:rsid w:val="002C261B"/>
    <w:rsid w:val="002C2CEF"/>
    <w:rsid w:val="002C459A"/>
    <w:rsid w:val="002C4654"/>
    <w:rsid w:val="002C4B0D"/>
    <w:rsid w:val="002C523B"/>
    <w:rsid w:val="002C5C92"/>
    <w:rsid w:val="002C744B"/>
    <w:rsid w:val="002C7CB7"/>
    <w:rsid w:val="002D0127"/>
    <w:rsid w:val="002D04AA"/>
    <w:rsid w:val="002D0D22"/>
    <w:rsid w:val="002D0DEE"/>
    <w:rsid w:val="002D12AF"/>
    <w:rsid w:val="002D1EFF"/>
    <w:rsid w:val="002D22DF"/>
    <w:rsid w:val="002D2E87"/>
    <w:rsid w:val="002D2F8A"/>
    <w:rsid w:val="002D3022"/>
    <w:rsid w:val="002D3110"/>
    <w:rsid w:val="002D316A"/>
    <w:rsid w:val="002D3949"/>
    <w:rsid w:val="002D45FD"/>
    <w:rsid w:val="002D4BA0"/>
    <w:rsid w:val="002D5304"/>
    <w:rsid w:val="002D5A39"/>
    <w:rsid w:val="002D5B64"/>
    <w:rsid w:val="002D5DEE"/>
    <w:rsid w:val="002D5F81"/>
    <w:rsid w:val="002D607F"/>
    <w:rsid w:val="002D6474"/>
    <w:rsid w:val="002D6BDF"/>
    <w:rsid w:val="002D7C59"/>
    <w:rsid w:val="002E026A"/>
    <w:rsid w:val="002E06DB"/>
    <w:rsid w:val="002E06F8"/>
    <w:rsid w:val="002E0B73"/>
    <w:rsid w:val="002E0E63"/>
    <w:rsid w:val="002E1A66"/>
    <w:rsid w:val="002E25F3"/>
    <w:rsid w:val="002E2953"/>
    <w:rsid w:val="002E2958"/>
    <w:rsid w:val="002E33CA"/>
    <w:rsid w:val="002E3431"/>
    <w:rsid w:val="002E3A11"/>
    <w:rsid w:val="002E3B22"/>
    <w:rsid w:val="002E4229"/>
    <w:rsid w:val="002E4333"/>
    <w:rsid w:val="002E4DBA"/>
    <w:rsid w:val="002E5277"/>
    <w:rsid w:val="002E54F7"/>
    <w:rsid w:val="002E57EC"/>
    <w:rsid w:val="002E5988"/>
    <w:rsid w:val="002E5CE9"/>
    <w:rsid w:val="002E5CFF"/>
    <w:rsid w:val="002E60F7"/>
    <w:rsid w:val="002E696C"/>
    <w:rsid w:val="002E7B7E"/>
    <w:rsid w:val="002E7D54"/>
    <w:rsid w:val="002F0605"/>
    <w:rsid w:val="002F09B7"/>
    <w:rsid w:val="002F09C2"/>
    <w:rsid w:val="002F0B68"/>
    <w:rsid w:val="002F1498"/>
    <w:rsid w:val="002F1E98"/>
    <w:rsid w:val="002F2ADE"/>
    <w:rsid w:val="002F2F27"/>
    <w:rsid w:val="002F31FA"/>
    <w:rsid w:val="002F358D"/>
    <w:rsid w:val="002F362E"/>
    <w:rsid w:val="002F3B80"/>
    <w:rsid w:val="002F3C29"/>
    <w:rsid w:val="002F3CBE"/>
    <w:rsid w:val="002F3F23"/>
    <w:rsid w:val="002F41C3"/>
    <w:rsid w:val="002F425B"/>
    <w:rsid w:val="002F444E"/>
    <w:rsid w:val="002F48E4"/>
    <w:rsid w:val="002F56B2"/>
    <w:rsid w:val="002F61F3"/>
    <w:rsid w:val="002F6359"/>
    <w:rsid w:val="002F6739"/>
    <w:rsid w:val="002F682E"/>
    <w:rsid w:val="002F68E5"/>
    <w:rsid w:val="002F6AD6"/>
    <w:rsid w:val="002F6AED"/>
    <w:rsid w:val="002F6BA7"/>
    <w:rsid w:val="002F6E09"/>
    <w:rsid w:val="002F6E7B"/>
    <w:rsid w:val="002F6FF5"/>
    <w:rsid w:val="002F7750"/>
    <w:rsid w:val="002F77B8"/>
    <w:rsid w:val="002F788A"/>
    <w:rsid w:val="002F7D1C"/>
    <w:rsid w:val="002F7D27"/>
    <w:rsid w:val="00300303"/>
    <w:rsid w:val="0030118A"/>
    <w:rsid w:val="00301CEC"/>
    <w:rsid w:val="00301CFD"/>
    <w:rsid w:val="00301D52"/>
    <w:rsid w:val="00301E04"/>
    <w:rsid w:val="003027ED"/>
    <w:rsid w:val="0030289A"/>
    <w:rsid w:val="00302BED"/>
    <w:rsid w:val="00303301"/>
    <w:rsid w:val="00303B0E"/>
    <w:rsid w:val="00304147"/>
    <w:rsid w:val="003042AF"/>
    <w:rsid w:val="003043F8"/>
    <w:rsid w:val="00304418"/>
    <w:rsid w:val="00304544"/>
    <w:rsid w:val="003049C9"/>
    <w:rsid w:val="003050F9"/>
    <w:rsid w:val="00305925"/>
    <w:rsid w:val="00305BB9"/>
    <w:rsid w:val="00306B03"/>
    <w:rsid w:val="00306DEF"/>
    <w:rsid w:val="00306F0D"/>
    <w:rsid w:val="00307253"/>
    <w:rsid w:val="0030743A"/>
    <w:rsid w:val="00307679"/>
    <w:rsid w:val="00307719"/>
    <w:rsid w:val="00307833"/>
    <w:rsid w:val="003104AF"/>
    <w:rsid w:val="0031061D"/>
    <w:rsid w:val="00310DDB"/>
    <w:rsid w:val="00311939"/>
    <w:rsid w:val="003121E5"/>
    <w:rsid w:val="00312B09"/>
    <w:rsid w:val="00312D03"/>
    <w:rsid w:val="00312D06"/>
    <w:rsid w:val="0031349B"/>
    <w:rsid w:val="00313D5E"/>
    <w:rsid w:val="00314243"/>
    <w:rsid w:val="00314441"/>
    <w:rsid w:val="0031459C"/>
    <w:rsid w:val="003146C9"/>
    <w:rsid w:val="003148FC"/>
    <w:rsid w:val="0031504C"/>
    <w:rsid w:val="003158C7"/>
    <w:rsid w:val="00316073"/>
    <w:rsid w:val="003161C5"/>
    <w:rsid w:val="003176BA"/>
    <w:rsid w:val="00317E86"/>
    <w:rsid w:val="00317EC0"/>
    <w:rsid w:val="0032004E"/>
    <w:rsid w:val="00320429"/>
    <w:rsid w:val="00320617"/>
    <w:rsid w:val="0032111D"/>
    <w:rsid w:val="003216F5"/>
    <w:rsid w:val="003223E1"/>
    <w:rsid w:val="00322590"/>
    <w:rsid w:val="00322935"/>
    <w:rsid w:val="00322A9B"/>
    <w:rsid w:val="00322BCF"/>
    <w:rsid w:val="00324DEB"/>
    <w:rsid w:val="00324ED0"/>
    <w:rsid w:val="00325022"/>
    <w:rsid w:val="003252CA"/>
    <w:rsid w:val="003258E7"/>
    <w:rsid w:val="00325AFF"/>
    <w:rsid w:val="00325DD2"/>
    <w:rsid w:val="00325FF7"/>
    <w:rsid w:val="00326815"/>
    <w:rsid w:val="0032697F"/>
    <w:rsid w:val="003276E0"/>
    <w:rsid w:val="00330588"/>
    <w:rsid w:val="00330B8B"/>
    <w:rsid w:val="00330DB9"/>
    <w:rsid w:val="00330F05"/>
    <w:rsid w:val="00332239"/>
    <w:rsid w:val="003328F3"/>
    <w:rsid w:val="00333618"/>
    <w:rsid w:val="00333C0B"/>
    <w:rsid w:val="0033437C"/>
    <w:rsid w:val="003345DD"/>
    <w:rsid w:val="003345F4"/>
    <w:rsid w:val="00335FDC"/>
    <w:rsid w:val="00336FBF"/>
    <w:rsid w:val="003376AC"/>
    <w:rsid w:val="00337D1D"/>
    <w:rsid w:val="00340402"/>
    <w:rsid w:val="00340ABB"/>
    <w:rsid w:val="00341246"/>
    <w:rsid w:val="0034243C"/>
    <w:rsid w:val="0034253A"/>
    <w:rsid w:val="00342647"/>
    <w:rsid w:val="00342D93"/>
    <w:rsid w:val="003436CD"/>
    <w:rsid w:val="00343B83"/>
    <w:rsid w:val="0034511A"/>
    <w:rsid w:val="00345285"/>
    <w:rsid w:val="003459A3"/>
    <w:rsid w:val="00345A0E"/>
    <w:rsid w:val="00346CB4"/>
    <w:rsid w:val="00346EF5"/>
    <w:rsid w:val="003473B0"/>
    <w:rsid w:val="00347AF0"/>
    <w:rsid w:val="00347B88"/>
    <w:rsid w:val="00347DFF"/>
    <w:rsid w:val="0035009A"/>
    <w:rsid w:val="003502AA"/>
    <w:rsid w:val="003502E7"/>
    <w:rsid w:val="00350A53"/>
    <w:rsid w:val="0035267B"/>
    <w:rsid w:val="00352700"/>
    <w:rsid w:val="0035308D"/>
    <w:rsid w:val="00353143"/>
    <w:rsid w:val="0035358C"/>
    <w:rsid w:val="003536B5"/>
    <w:rsid w:val="00353783"/>
    <w:rsid w:val="0035386C"/>
    <w:rsid w:val="003542E6"/>
    <w:rsid w:val="003543DE"/>
    <w:rsid w:val="00354CF9"/>
    <w:rsid w:val="003554E7"/>
    <w:rsid w:val="00355A5A"/>
    <w:rsid w:val="00355BFF"/>
    <w:rsid w:val="00355DB4"/>
    <w:rsid w:val="00356565"/>
    <w:rsid w:val="003566BD"/>
    <w:rsid w:val="003566F2"/>
    <w:rsid w:val="00356C28"/>
    <w:rsid w:val="00356DAD"/>
    <w:rsid w:val="00357524"/>
    <w:rsid w:val="00357E8B"/>
    <w:rsid w:val="00357F2B"/>
    <w:rsid w:val="0036019F"/>
    <w:rsid w:val="00360229"/>
    <w:rsid w:val="00360254"/>
    <w:rsid w:val="00360520"/>
    <w:rsid w:val="0036052D"/>
    <w:rsid w:val="00360987"/>
    <w:rsid w:val="00360FF2"/>
    <w:rsid w:val="00361AD7"/>
    <w:rsid w:val="00361AEC"/>
    <w:rsid w:val="003622CD"/>
    <w:rsid w:val="00362318"/>
    <w:rsid w:val="003625D9"/>
    <w:rsid w:val="003627D3"/>
    <w:rsid w:val="003633B5"/>
    <w:rsid w:val="003634B7"/>
    <w:rsid w:val="003637D7"/>
    <w:rsid w:val="003638E8"/>
    <w:rsid w:val="00363E4A"/>
    <w:rsid w:val="0036431F"/>
    <w:rsid w:val="00364A8E"/>
    <w:rsid w:val="00364D87"/>
    <w:rsid w:val="00364F12"/>
    <w:rsid w:val="0036586D"/>
    <w:rsid w:val="00365ABF"/>
    <w:rsid w:val="0036638E"/>
    <w:rsid w:val="00366738"/>
    <w:rsid w:val="00366C82"/>
    <w:rsid w:val="00366F12"/>
    <w:rsid w:val="003700CB"/>
    <w:rsid w:val="003709ED"/>
    <w:rsid w:val="00370B8E"/>
    <w:rsid w:val="0037137D"/>
    <w:rsid w:val="00371421"/>
    <w:rsid w:val="00371D85"/>
    <w:rsid w:val="00371FE2"/>
    <w:rsid w:val="003727E0"/>
    <w:rsid w:val="003733A5"/>
    <w:rsid w:val="0037342E"/>
    <w:rsid w:val="003735A1"/>
    <w:rsid w:val="003736DF"/>
    <w:rsid w:val="00373C3A"/>
    <w:rsid w:val="00373E5C"/>
    <w:rsid w:val="00373F98"/>
    <w:rsid w:val="003743A7"/>
    <w:rsid w:val="003746CF"/>
    <w:rsid w:val="003746E8"/>
    <w:rsid w:val="00374751"/>
    <w:rsid w:val="00374C41"/>
    <w:rsid w:val="00374DC8"/>
    <w:rsid w:val="00375108"/>
    <w:rsid w:val="003755FF"/>
    <w:rsid w:val="00375F6C"/>
    <w:rsid w:val="003760BE"/>
    <w:rsid w:val="0037628C"/>
    <w:rsid w:val="003770FB"/>
    <w:rsid w:val="003774A5"/>
    <w:rsid w:val="00377CD5"/>
    <w:rsid w:val="00380396"/>
    <w:rsid w:val="0038113E"/>
    <w:rsid w:val="003818A5"/>
    <w:rsid w:val="00382EF7"/>
    <w:rsid w:val="00383FA5"/>
    <w:rsid w:val="003847F9"/>
    <w:rsid w:val="003852C6"/>
    <w:rsid w:val="00385782"/>
    <w:rsid w:val="003859B5"/>
    <w:rsid w:val="00385B21"/>
    <w:rsid w:val="00385FAC"/>
    <w:rsid w:val="003861EB"/>
    <w:rsid w:val="003864DD"/>
    <w:rsid w:val="003865E1"/>
    <w:rsid w:val="00386C3E"/>
    <w:rsid w:val="00387455"/>
    <w:rsid w:val="003878DC"/>
    <w:rsid w:val="00387A4C"/>
    <w:rsid w:val="00387CA3"/>
    <w:rsid w:val="00387D0A"/>
    <w:rsid w:val="00387D8D"/>
    <w:rsid w:val="0039020A"/>
    <w:rsid w:val="003907F0"/>
    <w:rsid w:val="00390B60"/>
    <w:rsid w:val="0039126C"/>
    <w:rsid w:val="0039128E"/>
    <w:rsid w:val="00391382"/>
    <w:rsid w:val="003914C0"/>
    <w:rsid w:val="00391937"/>
    <w:rsid w:val="00392C15"/>
    <w:rsid w:val="00392CAE"/>
    <w:rsid w:val="00392D6E"/>
    <w:rsid w:val="00392F5B"/>
    <w:rsid w:val="00393019"/>
    <w:rsid w:val="00393E43"/>
    <w:rsid w:val="00394D50"/>
    <w:rsid w:val="00394DA9"/>
    <w:rsid w:val="00395340"/>
    <w:rsid w:val="003955C6"/>
    <w:rsid w:val="003964AA"/>
    <w:rsid w:val="003965E6"/>
    <w:rsid w:val="00396896"/>
    <w:rsid w:val="003968AC"/>
    <w:rsid w:val="00397061"/>
    <w:rsid w:val="00397335"/>
    <w:rsid w:val="003975AA"/>
    <w:rsid w:val="00397FCD"/>
    <w:rsid w:val="003A0BE4"/>
    <w:rsid w:val="003A0FA8"/>
    <w:rsid w:val="003A158E"/>
    <w:rsid w:val="003A2208"/>
    <w:rsid w:val="003A31B7"/>
    <w:rsid w:val="003A38F5"/>
    <w:rsid w:val="003A3A70"/>
    <w:rsid w:val="003A3B6F"/>
    <w:rsid w:val="003A3F97"/>
    <w:rsid w:val="003A4470"/>
    <w:rsid w:val="003A46E6"/>
    <w:rsid w:val="003A4A2D"/>
    <w:rsid w:val="003A5286"/>
    <w:rsid w:val="003A5736"/>
    <w:rsid w:val="003A5D79"/>
    <w:rsid w:val="003A66BC"/>
    <w:rsid w:val="003A6E75"/>
    <w:rsid w:val="003A6E87"/>
    <w:rsid w:val="003A7431"/>
    <w:rsid w:val="003B0816"/>
    <w:rsid w:val="003B0C3B"/>
    <w:rsid w:val="003B0E3C"/>
    <w:rsid w:val="003B22EA"/>
    <w:rsid w:val="003B26F3"/>
    <w:rsid w:val="003B291C"/>
    <w:rsid w:val="003B3B87"/>
    <w:rsid w:val="003B3BDD"/>
    <w:rsid w:val="003B489C"/>
    <w:rsid w:val="003B49A8"/>
    <w:rsid w:val="003B5932"/>
    <w:rsid w:val="003B5A3E"/>
    <w:rsid w:val="003B5E64"/>
    <w:rsid w:val="003B634C"/>
    <w:rsid w:val="003B63E0"/>
    <w:rsid w:val="003B6CA6"/>
    <w:rsid w:val="003B6E18"/>
    <w:rsid w:val="003B7494"/>
    <w:rsid w:val="003B76A1"/>
    <w:rsid w:val="003B775D"/>
    <w:rsid w:val="003B79BE"/>
    <w:rsid w:val="003B7E3E"/>
    <w:rsid w:val="003C0490"/>
    <w:rsid w:val="003C075A"/>
    <w:rsid w:val="003C0F40"/>
    <w:rsid w:val="003C1014"/>
    <w:rsid w:val="003C230A"/>
    <w:rsid w:val="003C252B"/>
    <w:rsid w:val="003C2632"/>
    <w:rsid w:val="003C2749"/>
    <w:rsid w:val="003C2E42"/>
    <w:rsid w:val="003C386F"/>
    <w:rsid w:val="003C3D3F"/>
    <w:rsid w:val="003C416D"/>
    <w:rsid w:val="003C546E"/>
    <w:rsid w:val="003C59C6"/>
    <w:rsid w:val="003C5B69"/>
    <w:rsid w:val="003C60F1"/>
    <w:rsid w:val="003C6385"/>
    <w:rsid w:val="003C6518"/>
    <w:rsid w:val="003C6AAB"/>
    <w:rsid w:val="003C7256"/>
    <w:rsid w:val="003C76FD"/>
    <w:rsid w:val="003C77A8"/>
    <w:rsid w:val="003C7A08"/>
    <w:rsid w:val="003C7BF3"/>
    <w:rsid w:val="003D07A6"/>
    <w:rsid w:val="003D0B06"/>
    <w:rsid w:val="003D0BE9"/>
    <w:rsid w:val="003D0F21"/>
    <w:rsid w:val="003D1328"/>
    <w:rsid w:val="003D1837"/>
    <w:rsid w:val="003D2113"/>
    <w:rsid w:val="003D2824"/>
    <w:rsid w:val="003D2867"/>
    <w:rsid w:val="003D3161"/>
    <w:rsid w:val="003D34A9"/>
    <w:rsid w:val="003D3D63"/>
    <w:rsid w:val="003D43E6"/>
    <w:rsid w:val="003D474D"/>
    <w:rsid w:val="003D4967"/>
    <w:rsid w:val="003D498C"/>
    <w:rsid w:val="003D4B4E"/>
    <w:rsid w:val="003D543F"/>
    <w:rsid w:val="003D54B9"/>
    <w:rsid w:val="003D612C"/>
    <w:rsid w:val="003D62FF"/>
    <w:rsid w:val="003D651C"/>
    <w:rsid w:val="003D667F"/>
    <w:rsid w:val="003D6DFC"/>
    <w:rsid w:val="003D708B"/>
    <w:rsid w:val="003E0047"/>
    <w:rsid w:val="003E020F"/>
    <w:rsid w:val="003E0878"/>
    <w:rsid w:val="003E0B0F"/>
    <w:rsid w:val="003E13DC"/>
    <w:rsid w:val="003E2044"/>
    <w:rsid w:val="003E2F1F"/>
    <w:rsid w:val="003E3F4A"/>
    <w:rsid w:val="003E3F85"/>
    <w:rsid w:val="003E4634"/>
    <w:rsid w:val="003E46E2"/>
    <w:rsid w:val="003E4B07"/>
    <w:rsid w:val="003E4DB3"/>
    <w:rsid w:val="003E534F"/>
    <w:rsid w:val="003E54B9"/>
    <w:rsid w:val="003E568E"/>
    <w:rsid w:val="003E59CE"/>
    <w:rsid w:val="003E5B6E"/>
    <w:rsid w:val="003E5EBA"/>
    <w:rsid w:val="003E5ECD"/>
    <w:rsid w:val="003E6286"/>
    <w:rsid w:val="003E69F2"/>
    <w:rsid w:val="003E6B04"/>
    <w:rsid w:val="003E6B13"/>
    <w:rsid w:val="003E78AF"/>
    <w:rsid w:val="003E7905"/>
    <w:rsid w:val="003F01E1"/>
    <w:rsid w:val="003F0FA3"/>
    <w:rsid w:val="003F14A6"/>
    <w:rsid w:val="003F1583"/>
    <w:rsid w:val="003F1EAD"/>
    <w:rsid w:val="003F2250"/>
    <w:rsid w:val="003F2408"/>
    <w:rsid w:val="003F2A0E"/>
    <w:rsid w:val="003F2E2C"/>
    <w:rsid w:val="003F35BF"/>
    <w:rsid w:val="003F385E"/>
    <w:rsid w:val="003F39F6"/>
    <w:rsid w:val="003F40A8"/>
    <w:rsid w:val="003F4422"/>
    <w:rsid w:val="003F460A"/>
    <w:rsid w:val="003F5223"/>
    <w:rsid w:val="003F542D"/>
    <w:rsid w:val="003F6FCD"/>
    <w:rsid w:val="003F7D94"/>
    <w:rsid w:val="00400342"/>
    <w:rsid w:val="004003EE"/>
    <w:rsid w:val="00400CDB"/>
    <w:rsid w:val="004010A9"/>
    <w:rsid w:val="00401455"/>
    <w:rsid w:val="00401C79"/>
    <w:rsid w:val="0040397A"/>
    <w:rsid w:val="004047A0"/>
    <w:rsid w:val="00404944"/>
    <w:rsid w:val="00404D98"/>
    <w:rsid w:val="004055A6"/>
    <w:rsid w:val="004064A3"/>
    <w:rsid w:val="00410069"/>
    <w:rsid w:val="0041020E"/>
    <w:rsid w:val="0041047F"/>
    <w:rsid w:val="00410AE8"/>
    <w:rsid w:val="00411247"/>
    <w:rsid w:val="00411765"/>
    <w:rsid w:val="00411ADE"/>
    <w:rsid w:val="00411FAD"/>
    <w:rsid w:val="00412A5A"/>
    <w:rsid w:val="004137C1"/>
    <w:rsid w:val="0041445F"/>
    <w:rsid w:val="00414C4E"/>
    <w:rsid w:val="004153B5"/>
    <w:rsid w:val="00415672"/>
    <w:rsid w:val="004156A4"/>
    <w:rsid w:val="004159EB"/>
    <w:rsid w:val="00415C11"/>
    <w:rsid w:val="00416273"/>
    <w:rsid w:val="00416580"/>
    <w:rsid w:val="0041659A"/>
    <w:rsid w:val="00416C6B"/>
    <w:rsid w:val="004175AE"/>
    <w:rsid w:val="0042002D"/>
    <w:rsid w:val="0042076D"/>
    <w:rsid w:val="0042311E"/>
    <w:rsid w:val="004237C6"/>
    <w:rsid w:val="0042410E"/>
    <w:rsid w:val="0042417E"/>
    <w:rsid w:val="004246D3"/>
    <w:rsid w:val="00424766"/>
    <w:rsid w:val="00424BA4"/>
    <w:rsid w:val="00424DF8"/>
    <w:rsid w:val="004251DF"/>
    <w:rsid w:val="00425286"/>
    <w:rsid w:val="00425A0F"/>
    <w:rsid w:val="00425BDC"/>
    <w:rsid w:val="00426388"/>
    <w:rsid w:val="0042661D"/>
    <w:rsid w:val="0042674D"/>
    <w:rsid w:val="0043023D"/>
    <w:rsid w:val="00430D3E"/>
    <w:rsid w:val="00431343"/>
    <w:rsid w:val="004314E8"/>
    <w:rsid w:val="00431F26"/>
    <w:rsid w:val="004321B0"/>
    <w:rsid w:val="00432836"/>
    <w:rsid w:val="00433A14"/>
    <w:rsid w:val="00433B8B"/>
    <w:rsid w:val="00434358"/>
    <w:rsid w:val="00434719"/>
    <w:rsid w:val="004351BE"/>
    <w:rsid w:val="0043567C"/>
    <w:rsid w:val="0043623E"/>
    <w:rsid w:val="00436588"/>
    <w:rsid w:val="00436B55"/>
    <w:rsid w:val="004374CB"/>
    <w:rsid w:val="0043768C"/>
    <w:rsid w:val="004378EC"/>
    <w:rsid w:val="00437F0C"/>
    <w:rsid w:val="0044018D"/>
    <w:rsid w:val="0044037F"/>
    <w:rsid w:val="00440C82"/>
    <w:rsid w:val="004411C6"/>
    <w:rsid w:val="00441264"/>
    <w:rsid w:val="0044198D"/>
    <w:rsid w:val="00441BA5"/>
    <w:rsid w:val="00442AD9"/>
    <w:rsid w:val="00442B31"/>
    <w:rsid w:val="00442E97"/>
    <w:rsid w:val="0044316B"/>
    <w:rsid w:val="00443E90"/>
    <w:rsid w:val="004441F7"/>
    <w:rsid w:val="004445B0"/>
    <w:rsid w:val="00444E18"/>
    <w:rsid w:val="00445363"/>
    <w:rsid w:val="004454EE"/>
    <w:rsid w:val="004458B3"/>
    <w:rsid w:val="00445DCF"/>
    <w:rsid w:val="0044600D"/>
    <w:rsid w:val="00446F10"/>
    <w:rsid w:val="004471CD"/>
    <w:rsid w:val="00447F18"/>
    <w:rsid w:val="00450C8B"/>
    <w:rsid w:val="0045139F"/>
    <w:rsid w:val="0045185C"/>
    <w:rsid w:val="0045195E"/>
    <w:rsid w:val="0045197B"/>
    <w:rsid w:val="00451EED"/>
    <w:rsid w:val="00452134"/>
    <w:rsid w:val="004521B2"/>
    <w:rsid w:val="00452538"/>
    <w:rsid w:val="0045307F"/>
    <w:rsid w:val="0045311E"/>
    <w:rsid w:val="00453465"/>
    <w:rsid w:val="00453F22"/>
    <w:rsid w:val="004542F1"/>
    <w:rsid w:val="00455F81"/>
    <w:rsid w:val="004560C8"/>
    <w:rsid w:val="0045696F"/>
    <w:rsid w:val="00456A89"/>
    <w:rsid w:val="00456DAA"/>
    <w:rsid w:val="00457246"/>
    <w:rsid w:val="00457255"/>
    <w:rsid w:val="00457493"/>
    <w:rsid w:val="00457A2E"/>
    <w:rsid w:val="00457A3C"/>
    <w:rsid w:val="00457AEC"/>
    <w:rsid w:val="0046008F"/>
    <w:rsid w:val="00460278"/>
    <w:rsid w:val="004602B2"/>
    <w:rsid w:val="00460344"/>
    <w:rsid w:val="00460A7C"/>
    <w:rsid w:val="00460B11"/>
    <w:rsid w:val="00461157"/>
    <w:rsid w:val="004615AD"/>
    <w:rsid w:val="004616F5"/>
    <w:rsid w:val="00461C58"/>
    <w:rsid w:val="00462316"/>
    <w:rsid w:val="00462937"/>
    <w:rsid w:val="00462E3C"/>
    <w:rsid w:val="0046329D"/>
    <w:rsid w:val="00463F51"/>
    <w:rsid w:val="00464000"/>
    <w:rsid w:val="0046441F"/>
    <w:rsid w:val="0046488B"/>
    <w:rsid w:val="004648C7"/>
    <w:rsid w:val="00465011"/>
    <w:rsid w:val="00465478"/>
    <w:rsid w:val="00465A52"/>
    <w:rsid w:val="00465AD1"/>
    <w:rsid w:val="00466444"/>
    <w:rsid w:val="00466855"/>
    <w:rsid w:val="004669DB"/>
    <w:rsid w:val="00466B71"/>
    <w:rsid w:val="00467CF3"/>
    <w:rsid w:val="00467EF9"/>
    <w:rsid w:val="00467F0C"/>
    <w:rsid w:val="00467FD4"/>
    <w:rsid w:val="00470103"/>
    <w:rsid w:val="0047195C"/>
    <w:rsid w:val="00472020"/>
    <w:rsid w:val="004720A7"/>
    <w:rsid w:val="00472525"/>
    <w:rsid w:val="004725C0"/>
    <w:rsid w:val="0047272D"/>
    <w:rsid w:val="00472C84"/>
    <w:rsid w:val="00474ACA"/>
    <w:rsid w:val="00474B0D"/>
    <w:rsid w:val="00474D12"/>
    <w:rsid w:val="00474E72"/>
    <w:rsid w:val="00475093"/>
    <w:rsid w:val="004750DD"/>
    <w:rsid w:val="0047516E"/>
    <w:rsid w:val="00475316"/>
    <w:rsid w:val="004756EF"/>
    <w:rsid w:val="0047613C"/>
    <w:rsid w:val="00476176"/>
    <w:rsid w:val="00476382"/>
    <w:rsid w:val="0047640B"/>
    <w:rsid w:val="0047643D"/>
    <w:rsid w:val="00476887"/>
    <w:rsid w:val="004771B9"/>
    <w:rsid w:val="0047733B"/>
    <w:rsid w:val="0047793A"/>
    <w:rsid w:val="00480211"/>
    <w:rsid w:val="00480433"/>
    <w:rsid w:val="00480466"/>
    <w:rsid w:val="00480840"/>
    <w:rsid w:val="00481433"/>
    <w:rsid w:val="004827CF"/>
    <w:rsid w:val="00482E5E"/>
    <w:rsid w:val="00483098"/>
    <w:rsid w:val="00483195"/>
    <w:rsid w:val="00483246"/>
    <w:rsid w:val="004832D9"/>
    <w:rsid w:val="00483BC8"/>
    <w:rsid w:val="0048445A"/>
    <w:rsid w:val="0048508B"/>
    <w:rsid w:val="0048529F"/>
    <w:rsid w:val="004852E8"/>
    <w:rsid w:val="0048542C"/>
    <w:rsid w:val="0048582F"/>
    <w:rsid w:val="00485EA5"/>
    <w:rsid w:val="00486F7B"/>
    <w:rsid w:val="0048756A"/>
    <w:rsid w:val="004901D6"/>
    <w:rsid w:val="00490DEA"/>
    <w:rsid w:val="00490F74"/>
    <w:rsid w:val="00491C6D"/>
    <w:rsid w:val="0049296C"/>
    <w:rsid w:val="004948D9"/>
    <w:rsid w:val="004948E9"/>
    <w:rsid w:val="00494B6B"/>
    <w:rsid w:val="00494E84"/>
    <w:rsid w:val="00494EC7"/>
    <w:rsid w:val="004952A7"/>
    <w:rsid w:val="00495531"/>
    <w:rsid w:val="00495DD2"/>
    <w:rsid w:val="00495F06"/>
    <w:rsid w:val="004964F9"/>
    <w:rsid w:val="004977A8"/>
    <w:rsid w:val="00497A90"/>
    <w:rsid w:val="00497FBA"/>
    <w:rsid w:val="004A0804"/>
    <w:rsid w:val="004A0AF6"/>
    <w:rsid w:val="004A0C16"/>
    <w:rsid w:val="004A0E0C"/>
    <w:rsid w:val="004A11FB"/>
    <w:rsid w:val="004A1F8D"/>
    <w:rsid w:val="004A1FED"/>
    <w:rsid w:val="004A2059"/>
    <w:rsid w:val="004A232C"/>
    <w:rsid w:val="004A25FA"/>
    <w:rsid w:val="004A2CC4"/>
    <w:rsid w:val="004A35B4"/>
    <w:rsid w:val="004A3A32"/>
    <w:rsid w:val="004A42AD"/>
    <w:rsid w:val="004A4C1B"/>
    <w:rsid w:val="004A4CC3"/>
    <w:rsid w:val="004A4CDA"/>
    <w:rsid w:val="004A4E7C"/>
    <w:rsid w:val="004A525A"/>
    <w:rsid w:val="004A52E3"/>
    <w:rsid w:val="004A5317"/>
    <w:rsid w:val="004A5799"/>
    <w:rsid w:val="004A5C72"/>
    <w:rsid w:val="004A6570"/>
    <w:rsid w:val="004A6618"/>
    <w:rsid w:val="004A6BF4"/>
    <w:rsid w:val="004A78B2"/>
    <w:rsid w:val="004A7A75"/>
    <w:rsid w:val="004A7DE9"/>
    <w:rsid w:val="004A7FA1"/>
    <w:rsid w:val="004B04B3"/>
    <w:rsid w:val="004B0512"/>
    <w:rsid w:val="004B0515"/>
    <w:rsid w:val="004B06BD"/>
    <w:rsid w:val="004B0A58"/>
    <w:rsid w:val="004B11D3"/>
    <w:rsid w:val="004B16EB"/>
    <w:rsid w:val="004B1B7A"/>
    <w:rsid w:val="004B1F81"/>
    <w:rsid w:val="004B2074"/>
    <w:rsid w:val="004B22CD"/>
    <w:rsid w:val="004B292D"/>
    <w:rsid w:val="004B307C"/>
    <w:rsid w:val="004B38C2"/>
    <w:rsid w:val="004B4EE5"/>
    <w:rsid w:val="004B5154"/>
    <w:rsid w:val="004B5635"/>
    <w:rsid w:val="004B5DAE"/>
    <w:rsid w:val="004B5E5C"/>
    <w:rsid w:val="004B726A"/>
    <w:rsid w:val="004B749F"/>
    <w:rsid w:val="004B75CD"/>
    <w:rsid w:val="004B76D8"/>
    <w:rsid w:val="004B7788"/>
    <w:rsid w:val="004B79FC"/>
    <w:rsid w:val="004C006D"/>
    <w:rsid w:val="004C01E0"/>
    <w:rsid w:val="004C09B7"/>
    <w:rsid w:val="004C0AEE"/>
    <w:rsid w:val="004C0C6A"/>
    <w:rsid w:val="004C12EF"/>
    <w:rsid w:val="004C138E"/>
    <w:rsid w:val="004C139F"/>
    <w:rsid w:val="004C1531"/>
    <w:rsid w:val="004C1951"/>
    <w:rsid w:val="004C19AF"/>
    <w:rsid w:val="004C2964"/>
    <w:rsid w:val="004C2B07"/>
    <w:rsid w:val="004C3D22"/>
    <w:rsid w:val="004C3F11"/>
    <w:rsid w:val="004C3FE7"/>
    <w:rsid w:val="004C46A0"/>
    <w:rsid w:val="004C4F8B"/>
    <w:rsid w:val="004C5356"/>
    <w:rsid w:val="004C5BA7"/>
    <w:rsid w:val="004C675B"/>
    <w:rsid w:val="004C6A09"/>
    <w:rsid w:val="004C6E97"/>
    <w:rsid w:val="004C6FB7"/>
    <w:rsid w:val="004C70AD"/>
    <w:rsid w:val="004C7CEE"/>
    <w:rsid w:val="004D01C1"/>
    <w:rsid w:val="004D02D1"/>
    <w:rsid w:val="004D049E"/>
    <w:rsid w:val="004D1491"/>
    <w:rsid w:val="004D1FEA"/>
    <w:rsid w:val="004D39FF"/>
    <w:rsid w:val="004D4CB2"/>
    <w:rsid w:val="004D4F61"/>
    <w:rsid w:val="004D5795"/>
    <w:rsid w:val="004D5AE0"/>
    <w:rsid w:val="004D5D98"/>
    <w:rsid w:val="004D62DA"/>
    <w:rsid w:val="004D6B87"/>
    <w:rsid w:val="004D6CDE"/>
    <w:rsid w:val="004D6FA8"/>
    <w:rsid w:val="004D71BA"/>
    <w:rsid w:val="004D71ED"/>
    <w:rsid w:val="004D72BB"/>
    <w:rsid w:val="004D76E4"/>
    <w:rsid w:val="004E02B8"/>
    <w:rsid w:val="004E0807"/>
    <w:rsid w:val="004E10A5"/>
    <w:rsid w:val="004E11B9"/>
    <w:rsid w:val="004E1467"/>
    <w:rsid w:val="004E1F0F"/>
    <w:rsid w:val="004E25FA"/>
    <w:rsid w:val="004E2911"/>
    <w:rsid w:val="004E30C4"/>
    <w:rsid w:val="004E3137"/>
    <w:rsid w:val="004E3488"/>
    <w:rsid w:val="004E370E"/>
    <w:rsid w:val="004E3985"/>
    <w:rsid w:val="004E3C94"/>
    <w:rsid w:val="004E45C5"/>
    <w:rsid w:val="004E4635"/>
    <w:rsid w:val="004E4934"/>
    <w:rsid w:val="004E5CDB"/>
    <w:rsid w:val="004E5CFF"/>
    <w:rsid w:val="004E6944"/>
    <w:rsid w:val="004E706A"/>
    <w:rsid w:val="004E718D"/>
    <w:rsid w:val="004E7332"/>
    <w:rsid w:val="004E783F"/>
    <w:rsid w:val="004E78AF"/>
    <w:rsid w:val="004E7BC0"/>
    <w:rsid w:val="004E7C38"/>
    <w:rsid w:val="004F0C07"/>
    <w:rsid w:val="004F0C50"/>
    <w:rsid w:val="004F1381"/>
    <w:rsid w:val="004F19F4"/>
    <w:rsid w:val="004F243E"/>
    <w:rsid w:val="004F26F4"/>
    <w:rsid w:val="004F2B2F"/>
    <w:rsid w:val="004F2D72"/>
    <w:rsid w:val="004F39F7"/>
    <w:rsid w:val="004F3E54"/>
    <w:rsid w:val="004F41C8"/>
    <w:rsid w:val="004F44D5"/>
    <w:rsid w:val="004F4D5C"/>
    <w:rsid w:val="004F4FCE"/>
    <w:rsid w:val="004F55DC"/>
    <w:rsid w:val="004F57B5"/>
    <w:rsid w:val="004F5FBC"/>
    <w:rsid w:val="004F6187"/>
    <w:rsid w:val="004F6EB4"/>
    <w:rsid w:val="004F7548"/>
    <w:rsid w:val="004F7657"/>
    <w:rsid w:val="005006AA"/>
    <w:rsid w:val="00501146"/>
    <w:rsid w:val="005015E0"/>
    <w:rsid w:val="00501922"/>
    <w:rsid w:val="005019C2"/>
    <w:rsid w:val="00501A65"/>
    <w:rsid w:val="00502463"/>
    <w:rsid w:val="00502C21"/>
    <w:rsid w:val="00502D1E"/>
    <w:rsid w:val="00502FA3"/>
    <w:rsid w:val="00503009"/>
    <w:rsid w:val="00503286"/>
    <w:rsid w:val="005034B4"/>
    <w:rsid w:val="00503711"/>
    <w:rsid w:val="0050428C"/>
    <w:rsid w:val="0050433D"/>
    <w:rsid w:val="0050456C"/>
    <w:rsid w:val="00505CB7"/>
    <w:rsid w:val="00505D97"/>
    <w:rsid w:val="00506642"/>
    <w:rsid w:val="0050673B"/>
    <w:rsid w:val="0050698C"/>
    <w:rsid w:val="00506F8E"/>
    <w:rsid w:val="00507FDF"/>
    <w:rsid w:val="00510CB5"/>
    <w:rsid w:val="00510CD6"/>
    <w:rsid w:val="00511107"/>
    <w:rsid w:val="005115F8"/>
    <w:rsid w:val="005117DD"/>
    <w:rsid w:val="00511909"/>
    <w:rsid w:val="00512872"/>
    <w:rsid w:val="00513EE7"/>
    <w:rsid w:val="00513FC3"/>
    <w:rsid w:val="005146A7"/>
    <w:rsid w:val="00514885"/>
    <w:rsid w:val="00514D27"/>
    <w:rsid w:val="00514EA9"/>
    <w:rsid w:val="00514F41"/>
    <w:rsid w:val="00515028"/>
    <w:rsid w:val="0051535A"/>
    <w:rsid w:val="0051648A"/>
    <w:rsid w:val="005167EE"/>
    <w:rsid w:val="00516F6F"/>
    <w:rsid w:val="0051764A"/>
    <w:rsid w:val="0051772E"/>
    <w:rsid w:val="00517D11"/>
    <w:rsid w:val="00520292"/>
    <w:rsid w:val="00520A34"/>
    <w:rsid w:val="00520FFC"/>
    <w:rsid w:val="00522050"/>
    <w:rsid w:val="00522056"/>
    <w:rsid w:val="00522874"/>
    <w:rsid w:val="00522878"/>
    <w:rsid w:val="00522AD6"/>
    <w:rsid w:val="00522DBE"/>
    <w:rsid w:val="005237AF"/>
    <w:rsid w:val="00523F2A"/>
    <w:rsid w:val="00524277"/>
    <w:rsid w:val="0052471E"/>
    <w:rsid w:val="0052516D"/>
    <w:rsid w:val="005256AA"/>
    <w:rsid w:val="0052596D"/>
    <w:rsid w:val="00525B9E"/>
    <w:rsid w:val="005267A5"/>
    <w:rsid w:val="00526D80"/>
    <w:rsid w:val="00527367"/>
    <w:rsid w:val="005274F7"/>
    <w:rsid w:val="00527957"/>
    <w:rsid w:val="00527B5A"/>
    <w:rsid w:val="00527BFF"/>
    <w:rsid w:val="00527D4D"/>
    <w:rsid w:val="0053076B"/>
    <w:rsid w:val="00530E2B"/>
    <w:rsid w:val="00531523"/>
    <w:rsid w:val="00531AF9"/>
    <w:rsid w:val="00531D9C"/>
    <w:rsid w:val="005325E0"/>
    <w:rsid w:val="0053264A"/>
    <w:rsid w:val="00532B8D"/>
    <w:rsid w:val="0053315E"/>
    <w:rsid w:val="00533B1C"/>
    <w:rsid w:val="00533E78"/>
    <w:rsid w:val="00534C05"/>
    <w:rsid w:val="00535451"/>
    <w:rsid w:val="00535513"/>
    <w:rsid w:val="0053570D"/>
    <w:rsid w:val="00535999"/>
    <w:rsid w:val="00535BF2"/>
    <w:rsid w:val="00535C0E"/>
    <w:rsid w:val="00535E78"/>
    <w:rsid w:val="00536388"/>
    <w:rsid w:val="005364FD"/>
    <w:rsid w:val="005370DB"/>
    <w:rsid w:val="005371F3"/>
    <w:rsid w:val="00537517"/>
    <w:rsid w:val="00537F38"/>
    <w:rsid w:val="00540274"/>
    <w:rsid w:val="00540BA6"/>
    <w:rsid w:val="00540C93"/>
    <w:rsid w:val="00540CBE"/>
    <w:rsid w:val="00541154"/>
    <w:rsid w:val="00541208"/>
    <w:rsid w:val="005413C6"/>
    <w:rsid w:val="0054168E"/>
    <w:rsid w:val="005418D6"/>
    <w:rsid w:val="00541D5E"/>
    <w:rsid w:val="00541E8A"/>
    <w:rsid w:val="005421A1"/>
    <w:rsid w:val="005422A2"/>
    <w:rsid w:val="005423C4"/>
    <w:rsid w:val="00542DD7"/>
    <w:rsid w:val="00542EC0"/>
    <w:rsid w:val="00543248"/>
    <w:rsid w:val="0054388B"/>
    <w:rsid w:val="00543F41"/>
    <w:rsid w:val="00543FD3"/>
    <w:rsid w:val="0054408C"/>
    <w:rsid w:val="00544C77"/>
    <w:rsid w:val="00544E3C"/>
    <w:rsid w:val="005450CD"/>
    <w:rsid w:val="005452C5"/>
    <w:rsid w:val="005458B9"/>
    <w:rsid w:val="00545D14"/>
    <w:rsid w:val="00545DEB"/>
    <w:rsid w:val="00545FF0"/>
    <w:rsid w:val="0054605E"/>
    <w:rsid w:val="00546204"/>
    <w:rsid w:val="00546243"/>
    <w:rsid w:val="00546C25"/>
    <w:rsid w:val="00546C83"/>
    <w:rsid w:val="00546D84"/>
    <w:rsid w:val="00546EF3"/>
    <w:rsid w:val="00547238"/>
    <w:rsid w:val="00547558"/>
    <w:rsid w:val="00550199"/>
    <w:rsid w:val="00550289"/>
    <w:rsid w:val="00550B90"/>
    <w:rsid w:val="00550E16"/>
    <w:rsid w:val="00551262"/>
    <w:rsid w:val="00551751"/>
    <w:rsid w:val="0055181B"/>
    <w:rsid w:val="00551A86"/>
    <w:rsid w:val="00552EEF"/>
    <w:rsid w:val="00553596"/>
    <w:rsid w:val="00554BEF"/>
    <w:rsid w:val="00554D42"/>
    <w:rsid w:val="00555368"/>
    <w:rsid w:val="005557DD"/>
    <w:rsid w:val="005558C0"/>
    <w:rsid w:val="00555BE5"/>
    <w:rsid w:val="00555F2F"/>
    <w:rsid w:val="0055672B"/>
    <w:rsid w:val="0055674D"/>
    <w:rsid w:val="005568EE"/>
    <w:rsid w:val="00556D6C"/>
    <w:rsid w:val="0055750D"/>
    <w:rsid w:val="0055778A"/>
    <w:rsid w:val="0055789C"/>
    <w:rsid w:val="00557E0F"/>
    <w:rsid w:val="00557F62"/>
    <w:rsid w:val="00560043"/>
    <w:rsid w:val="00560181"/>
    <w:rsid w:val="005602FC"/>
    <w:rsid w:val="0056043C"/>
    <w:rsid w:val="00561A04"/>
    <w:rsid w:val="00561A97"/>
    <w:rsid w:val="00561E11"/>
    <w:rsid w:val="0056335D"/>
    <w:rsid w:val="00563873"/>
    <w:rsid w:val="00564091"/>
    <w:rsid w:val="00564AF9"/>
    <w:rsid w:val="00564CBB"/>
    <w:rsid w:val="00564CCE"/>
    <w:rsid w:val="00564DA4"/>
    <w:rsid w:val="00564F7A"/>
    <w:rsid w:val="0056542D"/>
    <w:rsid w:val="00565894"/>
    <w:rsid w:val="00565FCC"/>
    <w:rsid w:val="00565FD1"/>
    <w:rsid w:val="005660B7"/>
    <w:rsid w:val="0056610F"/>
    <w:rsid w:val="00566545"/>
    <w:rsid w:val="00566A47"/>
    <w:rsid w:val="00567A25"/>
    <w:rsid w:val="00567D14"/>
    <w:rsid w:val="005703F2"/>
    <w:rsid w:val="00571598"/>
    <w:rsid w:val="00571815"/>
    <w:rsid w:val="00572FEB"/>
    <w:rsid w:val="00573269"/>
    <w:rsid w:val="005732DF"/>
    <w:rsid w:val="005736E4"/>
    <w:rsid w:val="00573D4F"/>
    <w:rsid w:val="0057458D"/>
    <w:rsid w:val="005747FD"/>
    <w:rsid w:val="005757E5"/>
    <w:rsid w:val="00575C91"/>
    <w:rsid w:val="0057646D"/>
    <w:rsid w:val="00576DB6"/>
    <w:rsid w:val="0057721C"/>
    <w:rsid w:val="00577616"/>
    <w:rsid w:val="00577AE0"/>
    <w:rsid w:val="00577E91"/>
    <w:rsid w:val="005802C8"/>
    <w:rsid w:val="005804E1"/>
    <w:rsid w:val="00581AB2"/>
    <w:rsid w:val="00581CC1"/>
    <w:rsid w:val="00581CE5"/>
    <w:rsid w:val="005820A2"/>
    <w:rsid w:val="00582FD5"/>
    <w:rsid w:val="00584133"/>
    <w:rsid w:val="005845DA"/>
    <w:rsid w:val="00587501"/>
    <w:rsid w:val="0058790B"/>
    <w:rsid w:val="00587992"/>
    <w:rsid w:val="00590E85"/>
    <w:rsid w:val="0059168E"/>
    <w:rsid w:val="005919CB"/>
    <w:rsid w:val="00592AF1"/>
    <w:rsid w:val="00592CFC"/>
    <w:rsid w:val="00593A16"/>
    <w:rsid w:val="005940A5"/>
    <w:rsid w:val="00594917"/>
    <w:rsid w:val="00595792"/>
    <w:rsid w:val="00595E62"/>
    <w:rsid w:val="00595FE0"/>
    <w:rsid w:val="0059619B"/>
    <w:rsid w:val="00596AC5"/>
    <w:rsid w:val="005A01CB"/>
    <w:rsid w:val="005A069D"/>
    <w:rsid w:val="005A084C"/>
    <w:rsid w:val="005A171E"/>
    <w:rsid w:val="005A1FED"/>
    <w:rsid w:val="005A2491"/>
    <w:rsid w:val="005A27BA"/>
    <w:rsid w:val="005A28FF"/>
    <w:rsid w:val="005A2912"/>
    <w:rsid w:val="005A299F"/>
    <w:rsid w:val="005A2E01"/>
    <w:rsid w:val="005A32B1"/>
    <w:rsid w:val="005A3594"/>
    <w:rsid w:val="005A38A2"/>
    <w:rsid w:val="005A4015"/>
    <w:rsid w:val="005A40F1"/>
    <w:rsid w:val="005A4604"/>
    <w:rsid w:val="005A57B0"/>
    <w:rsid w:val="005A5A24"/>
    <w:rsid w:val="005A6A3A"/>
    <w:rsid w:val="005A6EED"/>
    <w:rsid w:val="005A6FD6"/>
    <w:rsid w:val="005A7184"/>
    <w:rsid w:val="005A7B51"/>
    <w:rsid w:val="005A7C4A"/>
    <w:rsid w:val="005A7FE1"/>
    <w:rsid w:val="005B051B"/>
    <w:rsid w:val="005B1A8B"/>
    <w:rsid w:val="005B1E4C"/>
    <w:rsid w:val="005B206A"/>
    <w:rsid w:val="005B21EE"/>
    <w:rsid w:val="005B288B"/>
    <w:rsid w:val="005B2E3C"/>
    <w:rsid w:val="005B31F2"/>
    <w:rsid w:val="005B417F"/>
    <w:rsid w:val="005B4323"/>
    <w:rsid w:val="005B4514"/>
    <w:rsid w:val="005B6A03"/>
    <w:rsid w:val="005B6C6A"/>
    <w:rsid w:val="005C0499"/>
    <w:rsid w:val="005C05BD"/>
    <w:rsid w:val="005C147E"/>
    <w:rsid w:val="005C18F6"/>
    <w:rsid w:val="005C2326"/>
    <w:rsid w:val="005C31DF"/>
    <w:rsid w:val="005C32E5"/>
    <w:rsid w:val="005C4832"/>
    <w:rsid w:val="005C54C9"/>
    <w:rsid w:val="005C551E"/>
    <w:rsid w:val="005C66FB"/>
    <w:rsid w:val="005C6810"/>
    <w:rsid w:val="005C6B51"/>
    <w:rsid w:val="005C7581"/>
    <w:rsid w:val="005C7FEB"/>
    <w:rsid w:val="005D0026"/>
    <w:rsid w:val="005D0418"/>
    <w:rsid w:val="005D06D7"/>
    <w:rsid w:val="005D0A65"/>
    <w:rsid w:val="005D0CA3"/>
    <w:rsid w:val="005D0DE0"/>
    <w:rsid w:val="005D0FBE"/>
    <w:rsid w:val="005D13DE"/>
    <w:rsid w:val="005D1630"/>
    <w:rsid w:val="005D18F8"/>
    <w:rsid w:val="005D1D7F"/>
    <w:rsid w:val="005D1EE3"/>
    <w:rsid w:val="005D2000"/>
    <w:rsid w:val="005D2143"/>
    <w:rsid w:val="005D2739"/>
    <w:rsid w:val="005D2FA2"/>
    <w:rsid w:val="005D2FEE"/>
    <w:rsid w:val="005D3349"/>
    <w:rsid w:val="005D347D"/>
    <w:rsid w:val="005D356D"/>
    <w:rsid w:val="005D3A5B"/>
    <w:rsid w:val="005D3E98"/>
    <w:rsid w:val="005D3F88"/>
    <w:rsid w:val="005D429D"/>
    <w:rsid w:val="005D42AA"/>
    <w:rsid w:val="005D4348"/>
    <w:rsid w:val="005D45C9"/>
    <w:rsid w:val="005D4611"/>
    <w:rsid w:val="005D47C2"/>
    <w:rsid w:val="005D4AA6"/>
    <w:rsid w:val="005D5264"/>
    <w:rsid w:val="005D5475"/>
    <w:rsid w:val="005D5829"/>
    <w:rsid w:val="005D5B83"/>
    <w:rsid w:val="005D66E1"/>
    <w:rsid w:val="005D6CBB"/>
    <w:rsid w:val="005D6D68"/>
    <w:rsid w:val="005D710D"/>
    <w:rsid w:val="005D7119"/>
    <w:rsid w:val="005D74EE"/>
    <w:rsid w:val="005D7AF5"/>
    <w:rsid w:val="005D7E9E"/>
    <w:rsid w:val="005E0BD3"/>
    <w:rsid w:val="005E0BFB"/>
    <w:rsid w:val="005E0C43"/>
    <w:rsid w:val="005E0CC3"/>
    <w:rsid w:val="005E0D62"/>
    <w:rsid w:val="005E0E7D"/>
    <w:rsid w:val="005E1241"/>
    <w:rsid w:val="005E133C"/>
    <w:rsid w:val="005E29D6"/>
    <w:rsid w:val="005E347D"/>
    <w:rsid w:val="005E3603"/>
    <w:rsid w:val="005E3B00"/>
    <w:rsid w:val="005E431F"/>
    <w:rsid w:val="005E4726"/>
    <w:rsid w:val="005E4CA9"/>
    <w:rsid w:val="005E50CE"/>
    <w:rsid w:val="005E5747"/>
    <w:rsid w:val="005E5758"/>
    <w:rsid w:val="005E615D"/>
    <w:rsid w:val="005E69C8"/>
    <w:rsid w:val="005E6EB4"/>
    <w:rsid w:val="005E71B4"/>
    <w:rsid w:val="005E748E"/>
    <w:rsid w:val="005E7493"/>
    <w:rsid w:val="005E796E"/>
    <w:rsid w:val="005E7C1B"/>
    <w:rsid w:val="005F08C3"/>
    <w:rsid w:val="005F169D"/>
    <w:rsid w:val="005F1722"/>
    <w:rsid w:val="005F178B"/>
    <w:rsid w:val="005F1F16"/>
    <w:rsid w:val="005F1F46"/>
    <w:rsid w:val="005F202D"/>
    <w:rsid w:val="005F2359"/>
    <w:rsid w:val="005F2BE7"/>
    <w:rsid w:val="005F3369"/>
    <w:rsid w:val="005F3C64"/>
    <w:rsid w:val="005F3C7B"/>
    <w:rsid w:val="005F3F80"/>
    <w:rsid w:val="005F450A"/>
    <w:rsid w:val="005F4ABB"/>
    <w:rsid w:val="005F4EC8"/>
    <w:rsid w:val="005F5A9E"/>
    <w:rsid w:val="005F60BE"/>
    <w:rsid w:val="005F6330"/>
    <w:rsid w:val="005F677E"/>
    <w:rsid w:val="005F68C2"/>
    <w:rsid w:val="005F699B"/>
    <w:rsid w:val="005F6CA2"/>
    <w:rsid w:val="005F6FE3"/>
    <w:rsid w:val="005F7173"/>
    <w:rsid w:val="005F747C"/>
    <w:rsid w:val="00601339"/>
    <w:rsid w:val="006019F6"/>
    <w:rsid w:val="00601FDB"/>
    <w:rsid w:val="00602333"/>
    <w:rsid w:val="006024F7"/>
    <w:rsid w:val="00602E30"/>
    <w:rsid w:val="006033CF"/>
    <w:rsid w:val="006037A6"/>
    <w:rsid w:val="00604448"/>
    <w:rsid w:val="00605A75"/>
    <w:rsid w:val="00605C1A"/>
    <w:rsid w:val="00605CE9"/>
    <w:rsid w:val="00606162"/>
    <w:rsid w:val="00606CF8"/>
    <w:rsid w:val="006077BF"/>
    <w:rsid w:val="00607C70"/>
    <w:rsid w:val="00607C8B"/>
    <w:rsid w:val="00610688"/>
    <w:rsid w:val="006107CF"/>
    <w:rsid w:val="00610B55"/>
    <w:rsid w:val="00610CEE"/>
    <w:rsid w:val="00610E11"/>
    <w:rsid w:val="006120DA"/>
    <w:rsid w:val="006128FA"/>
    <w:rsid w:val="00612E94"/>
    <w:rsid w:val="0061364B"/>
    <w:rsid w:val="00613C0E"/>
    <w:rsid w:val="00614051"/>
    <w:rsid w:val="0061492C"/>
    <w:rsid w:val="00615011"/>
    <w:rsid w:val="006158FD"/>
    <w:rsid w:val="00616A7D"/>
    <w:rsid w:val="00616A87"/>
    <w:rsid w:val="00616B45"/>
    <w:rsid w:val="00616F8F"/>
    <w:rsid w:val="00617320"/>
    <w:rsid w:val="00617AB7"/>
    <w:rsid w:val="006204CA"/>
    <w:rsid w:val="00620690"/>
    <w:rsid w:val="0062072B"/>
    <w:rsid w:val="0062124A"/>
    <w:rsid w:val="006217EF"/>
    <w:rsid w:val="00622136"/>
    <w:rsid w:val="00622E29"/>
    <w:rsid w:val="006235D2"/>
    <w:rsid w:val="006249CB"/>
    <w:rsid w:val="00624D8D"/>
    <w:rsid w:val="0062517E"/>
    <w:rsid w:val="00625B4C"/>
    <w:rsid w:val="0062617D"/>
    <w:rsid w:val="0062628D"/>
    <w:rsid w:val="006262D3"/>
    <w:rsid w:val="0062671F"/>
    <w:rsid w:val="006269B7"/>
    <w:rsid w:val="00626B61"/>
    <w:rsid w:val="00627881"/>
    <w:rsid w:val="00627BF6"/>
    <w:rsid w:val="006301A6"/>
    <w:rsid w:val="006305FB"/>
    <w:rsid w:val="00630DAD"/>
    <w:rsid w:val="006318D3"/>
    <w:rsid w:val="00631BD1"/>
    <w:rsid w:val="006324BA"/>
    <w:rsid w:val="00632FDF"/>
    <w:rsid w:val="0063307B"/>
    <w:rsid w:val="00633092"/>
    <w:rsid w:val="006336D6"/>
    <w:rsid w:val="0063384A"/>
    <w:rsid w:val="006345DF"/>
    <w:rsid w:val="0063460A"/>
    <w:rsid w:val="00634721"/>
    <w:rsid w:val="0063488E"/>
    <w:rsid w:val="0063499C"/>
    <w:rsid w:val="006352BC"/>
    <w:rsid w:val="006353A8"/>
    <w:rsid w:val="00635497"/>
    <w:rsid w:val="00635C54"/>
    <w:rsid w:val="006361C2"/>
    <w:rsid w:val="00637F58"/>
    <w:rsid w:val="0064007F"/>
    <w:rsid w:val="00640231"/>
    <w:rsid w:val="00640381"/>
    <w:rsid w:val="0064069F"/>
    <w:rsid w:val="00640AD6"/>
    <w:rsid w:val="00640FC3"/>
    <w:rsid w:val="00641064"/>
    <w:rsid w:val="0064227C"/>
    <w:rsid w:val="006422A6"/>
    <w:rsid w:val="006426FB"/>
    <w:rsid w:val="00642A80"/>
    <w:rsid w:val="00642FB9"/>
    <w:rsid w:val="00643180"/>
    <w:rsid w:val="00643328"/>
    <w:rsid w:val="00643421"/>
    <w:rsid w:val="00644699"/>
    <w:rsid w:val="00645099"/>
    <w:rsid w:val="00645687"/>
    <w:rsid w:val="00645E71"/>
    <w:rsid w:val="00645E80"/>
    <w:rsid w:val="006465FC"/>
    <w:rsid w:val="006471AB"/>
    <w:rsid w:val="00647673"/>
    <w:rsid w:val="0064798C"/>
    <w:rsid w:val="006506E9"/>
    <w:rsid w:val="006507AC"/>
    <w:rsid w:val="00650D01"/>
    <w:rsid w:val="00651359"/>
    <w:rsid w:val="00651A7B"/>
    <w:rsid w:val="00651B01"/>
    <w:rsid w:val="00651BD9"/>
    <w:rsid w:val="00651C0D"/>
    <w:rsid w:val="006525CC"/>
    <w:rsid w:val="00652780"/>
    <w:rsid w:val="006529EE"/>
    <w:rsid w:val="00652D73"/>
    <w:rsid w:val="0065345F"/>
    <w:rsid w:val="00653642"/>
    <w:rsid w:val="006537A4"/>
    <w:rsid w:val="00653BA9"/>
    <w:rsid w:val="00653D66"/>
    <w:rsid w:val="0065509F"/>
    <w:rsid w:val="006555F8"/>
    <w:rsid w:val="00655D30"/>
    <w:rsid w:val="0065728E"/>
    <w:rsid w:val="00660CF4"/>
    <w:rsid w:val="00660E68"/>
    <w:rsid w:val="0066133B"/>
    <w:rsid w:val="006617A9"/>
    <w:rsid w:val="006618C7"/>
    <w:rsid w:val="00661A90"/>
    <w:rsid w:val="006621DE"/>
    <w:rsid w:val="006622FB"/>
    <w:rsid w:val="006622FD"/>
    <w:rsid w:val="00662B02"/>
    <w:rsid w:val="00662E8F"/>
    <w:rsid w:val="0066315D"/>
    <w:rsid w:val="00663207"/>
    <w:rsid w:val="00663725"/>
    <w:rsid w:val="006639B0"/>
    <w:rsid w:val="00663A09"/>
    <w:rsid w:val="00663B97"/>
    <w:rsid w:val="00663DDE"/>
    <w:rsid w:val="00664A22"/>
    <w:rsid w:val="00664CDF"/>
    <w:rsid w:val="0066520D"/>
    <w:rsid w:val="00665290"/>
    <w:rsid w:val="00665A1D"/>
    <w:rsid w:val="00665E37"/>
    <w:rsid w:val="00665F73"/>
    <w:rsid w:val="006666BC"/>
    <w:rsid w:val="0066794C"/>
    <w:rsid w:val="00670058"/>
    <w:rsid w:val="006709A3"/>
    <w:rsid w:val="00670A23"/>
    <w:rsid w:val="00670D59"/>
    <w:rsid w:val="00670EC6"/>
    <w:rsid w:val="0067129F"/>
    <w:rsid w:val="00671B5F"/>
    <w:rsid w:val="0067314F"/>
    <w:rsid w:val="00673678"/>
    <w:rsid w:val="00674BD2"/>
    <w:rsid w:val="006755BA"/>
    <w:rsid w:val="006757AB"/>
    <w:rsid w:val="00675AE3"/>
    <w:rsid w:val="00675C6F"/>
    <w:rsid w:val="00676132"/>
    <w:rsid w:val="00676491"/>
    <w:rsid w:val="00676E8A"/>
    <w:rsid w:val="0067729A"/>
    <w:rsid w:val="00677A8B"/>
    <w:rsid w:val="00677F38"/>
    <w:rsid w:val="006800F2"/>
    <w:rsid w:val="0068029B"/>
    <w:rsid w:val="00680498"/>
    <w:rsid w:val="006804C5"/>
    <w:rsid w:val="006808E3"/>
    <w:rsid w:val="00680B6E"/>
    <w:rsid w:val="00681461"/>
    <w:rsid w:val="006817DA"/>
    <w:rsid w:val="00682AC1"/>
    <w:rsid w:val="00682CC4"/>
    <w:rsid w:val="0068309D"/>
    <w:rsid w:val="006836C9"/>
    <w:rsid w:val="006843DA"/>
    <w:rsid w:val="006845B3"/>
    <w:rsid w:val="006846E3"/>
    <w:rsid w:val="00684C62"/>
    <w:rsid w:val="00684C6C"/>
    <w:rsid w:val="00685057"/>
    <w:rsid w:val="006856AA"/>
    <w:rsid w:val="006857F2"/>
    <w:rsid w:val="006863CE"/>
    <w:rsid w:val="00686C34"/>
    <w:rsid w:val="00686F65"/>
    <w:rsid w:val="00686FAB"/>
    <w:rsid w:val="00687339"/>
    <w:rsid w:val="0068740F"/>
    <w:rsid w:val="00687674"/>
    <w:rsid w:val="00687714"/>
    <w:rsid w:val="0068774E"/>
    <w:rsid w:val="00687796"/>
    <w:rsid w:val="0068790A"/>
    <w:rsid w:val="00690021"/>
    <w:rsid w:val="0069042C"/>
    <w:rsid w:val="00690809"/>
    <w:rsid w:val="00690E5C"/>
    <w:rsid w:val="00691210"/>
    <w:rsid w:val="00691393"/>
    <w:rsid w:val="006913A9"/>
    <w:rsid w:val="006914B2"/>
    <w:rsid w:val="00691638"/>
    <w:rsid w:val="00691DEB"/>
    <w:rsid w:val="006922BD"/>
    <w:rsid w:val="0069313A"/>
    <w:rsid w:val="00693FFC"/>
    <w:rsid w:val="00694676"/>
    <w:rsid w:val="00694B10"/>
    <w:rsid w:val="00694D2E"/>
    <w:rsid w:val="006959B1"/>
    <w:rsid w:val="00695CA0"/>
    <w:rsid w:val="00695F13"/>
    <w:rsid w:val="0069604F"/>
    <w:rsid w:val="006962FB"/>
    <w:rsid w:val="00696754"/>
    <w:rsid w:val="00696BEA"/>
    <w:rsid w:val="006976AF"/>
    <w:rsid w:val="006977EA"/>
    <w:rsid w:val="00697CE7"/>
    <w:rsid w:val="00697E6F"/>
    <w:rsid w:val="006A01C5"/>
    <w:rsid w:val="006A1128"/>
    <w:rsid w:val="006A18B5"/>
    <w:rsid w:val="006A1A67"/>
    <w:rsid w:val="006A2F57"/>
    <w:rsid w:val="006A3254"/>
    <w:rsid w:val="006A3C34"/>
    <w:rsid w:val="006A44A0"/>
    <w:rsid w:val="006A4733"/>
    <w:rsid w:val="006A49FE"/>
    <w:rsid w:val="006A5889"/>
    <w:rsid w:val="006A5DD4"/>
    <w:rsid w:val="006A60BA"/>
    <w:rsid w:val="006A6B26"/>
    <w:rsid w:val="006A6E2F"/>
    <w:rsid w:val="006A704D"/>
    <w:rsid w:val="006A7077"/>
    <w:rsid w:val="006A71FC"/>
    <w:rsid w:val="006A781F"/>
    <w:rsid w:val="006A7961"/>
    <w:rsid w:val="006A7DDA"/>
    <w:rsid w:val="006B0123"/>
    <w:rsid w:val="006B077B"/>
    <w:rsid w:val="006B1045"/>
    <w:rsid w:val="006B1126"/>
    <w:rsid w:val="006B11BB"/>
    <w:rsid w:val="006B133C"/>
    <w:rsid w:val="006B159F"/>
    <w:rsid w:val="006B199D"/>
    <w:rsid w:val="006B1B6C"/>
    <w:rsid w:val="006B1C42"/>
    <w:rsid w:val="006B2E06"/>
    <w:rsid w:val="006B2EF4"/>
    <w:rsid w:val="006B2F8F"/>
    <w:rsid w:val="006B3193"/>
    <w:rsid w:val="006B3DDA"/>
    <w:rsid w:val="006B451E"/>
    <w:rsid w:val="006B4E1E"/>
    <w:rsid w:val="006B535D"/>
    <w:rsid w:val="006B65B1"/>
    <w:rsid w:val="006B68F8"/>
    <w:rsid w:val="006B69F1"/>
    <w:rsid w:val="006B6EAE"/>
    <w:rsid w:val="006B75C3"/>
    <w:rsid w:val="006C01B7"/>
    <w:rsid w:val="006C03BD"/>
    <w:rsid w:val="006C04B3"/>
    <w:rsid w:val="006C04BB"/>
    <w:rsid w:val="006C083A"/>
    <w:rsid w:val="006C087F"/>
    <w:rsid w:val="006C0BCD"/>
    <w:rsid w:val="006C11BD"/>
    <w:rsid w:val="006C17C1"/>
    <w:rsid w:val="006C2499"/>
    <w:rsid w:val="006C3F3A"/>
    <w:rsid w:val="006C41A3"/>
    <w:rsid w:val="006C4216"/>
    <w:rsid w:val="006C50DE"/>
    <w:rsid w:val="006C58B2"/>
    <w:rsid w:val="006C6C04"/>
    <w:rsid w:val="006C6C6A"/>
    <w:rsid w:val="006C7008"/>
    <w:rsid w:val="006C70F1"/>
    <w:rsid w:val="006C758C"/>
    <w:rsid w:val="006C796F"/>
    <w:rsid w:val="006D0E8E"/>
    <w:rsid w:val="006D11C2"/>
    <w:rsid w:val="006D15F0"/>
    <w:rsid w:val="006D1BF1"/>
    <w:rsid w:val="006D1DAB"/>
    <w:rsid w:val="006D23D3"/>
    <w:rsid w:val="006D295F"/>
    <w:rsid w:val="006D2E75"/>
    <w:rsid w:val="006D3043"/>
    <w:rsid w:val="006D4838"/>
    <w:rsid w:val="006D5B74"/>
    <w:rsid w:val="006D6131"/>
    <w:rsid w:val="006D61E2"/>
    <w:rsid w:val="006D72CC"/>
    <w:rsid w:val="006D72F2"/>
    <w:rsid w:val="006D76BE"/>
    <w:rsid w:val="006D7C23"/>
    <w:rsid w:val="006E09A1"/>
    <w:rsid w:val="006E09B9"/>
    <w:rsid w:val="006E0ED2"/>
    <w:rsid w:val="006E1863"/>
    <w:rsid w:val="006E18A7"/>
    <w:rsid w:val="006E3003"/>
    <w:rsid w:val="006E308E"/>
    <w:rsid w:val="006E33B0"/>
    <w:rsid w:val="006E3506"/>
    <w:rsid w:val="006E3964"/>
    <w:rsid w:val="006E3A5A"/>
    <w:rsid w:val="006E4164"/>
    <w:rsid w:val="006E436A"/>
    <w:rsid w:val="006E4599"/>
    <w:rsid w:val="006E45F3"/>
    <w:rsid w:val="006E490E"/>
    <w:rsid w:val="006E4B28"/>
    <w:rsid w:val="006E4C8E"/>
    <w:rsid w:val="006E4D18"/>
    <w:rsid w:val="006E51DF"/>
    <w:rsid w:val="006E57B3"/>
    <w:rsid w:val="006E5888"/>
    <w:rsid w:val="006E5D5C"/>
    <w:rsid w:val="006E6372"/>
    <w:rsid w:val="006E63EB"/>
    <w:rsid w:val="006E6407"/>
    <w:rsid w:val="006E662A"/>
    <w:rsid w:val="006F0261"/>
    <w:rsid w:val="006F02FE"/>
    <w:rsid w:val="006F0AB4"/>
    <w:rsid w:val="006F11A7"/>
    <w:rsid w:val="006F142F"/>
    <w:rsid w:val="006F16AF"/>
    <w:rsid w:val="006F1932"/>
    <w:rsid w:val="006F27E4"/>
    <w:rsid w:val="006F2AB5"/>
    <w:rsid w:val="006F2D6C"/>
    <w:rsid w:val="006F30CB"/>
    <w:rsid w:val="006F34F4"/>
    <w:rsid w:val="006F35FA"/>
    <w:rsid w:val="006F4306"/>
    <w:rsid w:val="006F451A"/>
    <w:rsid w:val="006F454E"/>
    <w:rsid w:val="006F4574"/>
    <w:rsid w:val="006F4762"/>
    <w:rsid w:val="006F5636"/>
    <w:rsid w:val="006F5C7B"/>
    <w:rsid w:val="006F63A3"/>
    <w:rsid w:val="006F65BA"/>
    <w:rsid w:val="006F6C6B"/>
    <w:rsid w:val="006F6E2E"/>
    <w:rsid w:val="006F7061"/>
    <w:rsid w:val="006F7232"/>
    <w:rsid w:val="00701406"/>
    <w:rsid w:val="00702768"/>
    <w:rsid w:val="00702C98"/>
    <w:rsid w:val="00703102"/>
    <w:rsid w:val="007039F5"/>
    <w:rsid w:val="00703D3B"/>
    <w:rsid w:val="00703E1B"/>
    <w:rsid w:val="00703F62"/>
    <w:rsid w:val="007043F8"/>
    <w:rsid w:val="00705BFD"/>
    <w:rsid w:val="00705CC5"/>
    <w:rsid w:val="00706104"/>
    <w:rsid w:val="007061BA"/>
    <w:rsid w:val="007063B7"/>
    <w:rsid w:val="00706FE1"/>
    <w:rsid w:val="007100F0"/>
    <w:rsid w:val="0071020F"/>
    <w:rsid w:val="0071053D"/>
    <w:rsid w:val="00710814"/>
    <w:rsid w:val="00710848"/>
    <w:rsid w:val="00710BEF"/>
    <w:rsid w:val="00710E35"/>
    <w:rsid w:val="007113BF"/>
    <w:rsid w:val="00711453"/>
    <w:rsid w:val="00711482"/>
    <w:rsid w:val="00711C6D"/>
    <w:rsid w:val="00711F7C"/>
    <w:rsid w:val="0071306A"/>
    <w:rsid w:val="007130C5"/>
    <w:rsid w:val="0071343E"/>
    <w:rsid w:val="007135F8"/>
    <w:rsid w:val="00713D96"/>
    <w:rsid w:val="00713DA7"/>
    <w:rsid w:val="007141F0"/>
    <w:rsid w:val="007143F6"/>
    <w:rsid w:val="00714548"/>
    <w:rsid w:val="00714945"/>
    <w:rsid w:val="007153D5"/>
    <w:rsid w:val="00715E58"/>
    <w:rsid w:val="0071619D"/>
    <w:rsid w:val="0071653C"/>
    <w:rsid w:val="007166A0"/>
    <w:rsid w:val="00716D9A"/>
    <w:rsid w:val="00716EC4"/>
    <w:rsid w:val="00716F62"/>
    <w:rsid w:val="00717820"/>
    <w:rsid w:val="00720433"/>
    <w:rsid w:val="0072073F"/>
    <w:rsid w:val="00720918"/>
    <w:rsid w:val="007210D3"/>
    <w:rsid w:val="00721163"/>
    <w:rsid w:val="00721241"/>
    <w:rsid w:val="007219B9"/>
    <w:rsid w:val="00721CB9"/>
    <w:rsid w:val="00721EE8"/>
    <w:rsid w:val="0072265C"/>
    <w:rsid w:val="00722934"/>
    <w:rsid w:val="00722988"/>
    <w:rsid w:val="00722B27"/>
    <w:rsid w:val="00723197"/>
    <w:rsid w:val="007238A6"/>
    <w:rsid w:val="00723955"/>
    <w:rsid w:val="00724098"/>
    <w:rsid w:val="007240CA"/>
    <w:rsid w:val="007244FC"/>
    <w:rsid w:val="00724542"/>
    <w:rsid w:val="00724829"/>
    <w:rsid w:val="00724AFB"/>
    <w:rsid w:val="0072503B"/>
    <w:rsid w:val="00725089"/>
    <w:rsid w:val="0072596B"/>
    <w:rsid w:val="00725E0D"/>
    <w:rsid w:val="0072617E"/>
    <w:rsid w:val="007261F7"/>
    <w:rsid w:val="007262FC"/>
    <w:rsid w:val="0072651D"/>
    <w:rsid w:val="0072689F"/>
    <w:rsid w:val="00726D59"/>
    <w:rsid w:val="00727640"/>
    <w:rsid w:val="00727E6B"/>
    <w:rsid w:val="00727F62"/>
    <w:rsid w:val="00727FEB"/>
    <w:rsid w:val="007300E0"/>
    <w:rsid w:val="0073017C"/>
    <w:rsid w:val="0073023C"/>
    <w:rsid w:val="007306FE"/>
    <w:rsid w:val="007308DC"/>
    <w:rsid w:val="00730C3D"/>
    <w:rsid w:val="0073116D"/>
    <w:rsid w:val="007317B0"/>
    <w:rsid w:val="0073266D"/>
    <w:rsid w:val="00732852"/>
    <w:rsid w:val="00732AAB"/>
    <w:rsid w:val="00733083"/>
    <w:rsid w:val="007330C6"/>
    <w:rsid w:val="00733107"/>
    <w:rsid w:val="00733DB6"/>
    <w:rsid w:val="00734108"/>
    <w:rsid w:val="00734C7F"/>
    <w:rsid w:val="00734D12"/>
    <w:rsid w:val="0073591E"/>
    <w:rsid w:val="00735E12"/>
    <w:rsid w:val="007362D7"/>
    <w:rsid w:val="00736500"/>
    <w:rsid w:val="00736778"/>
    <w:rsid w:val="007368BC"/>
    <w:rsid w:val="00736CEA"/>
    <w:rsid w:val="00736D23"/>
    <w:rsid w:val="00736DC1"/>
    <w:rsid w:val="007373B8"/>
    <w:rsid w:val="007374B8"/>
    <w:rsid w:val="0073757D"/>
    <w:rsid w:val="00737827"/>
    <w:rsid w:val="00737992"/>
    <w:rsid w:val="00737A58"/>
    <w:rsid w:val="00737B51"/>
    <w:rsid w:val="00737B63"/>
    <w:rsid w:val="00741CCF"/>
    <w:rsid w:val="00742692"/>
    <w:rsid w:val="00744A50"/>
    <w:rsid w:val="00744CC8"/>
    <w:rsid w:val="0074587A"/>
    <w:rsid w:val="00745A24"/>
    <w:rsid w:val="007465EB"/>
    <w:rsid w:val="0074679B"/>
    <w:rsid w:val="00746AAF"/>
    <w:rsid w:val="00746B29"/>
    <w:rsid w:val="007471AB"/>
    <w:rsid w:val="00747F99"/>
    <w:rsid w:val="007507B9"/>
    <w:rsid w:val="007510A5"/>
    <w:rsid w:val="00752150"/>
    <w:rsid w:val="00752463"/>
    <w:rsid w:val="00753EBB"/>
    <w:rsid w:val="00754229"/>
    <w:rsid w:val="007544C9"/>
    <w:rsid w:val="0075473A"/>
    <w:rsid w:val="00754A27"/>
    <w:rsid w:val="00754CCA"/>
    <w:rsid w:val="00754DA6"/>
    <w:rsid w:val="00754DB0"/>
    <w:rsid w:val="0075513B"/>
    <w:rsid w:val="00755CE5"/>
    <w:rsid w:val="007561D7"/>
    <w:rsid w:val="007563C3"/>
    <w:rsid w:val="007567F3"/>
    <w:rsid w:val="0075712C"/>
    <w:rsid w:val="00757983"/>
    <w:rsid w:val="00757F32"/>
    <w:rsid w:val="00760696"/>
    <w:rsid w:val="00760BA2"/>
    <w:rsid w:val="0076112A"/>
    <w:rsid w:val="00761AEE"/>
    <w:rsid w:val="00762117"/>
    <w:rsid w:val="0076239E"/>
    <w:rsid w:val="007627CF"/>
    <w:rsid w:val="00762B1E"/>
    <w:rsid w:val="00762BA8"/>
    <w:rsid w:val="00763272"/>
    <w:rsid w:val="00763843"/>
    <w:rsid w:val="00763BB8"/>
    <w:rsid w:val="00765172"/>
    <w:rsid w:val="00765237"/>
    <w:rsid w:val="0076560F"/>
    <w:rsid w:val="00765C85"/>
    <w:rsid w:val="00766A98"/>
    <w:rsid w:val="00766E7C"/>
    <w:rsid w:val="00766F46"/>
    <w:rsid w:val="00766F95"/>
    <w:rsid w:val="007670C7"/>
    <w:rsid w:val="0076755E"/>
    <w:rsid w:val="00767989"/>
    <w:rsid w:val="00767C48"/>
    <w:rsid w:val="007705E4"/>
    <w:rsid w:val="007708EB"/>
    <w:rsid w:val="007713C0"/>
    <w:rsid w:val="00772212"/>
    <w:rsid w:val="0077260D"/>
    <w:rsid w:val="00772CD3"/>
    <w:rsid w:val="00772E3A"/>
    <w:rsid w:val="00773701"/>
    <w:rsid w:val="007739CD"/>
    <w:rsid w:val="00773AAE"/>
    <w:rsid w:val="00773C0D"/>
    <w:rsid w:val="00773EDC"/>
    <w:rsid w:val="00774040"/>
    <w:rsid w:val="00774378"/>
    <w:rsid w:val="00774A92"/>
    <w:rsid w:val="007757FC"/>
    <w:rsid w:val="00775895"/>
    <w:rsid w:val="00775EE2"/>
    <w:rsid w:val="00775F6B"/>
    <w:rsid w:val="00776244"/>
    <w:rsid w:val="00776954"/>
    <w:rsid w:val="00780081"/>
    <w:rsid w:val="0078036F"/>
    <w:rsid w:val="00781F9F"/>
    <w:rsid w:val="0078235C"/>
    <w:rsid w:val="00782882"/>
    <w:rsid w:val="00782883"/>
    <w:rsid w:val="00783369"/>
    <w:rsid w:val="007836BB"/>
    <w:rsid w:val="00785171"/>
    <w:rsid w:val="007851D5"/>
    <w:rsid w:val="007857A3"/>
    <w:rsid w:val="00785A93"/>
    <w:rsid w:val="00786BB2"/>
    <w:rsid w:val="00786CB6"/>
    <w:rsid w:val="007905EB"/>
    <w:rsid w:val="00790C1D"/>
    <w:rsid w:val="0079135A"/>
    <w:rsid w:val="007915C8"/>
    <w:rsid w:val="00791FD1"/>
    <w:rsid w:val="00792918"/>
    <w:rsid w:val="00792CF9"/>
    <w:rsid w:val="0079313C"/>
    <w:rsid w:val="00793D60"/>
    <w:rsid w:val="0079426C"/>
    <w:rsid w:val="00795640"/>
    <w:rsid w:val="00795A18"/>
    <w:rsid w:val="00796143"/>
    <w:rsid w:val="00796242"/>
    <w:rsid w:val="00796318"/>
    <w:rsid w:val="007963DF"/>
    <w:rsid w:val="0079686C"/>
    <w:rsid w:val="00797024"/>
    <w:rsid w:val="0079754D"/>
    <w:rsid w:val="00797933"/>
    <w:rsid w:val="00797AA4"/>
    <w:rsid w:val="007A02C3"/>
    <w:rsid w:val="007A0500"/>
    <w:rsid w:val="007A07AF"/>
    <w:rsid w:val="007A0810"/>
    <w:rsid w:val="007A0B70"/>
    <w:rsid w:val="007A0BDF"/>
    <w:rsid w:val="007A0D04"/>
    <w:rsid w:val="007A1245"/>
    <w:rsid w:val="007A2135"/>
    <w:rsid w:val="007A2C41"/>
    <w:rsid w:val="007A2C62"/>
    <w:rsid w:val="007A3562"/>
    <w:rsid w:val="007A4033"/>
    <w:rsid w:val="007A4329"/>
    <w:rsid w:val="007A4667"/>
    <w:rsid w:val="007A5055"/>
    <w:rsid w:val="007A55AE"/>
    <w:rsid w:val="007A56EE"/>
    <w:rsid w:val="007A59D6"/>
    <w:rsid w:val="007A59EB"/>
    <w:rsid w:val="007A5B45"/>
    <w:rsid w:val="007A6700"/>
    <w:rsid w:val="007A6DA1"/>
    <w:rsid w:val="007A714F"/>
    <w:rsid w:val="007A761C"/>
    <w:rsid w:val="007A7B7F"/>
    <w:rsid w:val="007A7FAF"/>
    <w:rsid w:val="007B0959"/>
    <w:rsid w:val="007B1021"/>
    <w:rsid w:val="007B169E"/>
    <w:rsid w:val="007B1A2A"/>
    <w:rsid w:val="007B2310"/>
    <w:rsid w:val="007B2337"/>
    <w:rsid w:val="007B3043"/>
    <w:rsid w:val="007B318F"/>
    <w:rsid w:val="007B322E"/>
    <w:rsid w:val="007B34FB"/>
    <w:rsid w:val="007B3EB5"/>
    <w:rsid w:val="007B4549"/>
    <w:rsid w:val="007B4C56"/>
    <w:rsid w:val="007B4D24"/>
    <w:rsid w:val="007B50F7"/>
    <w:rsid w:val="007B5200"/>
    <w:rsid w:val="007B55B3"/>
    <w:rsid w:val="007B5A4C"/>
    <w:rsid w:val="007B5E81"/>
    <w:rsid w:val="007B67C4"/>
    <w:rsid w:val="007B6C85"/>
    <w:rsid w:val="007B719D"/>
    <w:rsid w:val="007B7A6A"/>
    <w:rsid w:val="007C00E6"/>
    <w:rsid w:val="007C0568"/>
    <w:rsid w:val="007C06D9"/>
    <w:rsid w:val="007C0BB5"/>
    <w:rsid w:val="007C0C08"/>
    <w:rsid w:val="007C1130"/>
    <w:rsid w:val="007C1414"/>
    <w:rsid w:val="007C1805"/>
    <w:rsid w:val="007C186E"/>
    <w:rsid w:val="007C1D5C"/>
    <w:rsid w:val="007C204E"/>
    <w:rsid w:val="007C20C2"/>
    <w:rsid w:val="007C2496"/>
    <w:rsid w:val="007C2708"/>
    <w:rsid w:val="007C29B1"/>
    <w:rsid w:val="007C2FEE"/>
    <w:rsid w:val="007C3198"/>
    <w:rsid w:val="007C35C9"/>
    <w:rsid w:val="007C3681"/>
    <w:rsid w:val="007C3986"/>
    <w:rsid w:val="007C48A7"/>
    <w:rsid w:val="007C4C49"/>
    <w:rsid w:val="007C4F1F"/>
    <w:rsid w:val="007C4F8C"/>
    <w:rsid w:val="007C5275"/>
    <w:rsid w:val="007C537A"/>
    <w:rsid w:val="007C748C"/>
    <w:rsid w:val="007C77D5"/>
    <w:rsid w:val="007C7D6F"/>
    <w:rsid w:val="007D1199"/>
    <w:rsid w:val="007D1227"/>
    <w:rsid w:val="007D1E69"/>
    <w:rsid w:val="007D3A28"/>
    <w:rsid w:val="007D3D87"/>
    <w:rsid w:val="007D4664"/>
    <w:rsid w:val="007D5712"/>
    <w:rsid w:val="007D5BD4"/>
    <w:rsid w:val="007D5DAB"/>
    <w:rsid w:val="007D5DDB"/>
    <w:rsid w:val="007D61D8"/>
    <w:rsid w:val="007D633A"/>
    <w:rsid w:val="007D63C5"/>
    <w:rsid w:val="007D6447"/>
    <w:rsid w:val="007D6815"/>
    <w:rsid w:val="007D6892"/>
    <w:rsid w:val="007D6EAD"/>
    <w:rsid w:val="007D7450"/>
    <w:rsid w:val="007D74AA"/>
    <w:rsid w:val="007D7DFA"/>
    <w:rsid w:val="007E01EF"/>
    <w:rsid w:val="007E08E5"/>
    <w:rsid w:val="007E0B24"/>
    <w:rsid w:val="007E0B59"/>
    <w:rsid w:val="007E13EB"/>
    <w:rsid w:val="007E16D6"/>
    <w:rsid w:val="007E17C4"/>
    <w:rsid w:val="007E1E93"/>
    <w:rsid w:val="007E1F68"/>
    <w:rsid w:val="007E2274"/>
    <w:rsid w:val="007E2386"/>
    <w:rsid w:val="007E2B48"/>
    <w:rsid w:val="007E2CFA"/>
    <w:rsid w:val="007E2FDC"/>
    <w:rsid w:val="007E3050"/>
    <w:rsid w:val="007E3299"/>
    <w:rsid w:val="007E54A9"/>
    <w:rsid w:val="007E5F42"/>
    <w:rsid w:val="007E5F6A"/>
    <w:rsid w:val="007E5FAE"/>
    <w:rsid w:val="007E6425"/>
    <w:rsid w:val="007E666E"/>
    <w:rsid w:val="007E6830"/>
    <w:rsid w:val="007F06B4"/>
    <w:rsid w:val="007F06D2"/>
    <w:rsid w:val="007F07DD"/>
    <w:rsid w:val="007F0822"/>
    <w:rsid w:val="007F0B47"/>
    <w:rsid w:val="007F1A42"/>
    <w:rsid w:val="007F1C8B"/>
    <w:rsid w:val="007F28FA"/>
    <w:rsid w:val="007F2BBC"/>
    <w:rsid w:val="007F31D2"/>
    <w:rsid w:val="007F3F7B"/>
    <w:rsid w:val="007F4958"/>
    <w:rsid w:val="007F4B33"/>
    <w:rsid w:val="007F5AF2"/>
    <w:rsid w:val="007F5F8D"/>
    <w:rsid w:val="007F67C0"/>
    <w:rsid w:val="007F6883"/>
    <w:rsid w:val="007F6D4D"/>
    <w:rsid w:val="007F744E"/>
    <w:rsid w:val="007F77BD"/>
    <w:rsid w:val="008005D1"/>
    <w:rsid w:val="00801515"/>
    <w:rsid w:val="0080193A"/>
    <w:rsid w:val="00801C80"/>
    <w:rsid w:val="00802ECF"/>
    <w:rsid w:val="00803391"/>
    <w:rsid w:val="008033F6"/>
    <w:rsid w:val="00803C03"/>
    <w:rsid w:val="008040FA"/>
    <w:rsid w:val="0080436A"/>
    <w:rsid w:val="008049B8"/>
    <w:rsid w:val="00804A42"/>
    <w:rsid w:val="00805275"/>
    <w:rsid w:val="008054FF"/>
    <w:rsid w:val="00806165"/>
    <w:rsid w:val="00807543"/>
    <w:rsid w:val="008077AB"/>
    <w:rsid w:val="008106DE"/>
    <w:rsid w:val="0081127D"/>
    <w:rsid w:val="008117D7"/>
    <w:rsid w:val="00811E39"/>
    <w:rsid w:val="00811EBE"/>
    <w:rsid w:val="00812191"/>
    <w:rsid w:val="00812588"/>
    <w:rsid w:val="00812D7B"/>
    <w:rsid w:val="00812D91"/>
    <w:rsid w:val="00812EDB"/>
    <w:rsid w:val="008143D6"/>
    <w:rsid w:val="0081510D"/>
    <w:rsid w:val="008153A2"/>
    <w:rsid w:val="00815426"/>
    <w:rsid w:val="008155D6"/>
    <w:rsid w:val="00815792"/>
    <w:rsid w:val="00815FBE"/>
    <w:rsid w:val="00816220"/>
    <w:rsid w:val="0081660C"/>
    <w:rsid w:val="0081671F"/>
    <w:rsid w:val="00816828"/>
    <w:rsid w:val="00816C67"/>
    <w:rsid w:val="00820291"/>
    <w:rsid w:val="008202C9"/>
    <w:rsid w:val="0082093B"/>
    <w:rsid w:val="008209CC"/>
    <w:rsid w:val="00821254"/>
    <w:rsid w:val="008217A1"/>
    <w:rsid w:val="00821A00"/>
    <w:rsid w:val="00821A22"/>
    <w:rsid w:val="008221B7"/>
    <w:rsid w:val="0082242F"/>
    <w:rsid w:val="0082301B"/>
    <w:rsid w:val="008234BD"/>
    <w:rsid w:val="008234CE"/>
    <w:rsid w:val="008235DC"/>
    <w:rsid w:val="008237C9"/>
    <w:rsid w:val="00824A3B"/>
    <w:rsid w:val="00825041"/>
    <w:rsid w:val="00825A17"/>
    <w:rsid w:val="008260A0"/>
    <w:rsid w:val="008261B4"/>
    <w:rsid w:val="00826506"/>
    <w:rsid w:val="008269C6"/>
    <w:rsid w:val="00826F20"/>
    <w:rsid w:val="00826FCB"/>
    <w:rsid w:val="0082775D"/>
    <w:rsid w:val="00827786"/>
    <w:rsid w:val="008307D2"/>
    <w:rsid w:val="0083104D"/>
    <w:rsid w:val="00831348"/>
    <w:rsid w:val="00832265"/>
    <w:rsid w:val="008322E1"/>
    <w:rsid w:val="008323CB"/>
    <w:rsid w:val="008325C4"/>
    <w:rsid w:val="00832642"/>
    <w:rsid w:val="008327C2"/>
    <w:rsid w:val="0083389E"/>
    <w:rsid w:val="0083426B"/>
    <w:rsid w:val="0083427F"/>
    <w:rsid w:val="008347D3"/>
    <w:rsid w:val="00834EC6"/>
    <w:rsid w:val="0083533B"/>
    <w:rsid w:val="008357F7"/>
    <w:rsid w:val="00835A0C"/>
    <w:rsid w:val="00835DD9"/>
    <w:rsid w:val="00835E70"/>
    <w:rsid w:val="00836015"/>
    <w:rsid w:val="0083604F"/>
    <w:rsid w:val="0083662B"/>
    <w:rsid w:val="0083665F"/>
    <w:rsid w:val="0084099C"/>
    <w:rsid w:val="008417FE"/>
    <w:rsid w:val="0084200F"/>
    <w:rsid w:val="00842340"/>
    <w:rsid w:val="00844814"/>
    <w:rsid w:val="00844F07"/>
    <w:rsid w:val="00845763"/>
    <w:rsid w:val="00846002"/>
    <w:rsid w:val="00846076"/>
    <w:rsid w:val="0084662C"/>
    <w:rsid w:val="008466E4"/>
    <w:rsid w:val="00846922"/>
    <w:rsid w:val="00846A45"/>
    <w:rsid w:val="00846B9F"/>
    <w:rsid w:val="00846D6B"/>
    <w:rsid w:val="0084701C"/>
    <w:rsid w:val="00847113"/>
    <w:rsid w:val="00847827"/>
    <w:rsid w:val="00847FD7"/>
    <w:rsid w:val="008506AA"/>
    <w:rsid w:val="00850815"/>
    <w:rsid w:val="00850A96"/>
    <w:rsid w:val="00850CF1"/>
    <w:rsid w:val="00850FBA"/>
    <w:rsid w:val="00851188"/>
    <w:rsid w:val="008513F5"/>
    <w:rsid w:val="00851B63"/>
    <w:rsid w:val="0085202F"/>
    <w:rsid w:val="00852837"/>
    <w:rsid w:val="00852B83"/>
    <w:rsid w:val="0085359A"/>
    <w:rsid w:val="00853920"/>
    <w:rsid w:val="0085402A"/>
    <w:rsid w:val="00854181"/>
    <w:rsid w:val="00854559"/>
    <w:rsid w:val="008548E3"/>
    <w:rsid w:val="00854C5F"/>
    <w:rsid w:val="0085578D"/>
    <w:rsid w:val="00855DF1"/>
    <w:rsid w:val="0085610F"/>
    <w:rsid w:val="0085658A"/>
    <w:rsid w:val="00856A4B"/>
    <w:rsid w:val="0085792E"/>
    <w:rsid w:val="00857B01"/>
    <w:rsid w:val="008619CE"/>
    <w:rsid w:val="00861B5B"/>
    <w:rsid w:val="00861C24"/>
    <w:rsid w:val="00861DFB"/>
    <w:rsid w:val="0086275E"/>
    <w:rsid w:val="008630BE"/>
    <w:rsid w:val="0086374C"/>
    <w:rsid w:val="00863E88"/>
    <w:rsid w:val="00864295"/>
    <w:rsid w:val="00864757"/>
    <w:rsid w:val="008651A9"/>
    <w:rsid w:val="008651C9"/>
    <w:rsid w:val="00865768"/>
    <w:rsid w:val="008658FC"/>
    <w:rsid w:val="00866C1D"/>
    <w:rsid w:val="00866EE5"/>
    <w:rsid w:val="00866F20"/>
    <w:rsid w:val="0086727F"/>
    <w:rsid w:val="008703EA"/>
    <w:rsid w:val="008704B3"/>
    <w:rsid w:val="00870C0C"/>
    <w:rsid w:val="00870E9A"/>
    <w:rsid w:val="008710F7"/>
    <w:rsid w:val="00871249"/>
    <w:rsid w:val="008723BE"/>
    <w:rsid w:val="00872614"/>
    <w:rsid w:val="0087285A"/>
    <w:rsid w:val="00872AB5"/>
    <w:rsid w:val="00872E79"/>
    <w:rsid w:val="008731D9"/>
    <w:rsid w:val="0087348E"/>
    <w:rsid w:val="00873610"/>
    <w:rsid w:val="00873875"/>
    <w:rsid w:val="008744E2"/>
    <w:rsid w:val="00875C69"/>
    <w:rsid w:val="00876331"/>
    <w:rsid w:val="00876695"/>
    <w:rsid w:val="00876BAD"/>
    <w:rsid w:val="00877095"/>
    <w:rsid w:val="00877126"/>
    <w:rsid w:val="0087741A"/>
    <w:rsid w:val="008777F6"/>
    <w:rsid w:val="008778D2"/>
    <w:rsid w:val="00877E35"/>
    <w:rsid w:val="00877FE0"/>
    <w:rsid w:val="00881438"/>
    <w:rsid w:val="00881DD1"/>
    <w:rsid w:val="00882042"/>
    <w:rsid w:val="00883997"/>
    <w:rsid w:val="00883DE7"/>
    <w:rsid w:val="008855E8"/>
    <w:rsid w:val="0088596C"/>
    <w:rsid w:val="00885BD5"/>
    <w:rsid w:val="00885C39"/>
    <w:rsid w:val="00885C85"/>
    <w:rsid w:val="00885C86"/>
    <w:rsid w:val="00885CEB"/>
    <w:rsid w:val="00886314"/>
    <w:rsid w:val="008863E3"/>
    <w:rsid w:val="0088641A"/>
    <w:rsid w:val="0088687E"/>
    <w:rsid w:val="00886A15"/>
    <w:rsid w:val="00886ADB"/>
    <w:rsid w:val="0088711E"/>
    <w:rsid w:val="0088721F"/>
    <w:rsid w:val="00887B6C"/>
    <w:rsid w:val="00887C00"/>
    <w:rsid w:val="0089030C"/>
    <w:rsid w:val="00891156"/>
    <w:rsid w:val="0089161D"/>
    <w:rsid w:val="0089191F"/>
    <w:rsid w:val="00892072"/>
    <w:rsid w:val="0089284E"/>
    <w:rsid w:val="008931D0"/>
    <w:rsid w:val="008934D3"/>
    <w:rsid w:val="00893F64"/>
    <w:rsid w:val="00894283"/>
    <w:rsid w:val="008942E2"/>
    <w:rsid w:val="0089460C"/>
    <w:rsid w:val="00894AA2"/>
    <w:rsid w:val="00894C85"/>
    <w:rsid w:val="0089509B"/>
    <w:rsid w:val="008950D0"/>
    <w:rsid w:val="00895A5B"/>
    <w:rsid w:val="00895D15"/>
    <w:rsid w:val="00896069"/>
    <w:rsid w:val="0089648B"/>
    <w:rsid w:val="0089724E"/>
    <w:rsid w:val="00897835"/>
    <w:rsid w:val="00897CB9"/>
    <w:rsid w:val="008A013D"/>
    <w:rsid w:val="008A0886"/>
    <w:rsid w:val="008A0D66"/>
    <w:rsid w:val="008A2117"/>
    <w:rsid w:val="008A25A8"/>
    <w:rsid w:val="008A25B2"/>
    <w:rsid w:val="008A2F6B"/>
    <w:rsid w:val="008A3503"/>
    <w:rsid w:val="008A3B01"/>
    <w:rsid w:val="008A3F16"/>
    <w:rsid w:val="008A40BE"/>
    <w:rsid w:val="008A41F3"/>
    <w:rsid w:val="008A4307"/>
    <w:rsid w:val="008A431A"/>
    <w:rsid w:val="008A5653"/>
    <w:rsid w:val="008A5792"/>
    <w:rsid w:val="008A5A14"/>
    <w:rsid w:val="008A60B6"/>
    <w:rsid w:val="008A7F48"/>
    <w:rsid w:val="008B0234"/>
    <w:rsid w:val="008B0383"/>
    <w:rsid w:val="008B0739"/>
    <w:rsid w:val="008B0CD5"/>
    <w:rsid w:val="008B1F67"/>
    <w:rsid w:val="008B21EC"/>
    <w:rsid w:val="008B2319"/>
    <w:rsid w:val="008B2412"/>
    <w:rsid w:val="008B2E20"/>
    <w:rsid w:val="008B2ED9"/>
    <w:rsid w:val="008B3317"/>
    <w:rsid w:val="008B3C38"/>
    <w:rsid w:val="008B4A74"/>
    <w:rsid w:val="008B4CC3"/>
    <w:rsid w:val="008B5177"/>
    <w:rsid w:val="008B58D2"/>
    <w:rsid w:val="008B5945"/>
    <w:rsid w:val="008B59BD"/>
    <w:rsid w:val="008B5BCD"/>
    <w:rsid w:val="008B5BD2"/>
    <w:rsid w:val="008B6701"/>
    <w:rsid w:val="008B6B6B"/>
    <w:rsid w:val="008B7528"/>
    <w:rsid w:val="008B7E9A"/>
    <w:rsid w:val="008C09A1"/>
    <w:rsid w:val="008C0F2C"/>
    <w:rsid w:val="008C0F72"/>
    <w:rsid w:val="008C19CC"/>
    <w:rsid w:val="008C2B85"/>
    <w:rsid w:val="008C2C67"/>
    <w:rsid w:val="008C2CA8"/>
    <w:rsid w:val="008C2EBF"/>
    <w:rsid w:val="008C2FFF"/>
    <w:rsid w:val="008C3618"/>
    <w:rsid w:val="008C365D"/>
    <w:rsid w:val="008C374E"/>
    <w:rsid w:val="008C3DB7"/>
    <w:rsid w:val="008C3DDF"/>
    <w:rsid w:val="008C5806"/>
    <w:rsid w:val="008C6D85"/>
    <w:rsid w:val="008C7445"/>
    <w:rsid w:val="008D0200"/>
    <w:rsid w:val="008D1008"/>
    <w:rsid w:val="008D1D29"/>
    <w:rsid w:val="008D2E2F"/>
    <w:rsid w:val="008D46A7"/>
    <w:rsid w:val="008D4B3A"/>
    <w:rsid w:val="008D4C40"/>
    <w:rsid w:val="008D4DE9"/>
    <w:rsid w:val="008D5064"/>
    <w:rsid w:val="008D571C"/>
    <w:rsid w:val="008D5B4F"/>
    <w:rsid w:val="008D68A5"/>
    <w:rsid w:val="008D6F0A"/>
    <w:rsid w:val="008D78D0"/>
    <w:rsid w:val="008D7C00"/>
    <w:rsid w:val="008D7FFA"/>
    <w:rsid w:val="008E0151"/>
    <w:rsid w:val="008E04AA"/>
    <w:rsid w:val="008E0CD3"/>
    <w:rsid w:val="008E12FD"/>
    <w:rsid w:val="008E1DD5"/>
    <w:rsid w:val="008E2E71"/>
    <w:rsid w:val="008E401D"/>
    <w:rsid w:val="008E4062"/>
    <w:rsid w:val="008E408E"/>
    <w:rsid w:val="008E5146"/>
    <w:rsid w:val="008E587E"/>
    <w:rsid w:val="008E5964"/>
    <w:rsid w:val="008E5AE2"/>
    <w:rsid w:val="008E5C3B"/>
    <w:rsid w:val="008E61CF"/>
    <w:rsid w:val="008E74CF"/>
    <w:rsid w:val="008E78B8"/>
    <w:rsid w:val="008F02A5"/>
    <w:rsid w:val="008F0455"/>
    <w:rsid w:val="008F0CBA"/>
    <w:rsid w:val="008F13D6"/>
    <w:rsid w:val="008F1468"/>
    <w:rsid w:val="008F2D7E"/>
    <w:rsid w:val="008F2E22"/>
    <w:rsid w:val="008F3BE2"/>
    <w:rsid w:val="008F4120"/>
    <w:rsid w:val="008F41DF"/>
    <w:rsid w:val="008F4300"/>
    <w:rsid w:val="008F466A"/>
    <w:rsid w:val="008F46D2"/>
    <w:rsid w:val="008F52C9"/>
    <w:rsid w:val="008F5876"/>
    <w:rsid w:val="008F6702"/>
    <w:rsid w:val="008F7D83"/>
    <w:rsid w:val="008F7E28"/>
    <w:rsid w:val="00900154"/>
    <w:rsid w:val="009001F2"/>
    <w:rsid w:val="00900B77"/>
    <w:rsid w:val="0090156D"/>
    <w:rsid w:val="009026CF"/>
    <w:rsid w:val="00902774"/>
    <w:rsid w:val="0090283D"/>
    <w:rsid w:val="00902C33"/>
    <w:rsid w:val="00903779"/>
    <w:rsid w:val="00903AAB"/>
    <w:rsid w:val="00903F18"/>
    <w:rsid w:val="0090400A"/>
    <w:rsid w:val="009041FA"/>
    <w:rsid w:val="00904207"/>
    <w:rsid w:val="00905088"/>
    <w:rsid w:val="0090523F"/>
    <w:rsid w:val="00905733"/>
    <w:rsid w:val="009064E9"/>
    <w:rsid w:val="00907520"/>
    <w:rsid w:val="009078A0"/>
    <w:rsid w:val="00907A73"/>
    <w:rsid w:val="00907D9D"/>
    <w:rsid w:val="009108C2"/>
    <w:rsid w:val="009111CD"/>
    <w:rsid w:val="00911A40"/>
    <w:rsid w:val="00911B56"/>
    <w:rsid w:val="00911E23"/>
    <w:rsid w:val="00911F33"/>
    <w:rsid w:val="009123AA"/>
    <w:rsid w:val="0091273E"/>
    <w:rsid w:val="0091286E"/>
    <w:rsid w:val="00912BB2"/>
    <w:rsid w:val="00912EB0"/>
    <w:rsid w:val="0091368D"/>
    <w:rsid w:val="00913F71"/>
    <w:rsid w:val="00914083"/>
    <w:rsid w:val="00914197"/>
    <w:rsid w:val="009142F6"/>
    <w:rsid w:val="00914BBF"/>
    <w:rsid w:val="00914E36"/>
    <w:rsid w:val="009151F2"/>
    <w:rsid w:val="00915A86"/>
    <w:rsid w:val="009164AE"/>
    <w:rsid w:val="0091691F"/>
    <w:rsid w:val="00916A55"/>
    <w:rsid w:val="00916A70"/>
    <w:rsid w:val="00916ABC"/>
    <w:rsid w:val="009172A2"/>
    <w:rsid w:val="009175F0"/>
    <w:rsid w:val="00917824"/>
    <w:rsid w:val="00920349"/>
    <w:rsid w:val="00920D75"/>
    <w:rsid w:val="0092143D"/>
    <w:rsid w:val="00921677"/>
    <w:rsid w:val="00921F31"/>
    <w:rsid w:val="0092287D"/>
    <w:rsid w:val="00922CE2"/>
    <w:rsid w:val="00922E2C"/>
    <w:rsid w:val="00924025"/>
    <w:rsid w:val="00924AC7"/>
    <w:rsid w:val="0092502C"/>
    <w:rsid w:val="00925106"/>
    <w:rsid w:val="00925557"/>
    <w:rsid w:val="00925FAD"/>
    <w:rsid w:val="009262D0"/>
    <w:rsid w:val="009268A4"/>
    <w:rsid w:val="00926DA6"/>
    <w:rsid w:val="00927280"/>
    <w:rsid w:val="00927B93"/>
    <w:rsid w:val="00927F95"/>
    <w:rsid w:val="00930211"/>
    <w:rsid w:val="00930653"/>
    <w:rsid w:val="0093072A"/>
    <w:rsid w:val="0093180F"/>
    <w:rsid w:val="00931C64"/>
    <w:rsid w:val="00931DA6"/>
    <w:rsid w:val="00931F69"/>
    <w:rsid w:val="009332E9"/>
    <w:rsid w:val="009335FB"/>
    <w:rsid w:val="0093378C"/>
    <w:rsid w:val="00933971"/>
    <w:rsid w:val="009339AA"/>
    <w:rsid w:val="00933E32"/>
    <w:rsid w:val="00933FDC"/>
    <w:rsid w:val="00934006"/>
    <w:rsid w:val="00934695"/>
    <w:rsid w:val="00935501"/>
    <w:rsid w:val="0093697A"/>
    <w:rsid w:val="009372FA"/>
    <w:rsid w:val="00937305"/>
    <w:rsid w:val="009374BA"/>
    <w:rsid w:val="00937783"/>
    <w:rsid w:val="00937F30"/>
    <w:rsid w:val="009401E7"/>
    <w:rsid w:val="00940514"/>
    <w:rsid w:val="0094064A"/>
    <w:rsid w:val="009407EB"/>
    <w:rsid w:val="00940956"/>
    <w:rsid w:val="00940F3A"/>
    <w:rsid w:val="009413DF"/>
    <w:rsid w:val="0094189F"/>
    <w:rsid w:val="009421CC"/>
    <w:rsid w:val="009422A5"/>
    <w:rsid w:val="009423C2"/>
    <w:rsid w:val="00942922"/>
    <w:rsid w:val="00942E14"/>
    <w:rsid w:val="00943474"/>
    <w:rsid w:val="00943EAD"/>
    <w:rsid w:val="009440A1"/>
    <w:rsid w:val="009440D3"/>
    <w:rsid w:val="00944DEC"/>
    <w:rsid w:val="0094568C"/>
    <w:rsid w:val="00946706"/>
    <w:rsid w:val="009467CD"/>
    <w:rsid w:val="00947BD1"/>
    <w:rsid w:val="0095044B"/>
    <w:rsid w:val="009506E2"/>
    <w:rsid w:val="00950B00"/>
    <w:rsid w:val="00950D00"/>
    <w:rsid w:val="009516FD"/>
    <w:rsid w:val="009519DF"/>
    <w:rsid w:val="00952724"/>
    <w:rsid w:val="00952A45"/>
    <w:rsid w:val="00952AFE"/>
    <w:rsid w:val="00952DCB"/>
    <w:rsid w:val="00953169"/>
    <w:rsid w:val="009536C1"/>
    <w:rsid w:val="00953A15"/>
    <w:rsid w:val="00953A7F"/>
    <w:rsid w:val="00953C0F"/>
    <w:rsid w:val="00954D5D"/>
    <w:rsid w:val="00955343"/>
    <w:rsid w:val="009553D8"/>
    <w:rsid w:val="0095554F"/>
    <w:rsid w:val="009558AB"/>
    <w:rsid w:val="00955A24"/>
    <w:rsid w:val="00955CAB"/>
    <w:rsid w:val="0095622A"/>
    <w:rsid w:val="00956A54"/>
    <w:rsid w:val="00956B6D"/>
    <w:rsid w:val="00956D3C"/>
    <w:rsid w:val="00956D9E"/>
    <w:rsid w:val="0095722A"/>
    <w:rsid w:val="009572C2"/>
    <w:rsid w:val="00957BBC"/>
    <w:rsid w:val="00957F0F"/>
    <w:rsid w:val="009606E0"/>
    <w:rsid w:val="009609A3"/>
    <w:rsid w:val="009610D0"/>
    <w:rsid w:val="009628E8"/>
    <w:rsid w:val="00962D24"/>
    <w:rsid w:val="00964B79"/>
    <w:rsid w:val="00964F18"/>
    <w:rsid w:val="00965757"/>
    <w:rsid w:val="0096579E"/>
    <w:rsid w:val="009659CB"/>
    <w:rsid w:val="0096629B"/>
    <w:rsid w:val="00967052"/>
    <w:rsid w:val="0096712E"/>
    <w:rsid w:val="00967237"/>
    <w:rsid w:val="00967301"/>
    <w:rsid w:val="009674D3"/>
    <w:rsid w:val="00970722"/>
    <w:rsid w:val="0097075C"/>
    <w:rsid w:val="00970A8D"/>
    <w:rsid w:val="00971015"/>
    <w:rsid w:val="00971481"/>
    <w:rsid w:val="00971BB4"/>
    <w:rsid w:val="00971F4C"/>
    <w:rsid w:val="0097228C"/>
    <w:rsid w:val="0097289B"/>
    <w:rsid w:val="00972AA3"/>
    <w:rsid w:val="00973358"/>
    <w:rsid w:val="009735A8"/>
    <w:rsid w:val="009738BA"/>
    <w:rsid w:val="00973FC5"/>
    <w:rsid w:val="009740AD"/>
    <w:rsid w:val="009744E3"/>
    <w:rsid w:val="00974AA6"/>
    <w:rsid w:val="00974E5A"/>
    <w:rsid w:val="00975293"/>
    <w:rsid w:val="0097599B"/>
    <w:rsid w:val="00975F27"/>
    <w:rsid w:val="0097655F"/>
    <w:rsid w:val="009766AA"/>
    <w:rsid w:val="00976ACB"/>
    <w:rsid w:val="00976DBA"/>
    <w:rsid w:val="00977137"/>
    <w:rsid w:val="009771A0"/>
    <w:rsid w:val="00977312"/>
    <w:rsid w:val="0097745A"/>
    <w:rsid w:val="00977461"/>
    <w:rsid w:val="0097752B"/>
    <w:rsid w:val="00977638"/>
    <w:rsid w:val="009778B0"/>
    <w:rsid w:val="00980852"/>
    <w:rsid w:val="00980D0E"/>
    <w:rsid w:val="00981530"/>
    <w:rsid w:val="00981CE9"/>
    <w:rsid w:val="00982347"/>
    <w:rsid w:val="0098253A"/>
    <w:rsid w:val="00982567"/>
    <w:rsid w:val="0098263D"/>
    <w:rsid w:val="00982CCB"/>
    <w:rsid w:val="009835DC"/>
    <w:rsid w:val="00983D39"/>
    <w:rsid w:val="009842A9"/>
    <w:rsid w:val="00984444"/>
    <w:rsid w:val="00985056"/>
    <w:rsid w:val="00985896"/>
    <w:rsid w:val="009859FE"/>
    <w:rsid w:val="00985A6C"/>
    <w:rsid w:val="0098757B"/>
    <w:rsid w:val="00987734"/>
    <w:rsid w:val="00987903"/>
    <w:rsid w:val="00990EAA"/>
    <w:rsid w:val="00991459"/>
    <w:rsid w:val="00991FEB"/>
    <w:rsid w:val="009920D4"/>
    <w:rsid w:val="00992449"/>
    <w:rsid w:val="009927E2"/>
    <w:rsid w:val="00993048"/>
    <w:rsid w:val="009935F2"/>
    <w:rsid w:val="00993DF7"/>
    <w:rsid w:val="00993EB5"/>
    <w:rsid w:val="00994B35"/>
    <w:rsid w:val="00994E61"/>
    <w:rsid w:val="009951A4"/>
    <w:rsid w:val="009955FC"/>
    <w:rsid w:val="00995784"/>
    <w:rsid w:val="00995B1C"/>
    <w:rsid w:val="00995F41"/>
    <w:rsid w:val="0099635E"/>
    <w:rsid w:val="009968AB"/>
    <w:rsid w:val="00996B15"/>
    <w:rsid w:val="00997162"/>
    <w:rsid w:val="0099736A"/>
    <w:rsid w:val="00997821"/>
    <w:rsid w:val="00997EA1"/>
    <w:rsid w:val="009A0792"/>
    <w:rsid w:val="009A0891"/>
    <w:rsid w:val="009A1AB0"/>
    <w:rsid w:val="009A1C54"/>
    <w:rsid w:val="009A1E6F"/>
    <w:rsid w:val="009A2485"/>
    <w:rsid w:val="009A2DC8"/>
    <w:rsid w:val="009A3673"/>
    <w:rsid w:val="009A3722"/>
    <w:rsid w:val="009A49A4"/>
    <w:rsid w:val="009A4A5B"/>
    <w:rsid w:val="009A53DA"/>
    <w:rsid w:val="009A54C4"/>
    <w:rsid w:val="009A5683"/>
    <w:rsid w:val="009A5894"/>
    <w:rsid w:val="009A5C6C"/>
    <w:rsid w:val="009A5FA5"/>
    <w:rsid w:val="009A6171"/>
    <w:rsid w:val="009A6C90"/>
    <w:rsid w:val="009A6EEE"/>
    <w:rsid w:val="009A7760"/>
    <w:rsid w:val="009B01A0"/>
    <w:rsid w:val="009B0326"/>
    <w:rsid w:val="009B04A9"/>
    <w:rsid w:val="009B15CA"/>
    <w:rsid w:val="009B1E70"/>
    <w:rsid w:val="009B2F07"/>
    <w:rsid w:val="009B4424"/>
    <w:rsid w:val="009B45C1"/>
    <w:rsid w:val="009B46FE"/>
    <w:rsid w:val="009B5396"/>
    <w:rsid w:val="009B554F"/>
    <w:rsid w:val="009B5D00"/>
    <w:rsid w:val="009B5E6E"/>
    <w:rsid w:val="009B5FCE"/>
    <w:rsid w:val="009B62FD"/>
    <w:rsid w:val="009B6341"/>
    <w:rsid w:val="009B687F"/>
    <w:rsid w:val="009B68E1"/>
    <w:rsid w:val="009B6CB3"/>
    <w:rsid w:val="009B7C2B"/>
    <w:rsid w:val="009C0046"/>
    <w:rsid w:val="009C01D3"/>
    <w:rsid w:val="009C01E9"/>
    <w:rsid w:val="009C04C5"/>
    <w:rsid w:val="009C0F1C"/>
    <w:rsid w:val="009C11D5"/>
    <w:rsid w:val="009C15BA"/>
    <w:rsid w:val="009C1A32"/>
    <w:rsid w:val="009C2412"/>
    <w:rsid w:val="009C29A7"/>
    <w:rsid w:val="009C3103"/>
    <w:rsid w:val="009C3B3C"/>
    <w:rsid w:val="009C3CC5"/>
    <w:rsid w:val="009C44C6"/>
    <w:rsid w:val="009C4A06"/>
    <w:rsid w:val="009C4ADE"/>
    <w:rsid w:val="009C4DF3"/>
    <w:rsid w:val="009C5397"/>
    <w:rsid w:val="009C5938"/>
    <w:rsid w:val="009C617B"/>
    <w:rsid w:val="009C65B1"/>
    <w:rsid w:val="009C6FFE"/>
    <w:rsid w:val="009C74CA"/>
    <w:rsid w:val="009C7CC0"/>
    <w:rsid w:val="009C7D01"/>
    <w:rsid w:val="009D0124"/>
    <w:rsid w:val="009D06B1"/>
    <w:rsid w:val="009D0BD5"/>
    <w:rsid w:val="009D0C01"/>
    <w:rsid w:val="009D0C41"/>
    <w:rsid w:val="009D0E29"/>
    <w:rsid w:val="009D1027"/>
    <w:rsid w:val="009D10BF"/>
    <w:rsid w:val="009D13AD"/>
    <w:rsid w:val="009D1F5D"/>
    <w:rsid w:val="009D2056"/>
    <w:rsid w:val="009D314D"/>
    <w:rsid w:val="009D3717"/>
    <w:rsid w:val="009D41B8"/>
    <w:rsid w:val="009D4A50"/>
    <w:rsid w:val="009D4C29"/>
    <w:rsid w:val="009D4E74"/>
    <w:rsid w:val="009D5FFE"/>
    <w:rsid w:val="009D69C7"/>
    <w:rsid w:val="009D6C89"/>
    <w:rsid w:val="009D6D43"/>
    <w:rsid w:val="009D72A6"/>
    <w:rsid w:val="009E04AC"/>
    <w:rsid w:val="009E108B"/>
    <w:rsid w:val="009E1153"/>
    <w:rsid w:val="009E128B"/>
    <w:rsid w:val="009E1793"/>
    <w:rsid w:val="009E20FE"/>
    <w:rsid w:val="009E265C"/>
    <w:rsid w:val="009E2B3B"/>
    <w:rsid w:val="009E3496"/>
    <w:rsid w:val="009E371A"/>
    <w:rsid w:val="009E37E1"/>
    <w:rsid w:val="009E3D46"/>
    <w:rsid w:val="009E408E"/>
    <w:rsid w:val="009E4367"/>
    <w:rsid w:val="009E5599"/>
    <w:rsid w:val="009E58E0"/>
    <w:rsid w:val="009E59B3"/>
    <w:rsid w:val="009E5ED6"/>
    <w:rsid w:val="009E62B0"/>
    <w:rsid w:val="009E6566"/>
    <w:rsid w:val="009E658F"/>
    <w:rsid w:val="009E713E"/>
    <w:rsid w:val="009E72E0"/>
    <w:rsid w:val="009E742B"/>
    <w:rsid w:val="009E77C4"/>
    <w:rsid w:val="009E7BDC"/>
    <w:rsid w:val="009E7CFE"/>
    <w:rsid w:val="009F03B8"/>
    <w:rsid w:val="009F083B"/>
    <w:rsid w:val="009F0DFB"/>
    <w:rsid w:val="009F15A2"/>
    <w:rsid w:val="009F23FE"/>
    <w:rsid w:val="009F2A0C"/>
    <w:rsid w:val="009F2F44"/>
    <w:rsid w:val="009F35CE"/>
    <w:rsid w:val="009F38FB"/>
    <w:rsid w:val="009F5192"/>
    <w:rsid w:val="009F53BD"/>
    <w:rsid w:val="009F57A0"/>
    <w:rsid w:val="009F5A4F"/>
    <w:rsid w:val="009F6230"/>
    <w:rsid w:val="009F6232"/>
    <w:rsid w:val="009F670B"/>
    <w:rsid w:val="009F6854"/>
    <w:rsid w:val="009F68A2"/>
    <w:rsid w:val="009F704F"/>
    <w:rsid w:val="009F71DB"/>
    <w:rsid w:val="009F75FB"/>
    <w:rsid w:val="009F7922"/>
    <w:rsid w:val="009F7EEB"/>
    <w:rsid w:val="00A00B42"/>
    <w:rsid w:val="00A01A21"/>
    <w:rsid w:val="00A0204F"/>
    <w:rsid w:val="00A02414"/>
    <w:rsid w:val="00A02424"/>
    <w:rsid w:val="00A03A23"/>
    <w:rsid w:val="00A04732"/>
    <w:rsid w:val="00A05951"/>
    <w:rsid w:val="00A05972"/>
    <w:rsid w:val="00A0671B"/>
    <w:rsid w:val="00A0765C"/>
    <w:rsid w:val="00A104B1"/>
    <w:rsid w:val="00A11530"/>
    <w:rsid w:val="00A11C00"/>
    <w:rsid w:val="00A136AC"/>
    <w:rsid w:val="00A13753"/>
    <w:rsid w:val="00A13969"/>
    <w:rsid w:val="00A15345"/>
    <w:rsid w:val="00A15578"/>
    <w:rsid w:val="00A156F9"/>
    <w:rsid w:val="00A1591F"/>
    <w:rsid w:val="00A16265"/>
    <w:rsid w:val="00A16924"/>
    <w:rsid w:val="00A16C4E"/>
    <w:rsid w:val="00A16F4F"/>
    <w:rsid w:val="00A16F64"/>
    <w:rsid w:val="00A1712F"/>
    <w:rsid w:val="00A172C3"/>
    <w:rsid w:val="00A173B7"/>
    <w:rsid w:val="00A173D8"/>
    <w:rsid w:val="00A17E0C"/>
    <w:rsid w:val="00A20DC8"/>
    <w:rsid w:val="00A212F7"/>
    <w:rsid w:val="00A21630"/>
    <w:rsid w:val="00A217B3"/>
    <w:rsid w:val="00A2299D"/>
    <w:rsid w:val="00A22F15"/>
    <w:rsid w:val="00A232AA"/>
    <w:rsid w:val="00A2378E"/>
    <w:rsid w:val="00A2381D"/>
    <w:rsid w:val="00A23DEF"/>
    <w:rsid w:val="00A2466B"/>
    <w:rsid w:val="00A2491A"/>
    <w:rsid w:val="00A26148"/>
    <w:rsid w:val="00A2659C"/>
    <w:rsid w:val="00A26A9C"/>
    <w:rsid w:val="00A27555"/>
    <w:rsid w:val="00A27C75"/>
    <w:rsid w:val="00A27D98"/>
    <w:rsid w:val="00A30312"/>
    <w:rsid w:val="00A306B0"/>
    <w:rsid w:val="00A30CA5"/>
    <w:rsid w:val="00A31177"/>
    <w:rsid w:val="00A3186F"/>
    <w:rsid w:val="00A31DC1"/>
    <w:rsid w:val="00A32399"/>
    <w:rsid w:val="00A32962"/>
    <w:rsid w:val="00A32B48"/>
    <w:rsid w:val="00A335F9"/>
    <w:rsid w:val="00A33E98"/>
    <w:rsid w:val="00A34649"/>
    <w:rsid w:val="00A35372"/>
    <w:rsid w:val="00A354D1"/>
    <w:rsid w:val="00A355FA"/>
    <w:rsid w:val="00A35838"/>
    <w:rsid w:val="00A35F1D"/>
    <w:rsid w:val="00A35F89"/>
    <w:rsid w:val="00A37714"/>
    <w:rsid w:val="00A3786D"/>
    <w:rsid w:val="00A37AC9"/>
    <w:rsid w:val="00A37E72"/>
    <w:rsid w:val="00A406FF"/>
    <w:rsid w:val="00A40E51"/>
    <w:rsid w:val="00A41332"/>
    <w:rsid w:val="00A42AA7"/>
    <w:rsid w:val="00A433EF"/>
    <w:rsid w:val="00A446D9"/>
    <w:rsid w:val="00A44A02"/>
    <w:rsid w:val="00A44A2E"/>
    <w:rsid w:val="00A44E63"/>
    <w:rsid w:val="00A45306"/>
    <w:rsid w:val="00A457F1"/>
    <w:rsid w:val="00A45BFD"/>
    <w:rsid w:val="00A46BB2"/>
    <w:rsid w:val="00A4714E"/>
    <w:rsid w:val="00A47231"/>
    <w:rsid w:val="00A47F88"/>
    <w:rsid w:val="00A500A7"/>
    <w:rsid w:val="00A50F3B"/>
    <w:rsid w:val="00A510B0"/>
    <w:rsid w:val="00A527F2"/>
    <w:rsid w:val="00A5354E"/>
    <w:rsid w:val="00A53A5B"/>
    <w:rsid w:val="00A5405F"/>
    <w:rsid w:val="00A541E7"/>
    <w:rsid w:val="00A54E6A"/>
    <w:rsid w:val="00A5520B"/>
    <w:rsid w:val="00A55613"/>
    <w:rsid w:val="00A563F0"/>
    <w:rsid w:val="00A56885"/>
    <w:rsid w:val="00A56C61"/>
    <w:rsid w:val="00A56E11"/>
    <w:rsid w:val="00A57B33"/>
    <w:rsid w:val="00A605EC"/>
    <w:rsid w:val="00A60687"/>
    <w:rsid w:val="00A61B0C"/>
    <w:rsid w:val="00A61FF5"/>
    <w:rsid w:val="00A620F4"/>
    <w:rsid w:val="00A62B1D"/>
    <w:rsid w:val="00A62C70"/>
    <w:rsid w:val="00A6305E"/>
    <w:rsid w:val="00A6336A"/>
    <w:rsid w:val="00A64D1E"/>
    <w:rsid w:val="00A64D2F"/>
    <w:rsid w:val="00A64FB0"/>
    <w:rsid w:val="00A65244"/>
    <w:rsid w:val="00A664FC"/>
    <w:rsid w:val="00A67252"/>
    <w:rsid w:val="00A67884"/>
    <w:rsid w:val="00A707FB"/>
    <w:rsid w:val="00A70F63"/>
    <w:rsid w:val="00A71271"/>
    <w:rsid w:val="00A71B80"/>
    <w:rsid w:val="00A71D1C"/>
    <w:rsid w:val="00A71E7C"/>
    <w:rsid w:val="00A71FEE"/>
    <w:rsid w:val="00A7311E"/>
    <w:rsid w:val="00A73545"/>
    <w:rsid w:val="00A73DFC"/>
    <w:rsid w:val="00A744EE"/>
    <w:rsid w:val="00A74603"/>
    <w:rsid w:val="00A7487D"/>
    <w:rsid w:val="00A74CE0"/>
    <w:rsid w:val="00A75016"/>
    <w:rsid w:val="00A7506B"/>
    <w:rsid w:val="00A75148"/>
    <w:rsid w:val="00A751ED"/>
    <w:rsid w:val="00A75430"/>
    <w:rsid w:val="00A75BDD"/>
    <w:rsid w:val="00A75D55"/>
    <w:rsid w:val="00A76147"/>
    <w:rsid w:val="00A762B8"/>
    <w:rsid w:val="00A76396"/>
    <w:rsid w:val="00A77427"/>
    <w:rsid w:val="00A77B86"/>
    <w:rsid w:val="00A80410"/>
    <w:rsid w:val="00A80FD9"/>
    <w:rsid w:val="00A8128D"/>
    <w:rsid w:val="00A8168C"/>
    <w:rsid w:val="00A81AD1"/>
    <w:rsid w:val="00A81B10"/>
    <w:rsid w:val="00A8223C"/>
    <w:rsid w:val="00A822FA"/>
    <w:rsid w:val="00A82486"/>
    <w:rsid w:val="00A82785"/>
    <w:rsid w:val="00A83EDA"/>
    <w:rsid w:val="00A84735"/>
    <w:rsid w:val="00A84DB4"/>
    <w:rsid w:val="00A855EA"/>
    <w:rsid w:val="00A856AA"/>
    <w:rsid w:val="00A85CD3"/>
    <w:rsid w:val="00A85F2E"/>
    <w:rsid w:val="00A86AE0"/>
    <w:rsid w:val="00A86BF3"/>
    <w:rsid w:val="00A86CFB"/>
    <w:rsid w:val="00A87215"/>
    <w:rsid w:val="00A8787B"/>
    <w:rsid w:val="00A87970"/>
    <w:rsid w:val="00A87B0A"/>
    <w:rsid w:val="00A87D67"/>
    <w:rsid w:val="00A90D08"/>
    <w:rsid w:val="00A91146"/>
    <w:rsid w:val="00A9126B"/>
    <w:rsid w:val="00A91CD7"/>
    <w:rsid w:val="00A91D1E"/>
    <w:rsid w:val="00A9221C"/>
    <w:rsid w:val="00A92B37"/>
    <w:rsid w:val="00A92D1E"/>
    <w:rsid w:val="00A93673"/>
    <w:rsid w:val="00A9382A"/>
    <w:rsid w:val="00A9383D"/>
    <w:rsid w:val="00A93EDA"/>
    <w:rsid w:val="00A93F65"/>
    <w:rsid w:val="00A94284"/>
    <w:rsid w:val="00A949BB"/>
    <w:rsid w:val="00A94AAA"/>
    <w:rsid w:val="00A94F84"/>
    <w:rsid w:val="00A95277"/>
    <w:rsid w:val="00A95392"/>
    <w:rsid w:val="00A963AA"/>
    <w:rsid w:val="00A967DA"/>
    <w:rsid w:val="00A96B84"/>
    <w:rsid w:val="00A972C2"/>
    <w:rsid w:val="00A97A22"/>
    <w:rsid w:val="00A97E04"/>
    <w:rsid w:val="00AA0434"/>
    <w:rsid w:val="00AA069D"/>
    <w:rsid w:val="00AA072E"/>
    <w:rsid w:val="00AA2115"/>
    <w:rsid w:val="00AA248A"/>
    <w:rsid w:val="00AA2F8F"/>
    <w:rsid w:val="00AA370F"/>
    <w:rsid w:val="00AA3837"/>
    <w:rsid w:val="00AA3BB3"/>
    <w:rsid w:val="00AA3E60"/>
    <w:rsid w:val="00AA4725"/>
    <w:rsid w:val="00AA4D5A"/>
    <w:rsid w:val="00AA4F07"/>
    <w:rsid w:val="00AA5015"/>
    <w:rsid w:val="00AA5692"/>
    <w:rsid w:val="00AA56C1"/>
    <w:rsid w:val="00AA5A3B"/>
    <w:rsid w:val="00AA6B7B"/>
    <w:rsid w:val="00AA77F4"/>
    <w:rsid w:val="00AA7A80"/>
    <w:rsid w:val="00AA7D1F"/>
    <w:rsid w:val="00AA7F80"/>
    <w:rsid w:val="00AB0358"/>
    <w:rsid w:val="00AB05EA"/>
    <w:rsid w:val="00AB14CB"/>
    <w:rsid w:val="00AB16EB"/>
    <w:rsid w:val="00AB1BEB"/>
    <w:rsid w:val="00AB1E94"/>
    <w:rsid w:val="00AB238C"/>
    <w:rsid w:val="00AB2BD6"/>
    <w:rsid w:val="00AB303C"/>
    <w:rsid w:val="00AB30EB"/>
    <w:rsid w:val="00AB3E2D"/>
    <w:rsid w:val="00AB43D9"/>
    <w:rsid w:val="00AB4D79"/>
    <w:rsid w:val="00AB5515"/>
    <w:rsid w:val="00AB5820"/>
    <w:rsid w:val="00AB5905"/>
    <w:rsid w:val="00AB5B4B"/>
    <w:rsid w:val="00AB5BA7"/>
    <w:rsid w:val="00AB5EED"/>
    <w:rsid w:val="00AB64CA"/>
    <w:rsid w:val="00AB74E8"/>
    <w:rsid w:val="00AB7580"/>
    <w:rsid w:val="00AB7D8F"/>
    <w:rsid w:val="00AB7FC3"/>
    <w:rsid w:val="00AC01F7"/>
    <w:rsid w:val="00AC0282"/>
    <w:rsid w:val="00AC055F"/>
    <w:rsid w:val="00AC0BC6"/>
    <w:rsid w:val="00AC10A7"/>
    <w:rsid w:val="00AC10AD"/>
    <w:rsid w:val="00AC19B9"/>
    <w:rsid w:val="00AC1D5C"/>
    <w:rsid w:val="00AC1FEB"/>
    <w:rsid w:val="00AC214F"/>
    <w:rsid w:val="00AC2BD4"/>
    <w:rsid w:val="00AC2EEE"/>
    <w:rsid w:val="00AC3062"/>
    <w:rsid w:val="00AC43F1"/>
    <w:rsid w:val="00AC43FD"/>
    <w:rsid w:val="00AC48A4"/>
    <w:rsid w:val="00AC533C"/>
    <w:rsid w:val="00AC5393"/>
    <w:rsid w:val="00AC555C"/>
    <w:rsid w:val="00AC577B"/>
    <w:rsid w:val="00AC5D83"/>
    <w:rsid w:val="00AC630F"/>
    <w:rsid w:val="00AC67C6"/>
    <w:rsid w:val="00AC68BA"/>
    <w:rsid w:val="00AC6ABF"/>
    <w:rsid w:val="00AC7BA3"/>
    <w:rsid w:val="00AC7CA0"/>
    <w:rsid w:val="00AD0D4E"/>
    <w:rsid w:val="00AD17C9"/>
    <w:rsid w:val="00AD22BD"/>
    <w:rsid w:val="00AD22C7"/>
    <w:rsid w:val="00AD2477"/>
    <w:rsid w:val="00AD28ED"/>
    <w:rsid w:val="00AD2D6F"/>
    <w:rsid w:val="00AD3B6B"/>
    <w:rsid w:val="00AD3D0E"/>
    <w:rsid w:val="00AD3D26"/>
    <w:rsid w:val="00AD3F67"/>
    <w:rsid w:val="00AD4066"/>
    <w:rsid w:val="00AD40D4"/>
    <w:rsid w:val="00AD5312"/>
    <w:rsid w:val="00AD5313"/>
    <w:rsid w:val="00AD613E"/>
    <w:rsid w:val="00AD78BB"/>
    <w:rsid w:val="00AE0675"/>
    <w:rsid w:val="00AE08A5"/>
    <w:rsid w:val="00AE0B00"/>
    <w:rsid w:val="00AE1268"/>
    <w:rsid w:val="00AE163C"/>
    <w:rsid w:val="00AE192C"/>
    <w:rsid w:val="00AE1E1F"/>
    <w:rsid w:val="00AE25B3"/>
    <w:rsid w:val="00AE2BE3"/>
    <w:rsid w:val="00AE2DBD"/>
    <w:rsid w:val="00AE3264"/>
    <w:rsid w:val="00AE4627"/>
    <w:rsid w:val="00AE4CDB"/>
    <w:rsid w:val="00AE5B6C"/>
    <w:rsid w:val="00AE6800"/>
    <w:rsid w:val="00AE6BF4"/>
    <w:rsid w:val="00AE6C0B"/>
    <w:rsid w:val="00AE70A7"/>
    <w:rsid w:val="00AF0062"/>
    <w:rsid w:val="00AF0364"/>
    <w:rsid w:val="00AF04A6"/>
    <w:rsid w:val="00AF0780"/>
    <w:rsid w:val="00AF0F74"/>
    <w:rsid w:val="00AF13D3"/>
    <w:rsid w:val="00AF18B0"/>
    <w:rsid w:val="00AF1F32"/>
    <w:rsid w:val="00AF2402"/>
    <w:rsid w:val="00AF2597"/>
    <w:rsid w:val="00AF26F7"/>
    <w:rsid w:val="00AF2B66"/>
    <w:rsid w:val="00AF2F9F"/>
    <w:rsid w:val="00AF34F5"/>
    <w:rsid w:val="00AF3723"/>
    <w:rsid w:val="00AF3A2F"/>
    <w:rsid w:val="00AF3D32"/>
    <w:rsid w:val="00AF4C9D"/>
    <w:rsid w:val="00AF4DB8"/>
    <w:rsid w:val="00AF5344"/>
    <w:rsid w:val="00AF53C5"/>
    <w:rsid w:val="00AF546F"/>
    <w:rsid w:val="00AF557D"/>
    <w:rsid w:val="00AF5DDC"/>
    <w:rsid w:val="00AF6143"/>
    <w:rsid w:val="00AF6794"/>
    <w:rsid w:val="00AF7243"/>
    <w:rsid w:val="00AF7AD1"/>
    <w:rsid w:val="00AF7F78"/>
    <w:rsid w:val="00B00052"/>
    <w:rsid w:val="00B000A7"/>
    <w:rsid w:val="00B00BDB"/>
    <w:rsid w:val="00B00D47"/>
    <w:rsid w:val="00B0112E"/>
    <w:rsid w:val="00B0124C"/>
    <w:rsid w:val="00B0240F"/>
    <w:rsid w:val="00B02CE3"/>
    <w:rsid w:val="00B031ED"/>
    <w:rsid w:val="00B03461"/>
    <w:rsid w:val="00B03935"/>
    <w:rsid w:val="00B03961"/>
    <w:rsid w:val="00B04C0E"/>
    <w:rsid w:val="00B05066"/>
    <w:rsid w:val="00B050F9"/>
    <w:rsid w:val="00B05818"/>
    <w:rsid w:val="00B059DF"/>
    <w:rsid w:val="00B05B9B"/>
    <w:rsid w:val="00B063EE"/>
    <w:rsid w:val="00B06561"/>
    <w:rsid w:val="00B079D9"/>
    <w:rsid w:val="00B07C90"/>
    <w:rsid w:val="00B07E70"/>
    <w:rsid w:val="00B07F4A"/>
    <w:rsid w:val="00B10269"/>
    <w:rsid w:val="00B1052C"/>
    <w:rsid w:val="00B10757"/>
    <w:rsid w:val="00B10902"/>
    <w:rsid w:val="00B10AA0"/>
    <w:rsid w:val="00B1102F"/>
    <w:rsid w:val="00B11530"/>
    <w:rsid w:val="00B11827"/>
    <w:rsid w:val="00B11AA7"/>
    <w:rsid w:val="00B11DE6"/>
    <w:rsid w:val="00B12068"/>
    <w:rsid w:val="00B127C3"/>
    <w:rsid w:val="00B12DF5"/>
    <w:rsid w:val="00B136B1"/>
    <w:rsid w:val="00B14E33"/>
    <w:rsid w:val="00B15342"/>
    <w:rsid w:val="00B15A08"/>
    <w:rsid w:val="00B15B70"/>
    <w:rsid w:val="00B15D35"/>
    <w:rsid w:val="00B1640A"/>
    <w:rsid w:val="00B1644F"/>
    <w:rsid w:val="00B16AF4"/>
    <w:rsid w:val="00B171BF"/>
    <w:rsid w:val="00B175C8"/>
    <w:rsid w:val="00B17BE0"/>
    <w:rsid w:val="00B20329"/>
    <w:rsid w:val="00B21790"/>
    <w:rsid w:val="00B21962"/>
    <w:rsid w:val="00B221D3"/>
    <w:rsid w:val="00B22684"/>
    <w:rsid w:val="00B2288F"/>
    <w:rsid w:val="00B22CFF"/>
    <w:rsid w:val="00B22FAD"/>
    <w:rsid w:val="00B23054"/>
    <w:rsid w:val="00B237E1"/>
    <w:rsid w:val="00B23F3A"/>
    <w:rsid w:val="00B24943"/>
    <w:rsid w:val="00B24B59"/>
    <w:rsid w:val="00B24C3D"/>
    <w:rsid w:val="00B24D55"/>
    <w:rsid w:val="00B24F2A"/>
    <w:rsid w:val="00B24F3A"/>
    <w:rsid w:val="00B24F3C"/>
    <w:rsid w:val="00B255A7"/>
    <w:rsid w:val="00B25903"/>
    <w:rsid w:val="00B25C22"/>
    <w:rsid w:val="00B2630D"/>
    <w:rsid w:val="00B26A2B"/>
    <w:rsid w:val="00B26ADD"/>
    <w:rsid w:val="00B26C0C"/>
    <w:rsid w:val="00B26EC7"/>
    <w:rsid w:val="00B273F9"/>
    <w:rsid w:val="00B27418"/>
    <w:rsid w:val="00B276C1"/>
    <w:rsid w:val="00B27978"/>
    <w:rsid w:val="00B27F8E"/>
    <w:rsid w:val="00B304B9"/>
    <w:rsid w:val="00B31E65"/>
    <w:rsid w:val="00B31E9E"/>
    <w:rsid w:val="00B321A6"/>
    <w:rsid w:val="00B3251F"/>
    <w:rsid w:val="00B3282C"/>
    <w:rsid w:val="00B32B37"/>
    <w:rsid w:val="00B32E7B"/>
    <w:rsid w:val="00B3301A"/>
    <w:rsid w:val="00B3357F"/>
    <w:rsid w:val="00B339D7"/>
    <w:rsid w:val="00B3455E"/>
    <w:rsid w:val="00B34617"/>
    <w:rsid w:val="00B34B6A"/>
    <w:rsid w:val="00B34FB4"/>
    <w:rsid w:val="00B35A7D"/>
    <w:rsid w:val="00B35AEF"/>
    <w:rsid w:val="00B36554"/>
    <w:rsid w:val="00B36B12"/>
    <w:rsid w:val="00B36D12"/>
    <w:rsid w:val="00B36D7C"/>
    <w:rsid w:val="00B37569"/>
    <w:rsid w:val="00B3781B"/>
    <w:rsid w:val="00B37B22"/>
    <w:rsid w:val="00B400CA"/>
    <w:rsid w:val="00B4047D"/>
    <w:rsid w:val="00B419A7"/>
    <w:rsid w:val="00B41D4A"/>
    <w:rsid w:val="00B41E00"/>
    <w:rsid w:val="00B41EDF"/>
    <w:rsid w:val="00B42092"/>
    <w:rsid w:val="00B43071"/>
    <w:rsid w:val="00B4358A"/>
    <w:rsid w:val="00B43AFE"/>
    <w:rsid w:val="00B43CD4"/>
    <w:rsid w:val="00B43E7E"/>
    <w:rsid w:val="00B4492B"/>
    <w:rsid w:val="00B44BA7"/>
    <w:rsid w:val="00B44FA1"/>
    <w:rsid w:val="00B45634"/>
    <w:rsid w:val="00B457EA"/>
    <w:rsid w:val="00B45BD6"/>
    <w:rsid w:val="00B46602"/>
    <w:rsid w:val="00B46B25"/>
    <w:rsid w:val="00B46C05"/>
    <w:rsid w:val="00B46ECA"/>
    <w:rsid w:val="00B47285"/>
    <w:rsid w:val="00B5075B"/>
    <w:rsid w:val="00B507D5"/>
    <w:rsid w:val="00B50C85"/>
    <w:rsid w:val="00B51015"/>
    <w:rsid w:val="00B51099"/>
    <w:rsid w:val="00B5169A"/>
    <w:rsid w:val="00B51700"/>
    <w:rsid w:val="00B51E4F"/>
    <w:rsid w:val="00B52C1A"/>
    <w:rsid w:val="00B52E4B"/>
    <w:rsid w:val="00B5331A"/>
    <w:rsid w:val="00B53695"/>
    <w:rsid w:val="00B538C2"/>
    <w:rsid w:val="00B54166"/>
    <w:rsid w:val="00B5470A"/>
    <w:rsid w:val="00B548B2"/>
    <w:rsid w:val="00B549E1"/>
    <w:rsid w:val="00B54EFE"/>
    <w:rsid w:val="00B554C0"/>
    <w:rsid w:val="00B559B2"/>
    <w:rsid w:val="00B55F28"/>
    <w:rsid w:val="00B5606F"/>
    <w:rsid w:val="00B56502"/>
    <w:rsid w:val="00B56719"/>
    <w:rsid w:val="00B56902"/>
    <w:rsid w:val="00B56B9C"/>
    <w:rsid w:val="00B57D11"/>
    <w:rsid w:val="00B60258"/>
    <w:rsid w:val="00B6078B"/>
    <w:rsid w:val="00B60BDF"/>
    <w:rsid w:val="00B60E72"/>
    <w:rsid w:val="00B610AE"/>
    <w:rsid w:val="00B6148A"/>
    <w:rsid w:val="00B61608"/>
    <w:rsid w:val="00B62863"/>
    <w:rsid w:val="00B62B86"/>
    <w:rsid w:val="00B62E07"/>
    <w:rsid w:val="00B62E12"/>
    <w:rsid w:val="00B62E20"/>
    <w:rsid w:val="00B635FA"/>
    <w:rsid w:val="00B63CE7"/>
    <w:rsid w:val="00B649BE"/>
    <w:rsid w:val="00B64AEC"/>
    <w:rsid w:val="00B64B88"/>
    <w:rsid w:val="00B64CEB"/>
    <w:rsid w:val="00B64D15"/>
    <w:rsid w:val="00B65361"/>
    <w:rsid w:val="00B656CD"/>
    <w:rsid w:val="00B6590B"/>
    <w:rsid w:val="00B65A40"/>
    <w:rsid w:val="00B65CEF"/>
    <w:rsid w:val="00B6611A"/>
    <w:rsid w:val="00B663D8"/>
    <w:rsid w:val="00B66439"/>
    <w:rsid w:val="00B6708C"/>
    <w:rsid w:val="00B67904"/>
    <w:rsid w:val="00B67BF3"/>
    <w:rsid w:val="00B702C9"/>
    <w:rsid w:val="00B70474"/>
    <w:rsid w:val="00B71283"/>
    <w:rsid w:val="00B71D27"/>
    <w:rsid w:val="00B71EF5"/>
    <w:rsid w:val="00B71F25"/>
    <w:rsid w:val="00B72F66"/>
    <w:rsid w:val="00B72FB8"/>
    <w:rsid w:val="00B73B0D"/>
    <w:rsid w:val="00B73C26"/>
    <w:rsid w:val="00B741C9"/>
    <w:rsid w:val="00B74C0D"/>
    <w:rsid w:val="00B74E71"/>
    <w:rsid w:val="00B753CA"/>
    <w:rsid w:val="00B75611"/>
    <w:rsid w:val="00B758BA"/>
    <w:rsid w:val="00B761FA"/>
    <w:rsid w:val="00B7626A"/>
    <w:rsid w:val="00B7627F"/>
    <w:rsid w:val="00B76280"/>
    <w:rsid w:val="00B76C1F"/>
    <w:rsid w:val="00B77649"/>
    <w:rsid w:val="00B8041B"/>
    <w:rsid w:val="00B80C87"/>
    <w:rsid w:val="00B81F08"/>
    <w:rsid w:val="00B822D5"/>
    <w:rsid w:val="00B825BF"/>
    <w:rsid w:val="00B825CF"/>
    <w:rsid w:val="00B82DCF"/>
    <w:rsid w:val="00B841E5"/>
    <w:rsid w:val="00B84F5A"/>
    <w:rsid w:val="00B8518C"/>
    <w:rsid w:val="00B85503"/>
    <w:rsid w:val="00B85A57"/>
    <w:rsid w:val="00B860FD"/>
    <w:rsid w:val="00B861E2"/>
    <w:rsid w:val="00B866A3"/>
    <w:rsid w:val="00B86D9E"/>
    <w:rsid w:val="00B86E4E"/>
    <w:rsid w:val="00B876A9"/>
    <w:rsid w:val="00B87D96"/>
    <w:rsid w:val="00B90035"/>
    <w:rsid w:val="00B904AC"/>
    <w:rsid w:val="00B909A4"/>
    <w:rsid w:val="00B90D68"/>
    <w:rsid w:val="00B91275"/>
    <w:rsid w:val="00B91600"/>
    <w:rsid w:val="00B9190E"/>
    <w:rsid w:val="00B919DB"/>
    <w:rsid w:val="00B9204B"/>
    <w:rsid w:val="00B92312"/>
    <w:rsid w:val="00B923FE"/>
    <w:rsid w:val="00B9294B"/>
    <w:rsid w:val="00B92B55"/>
    <w:rsid w:val="00B92FCB"/>
    <w:rsid w:val="00B93476"/>
    <w:rsid w:val="00B93FA5"/>
    <w:rsid w:val="00B9413F"/>
    <w:rsid w:val="00B94A43"/>
    <w:rsid w:val="00B94FD4"/>
    <w:rsid w:val="00B96217"/>
    <w:rsid w:val="00B96C2A"/>
    <w:rsid w:val="00B97990"/>
    <w:rsid w:val="00B97ABC"/>
    <w:rsid w:val="00B97C44"/>
    <w:rsid w:val="00B97F51"/>
    <w:rsid w:val="00BA0701"/>
    <w:rsid w:val="00BA0C18"/>
    <w:rsid w:val="00BA0D2E"/>
    <w:rsid w:val="00BA0EF1"/>
    <w:rsid w:val="00BA1597"/>
    <w:rsid w:val="00BA168A"/>
    <w:rsid w:val="00BA1852"/>
    <w:rsid w:val="00BA187A"/>
    <w:rsid w:val="00BA1A42"/>
    <w:rsid w:val="00BA1AF3"/>
    <w:rsid w:val="00BA2921"/>
    <w:rsid w:val="00BA2DCC"/>
    <w:rsid w:val="00BA3E3B"/>
    <w:rsid w:val="00BA3FCC"/>
    <w:rsid w:val="00BA4E2E"/>
    <w:rsid w:val="00BA4F93"/>
    <w:rsid w:val="00BA5A00"/>
    <w:rsid w:val="00BA5EFC"/>
    <w:rsid w:val="00BA60D3"/>
    <w:rsid w:val="00BA7458"/>
    <w:rsid w:val="00BA7659"/>
    <w:rsid w:val="00BB0488"/>
    <w:rsid w:val="00BB0BA7"/>
    <w:rsid w:val="00BB0C90"/>
    <w:rsid w:val="00BB14CE"/>
    <w:rsid w:val="00BB1644"/>
    <w:rsid w:val="00BB18F4"/>
    <w:rsid w:val="00BB1D14"/>
    <w:rsid w:val="00BB1D4B"/>
    <w:rsid w:val="00BB1F9C"/>
    <w:rsid w:val="00BB2112"/>
    <w:rsid w:val="00BB225B"/>
    <w:rsid w:val="00BB227E"/>
    <w:rsid w:val="00BB2439"/>
    <w:rsid w:val="00BB243B"/>
    <w:rsid w:val="00BB2A45"/>
    <w:rsid w:val="00BB2BE9"/>
    <w:rsid w:val="00BB2E46"/>
    <w:rsid w:val="00BB3208"/>
    <w:rsid w:val="00BB3CFD"/>
    <w:rsid w:val="00BB4CFB"/>
    <w:rsid w:val="00BB527A"/>
    <w:rsid w:val="00BB6D20"/>
    <w:rsid w:val="00BB6E00"/>
    <w:rsid w:val="00BB75F5"/>
    <w:rsid w:val="00BB7780"/>
    <w:rsid w:val="00BB79B7"/>
    <w:rsid w:val="00BC09F6"/>
    <w:rsid w:val="00BC15CD"/>
    <w:rsid w:val="00BC1C1E"/>
    <w:rsid w:val="00BC230F"/>
    <w:rsid w:val="00BC23E0"/>
    <w:rsid w:val="00BC24B8"/>
    <w:rsid w:val="00BC2810"/>
    <w:rsid w:val="00BC2B75"/>
    <w:rsid w:val="00BC317E"/>
    <w:rsid w:val="00BC322F"/>
    <w:rsid w:val="00BC334E"/>
    <w:rsid w:val="00BC3C43"/>
    <w:rsid w:val="00BC40EF"/>
    <w:rsid w:val="00BC4885"/>
    <w:rsid w:val="00BC4A52"/>
    <w:rsid w:val="00BC53F4"/>
    <w:rsid w:val="00BC5737"/>
    <w:rsid w:val="00BC65F2"/>
    <w:rsid w:val="00BC70FA"/>
    <w:rsid w:val="00BC7D95"/>
    <w:rsid w:val="00BD00BA"/>
    <w:rsid w:val="00BD0DBF"/>
    <w:rsid w:val="00BD218C"/>
    <w:rsid w:val="00BD23EB"/>
    <w:rsid w:val="00BD267B"/>
    <w:rsid w:val="00BD2A6D"/>
    <w:rsid w:val="00BD2D0B"/>
    <w:rsid w:val="00BD2E05"/>
    <w:rsid w:val="00BD303F"/>
    <w:rsid w:val="00BD3168"/>
    <w:rsid w:val="00BD327A"/>
    <w:rsid w:val="00BD33C0"/>
    <w:rsid w:val="00BD3713"/>
    <w:rsid w:val="00BD3811"/>
    <w:rsid w:val="00BD384F"/>
    <w:rsid w:val="00BD3B6B"/>
    <w:rsid w:val="00BD3DD2"/>
    <w:rsid w:val="00BD467F"/>
    <w:rsid w:val="00BD46A3"/>
    <w:rsid w:val="00BD4752"/>
    <w:rsid w:val="00BD4931"/>
    <w:rsid w:val="00BD4AFA"/>
    <w:rsid w:val="00BD5124"/>
    <w:rsid w:val="00BD5BA7"/>
    <w:rsid w:val="00BD73E6"/>
    <w:rsid w:val="00BD7B67"/>
    <w:rsid w:val="00BD7CBF"/>
    <w:rsid w:val="00BD7EA7"/>
    <w:rsid w:val="00BE05C1"/>
    <w:rsid w:val="00BE0627"/>
    <w:rsid w:val="00BE084D"/>
    <w:rsid w:val="00BE1066"/>
    <w:rsid w:val="00BE1531"/>
    <w:rsid w:val="00BE15C2"/>
    <w:rsid w:val="00BE2415"/>
    <w:rsid w:val="00BE2A58"/>
    <w:rsid w:val="00BE3399"/>
    <w:rsid w:val="00BE3600"/>
    <w:rsid w:val="00BE4090"/>
    <w:rsid w:val="00BE4BC1"/>
    <w:rsid w:val="00BE4D0A"/>
    <w:rsid w:val="00BE57AF"/>
    <w:rsid w:val="00BE5AFE"/>
    <w:rsid w:val="00BE602C"/>
    <w:rsid w:val="00BE612E"/>
    <w:rsid w:val="00BE6B02"/>
    <w:rsid w:val="00BE6C35"/>
    <w:rsid w:val="00BE6C9D"/>
    <w:rsid w:val="00BE7338"/>
    <w:rsid w:val="00BF0860"/>
    <w:rsid w:val="00BF0A23"/>
    <w:rsid w:val="00BF0B7D"/>
    <w:rsid w:val="00BF15D4"/>
    <w:rsid w:val="00BF1616"/>
    <w:rsid w:val="00BF170B"/>
    <w:rsid w:val="00BF1791"/>
    <w:rsid w:val="00BF21E3"/>
    <w:rsid w:val="00BF3574"/>
    <w:rsid w:val="00BF3C03"/>
    <w:rsid w:val="00BF3C70"/>
    <w:rsid w:val="00BF3E74"/>
    <w:rsid w:val="00BF40CB"/>
    <w:rsid w:val="00BF4A02"/>
    <w:rsid w:val="00BF4BDB"/>
    <w:rsid w:val="00BF4C6E"/>
    <w:rsid w:val="00BF5F72"/>
    <w:rsid w:val="00BF6147"/>
    <w:rsid w:val="00BF7214"/>
    <w:rsid w:val="00BF753E"/>
    <w:rsid w:val="00BF778A"/>
    <w:rsid w:val="00BF7BA0"/>
    <w:rsid w:val="00BF7FB6"/>
    <w:rsid w:val="00C002C2"/>
    <w:rsid w:val="00C0078B"/>
    <w:rsid w:val="00C008F9"/>
    <w:rsid w:val="00C0109F"/>
    <w:rsid w:val="00C012C8"/>
    <w:rsid w:val="00C01501"/>
    <w:rsid w:val="00C01723"/>
    <w:rsid w:val="00C019E5"/>
    <w:rsid w:val="00C01F3D"/>
    <w:rsid w:val="00C02138"/>
    <w:rsid w:val="00C0268F"/>
    <w:rsid w:val="00C0278A"/>
    <w:rsid w:val="00C02884"/>
    <w:rsid w:val="00C02B2D"/>
    <w:rsid w:val="00C03339"/>
    <w:rsid w:val="00C03440"/>
    <w:rsid w:val="00C035D6"/>
    <w:rsid w:val="00C03CC1"/>
    <w:rsid w:val="00C04564"/>
    <w:rsid w:val="00C04AC6"/>
    <w:rsid w:val="00C04C4A"/>
    <w:rsid w:val="00C058C8"/>
    <w:rsid w:val="00C0620B"/>
    <w:rsid w:val="00C0643A"/>
    <w:rsid w:val="00C07B25"/>
    <w:rsid w:val="00C07D96"/>
    <w:rsid w:val="00C1010D"/>
    <w:rsid w:val="00C10660"/>
    <w:rsid w:val="00C11235"/>
    <w:rsid w:val="00C11444"/>
    <w:rsid w:val="00C12ACA"/>
    <w:rsid w:val="00C12BCD"/>
    <w:rsid w:val="00C12D00"/>
    <w:rsid w:val="00C13052"/>
    <w:rsid w:val="00C13729"/>
    <w:rsid w:val="00C137DE"/>
    <w:rsid w:val="00C13ADA"/>
    <w:rsid w:val="00C13CCD"/>
    <w:rsid w:val="00C13CEF"/>
    <w:rsid w:val="00C140D5"/>
    <w:rsid w:val="00C144B9"/>
    <w:rsid w:val="00C14610"/>
    <w:rsid w:val="00C146DF"/>
    <w:rsid w:val="00C153EC"/>
    <w:rsid w:val="00C16288"/>
    <w:rsid w:val="00C16699"/>
    <w:rsid w:val="00C1693C"/>
    <w:rsid w:val="00C16A58"/>
    <w:rsid w:val="00C16D59"/>
    <w:rsid w:val="00C179FC"/>
    <w:rsid w:val="00C202E9"/>
    <w:rsid w:val="00C20526"/>
    <w:rsid w:val="00C214E4"/>
    <w:rsid w:val="00C22113"/>
    <w:rsid w:val="00C22773"/>
    <w:rsid w:val="00C227FD"/>
    <w:rsid w:val="00C23099"/>
    <w:rsid w:val="00C2309E"/>
    <w:rsid w:val="00C232D2"/>
    <w:rsid w:val="00C24270"/>
    <w:rsid w:val="00C24A6A"/>
    <w:rsid w:val="00C24EFB"/>
    <w:rsid w:val="00C25224"/>
    <w:rsid w:val="00C2545F"/>
    <w:rsid w:val="00C25485"/>
    <w:rsid w:val="00C25A9C"/>
    <w:rsid w:val="00C26C0B"/>
    <w:rsid w:val="00C271B1"/>
    <w:rsid w:val="00C271DF"/>
    <w:rsid w:val="00C273C1"/>
    <w:rsid w:val="00C276F1"/>
    <w:rsid w:val="00C27E71"/>
    <w:rsid w:val="00C30127"/>
    <w:rsid w:val="00C30147"/>
    <w:rsid w:val="00C302F9"/>
    <w:rsid w:val="00C303B4"/>
    <w:rsid w:val="00C31443"/>
    <w:rsid w:val="00C31796"/>
    <w:rsid w:val="00C3184D"/>
    <w:rsid w:val="00C319E1"/>
    <w:rsid w:val="00C31E23"/>
    <w:rsid w:val="00C32438"/>
    <w:rsid w:val="00C32993"/>
    <w:rsid w:val="00C32B46"/>
    <w:rsid w:val="00C32E1D"/>
    <w:rsid w:val="00C32EDE"/>
    <w:rsid w:val="00C33909"/>
    <w:rsid w:val="00C33B31"/>
    <w:rsid w:val="00C33E03"/>
    <w:rsid w:val="00C34333"/>
    <w:rsid w:val="00C34725"/>
    <w:rsid w:val="00C3485A"/>
    <w:rsid w:val="00C34861"/>
    <w:rsid w:val="00C34E1B"/>
    <w:rsid w:val="00C35516"/>
    <w:rsid w:val="00C3595D"/>
    <w:rsid w:val="00C367FF"/>
    <w:rsid w:val="00C36B2B"/>
    <w:rsid w:val="00C37E75"/>
    <w:rsid w:val="00C37FCA"/>
    <w:rsid w:val="00C4035B"/>
    <w:rsid w:val="00C4126C"/>
    <w:rsid w:val="00C4139A"/>
    <w:rsid w:val="00C415C8"/>
    <w:rsid w:val="00C416AE"/>
    <w:rsid w:val="00C41940"/>
    <w:rsid w:val="00C42275"/>
    <w:rsid w:val="00C427AC"/>
    <w:rsid w:val="00C42B65"/>
    <w:rsid w:val="00C434B3"/>
    <w:rsid w:val="00C43894"/>
    <w:rsid w:val="00C43C70"/>
    <w:rsid w:val="00C43FC3"/>
    <w:rsid w:val="00C444A0"/>
    <w:rsid w:val="00C444B1"/>
    <w:rsid w:val="00C4554D"/>
    <w:rsid w:val="00C45AEA"/>
    <w:rsid w:val="00C46065"/>
    <w:rsid w:val="00C46130"/>
    <w:rsid w:val="00C463E6"/>
    <w:rsid w:val="00C46549"/>
    <w:rsid w:val="00C46EBE"/>
    <w:rsid w:val="00C50A34"/>
    <w:rsid w:val="00C50E16"/>
    <w:rsid w:val="00C5147A"/>
    <w:rsid w:val="00C515EE"/>
    <w:rsid w:val="00C51DFC"/>
    <w:rsid w:val="00C52092"/>
    <w:rsid w:val="00C52B80"/>
    <w:rsid w:val="00C52C98"/>
    <w:rsid w:val="00C52F63"/>
    <w:rsid w:val="00C53012"/>
    <w:rsid w:val="00C54168"/>
    <w:rsid w:val="00C5418D"/>
    <w:rsid w:val="00C544EF"/>
    <w:rsid w:val="00C54B64"/>
    <w:rsid w:val="00C55212"/>
    <w:rsid w:val="00C55E12"/>
    <w:rsid w:val="00C5628C"/>
    <w:rsid w:val="00C56966"/>
    <w:rsid w:val="00C56AE6"/>
    <w:rsid w:val="00C56DC8"/>
    <w:rsid w:val="00C56F7E"/>
    <w:rsid w:val="00C570CF"/>
    <w:rsid w:val="00C57111"/>
    <w:rsid w:val="00C57D82"/>
    <w:rsid w:val="00C57F15"/>
    <w:rsid w:val="00C60BCC"/>
    <w:rsid w:val="00C61050"/>
    <w:rsid w:val="00C614DD"/>
    <w:rsid w:val="00C61B5E"/>
    <w:rsid w:val="00C6231D"/>
    <w:rsid w:val="00C62463"/>
    <w:rsid w:val="00C6297A"/>
    <w:rsid w:val="00C62CEC"/>
    <w:rsid w:val="00C63B24"/>
    <w:rsid w:val="00C640A5"/>
    <w:rsid w:val="00C64C75"/>
    <w:rsid w:val="00C65C46"/>
    <w:rsid w:val="00C6634F"/>
    <w:rsid w:val="00C666BB"/>
    <w:rsid w:val="00C669B1"/>
    <w:rsid w:val="00C66B6D"/>
    <w:rsid w:val="00C67608"/>
    <w:rsid w:val="00C67F37"/>
    <w:rsid w:val="00C7132B"/>
    <w:rsid w:val="00C71ED7"/>
    <w:rsid w:val="00C7220C"/>
    <w:rsid w:val="00C72464"/>
    <w:rsid w:val="00C72BED"/>
    <w:rsid w:val="00C731FD"/>
    <w:rsid w:val="00C7365B"/>
    <w:rsid w:val="00C73669"/>
    <w:rsid w:val="00C73845"/>
    <w:rsid w:val="00C741DB"/>
    <w:rsid w:val="00C742A1"/>
    <w:rsid w:val="00C747F1"/>
    <w:rsid w:val="00C74A0A"/>
    <w:rsid w:val="00C74F4F"/>
    <w:rsid w:val="00C751C7"/>
    <w:rsid w:val="00C75A16"/>
    <w:rsid w:val="00C75AFB"/>
    <w:rsid w:val="00C76C30"/>
    <w:rsid w:val="00C76C89"/>
    <w:rsid w:val="00C772FD"/>
    <w:rsid w:val="00C773BC"/>
    <w:rsid w:val="00C77B68"/>
    <w:rsid w:val="00C80584"/>
    <w:rsid w:val="00C812F5"/>
    <w:rsid w:val="00C816BE"/>
    <w:rsid w:val="00C81FD8"/>
    <w:rsid w:val="00C82E06"/>
    <w:rsid w:val="00C830EC"/>
    <w:rsid w:val="00C83750"/>
    <w:rsid w:val="00C83822"/>
    <w:rsid w:val="00C83C5E"/>
    <w:rsid w:val="00C84D6A"/>
    <w:rsid w:val="00C85314"/>
    <w:rsid w:val="00C853AF"/>
    <w:rsid w:val="00C8546E"/>
    <w:rsid w:val="00C8552E"/>
    <w:rsid w:val="00C85E55"/>
    <w:rsid w:val="00C85E6E"/>
    <w:rsid w:val="00C865FC"/>
    <w:rsid w:val="00C869C5"/>
    <w:rsid w:val="00C87095"/>
    <w:rsid w:val="00C90145"/>
    <w:rsid w:val="00C90479"/>
    <w:rsid w:val="00C90AD3"/>
    <w:rsid w:val="00C92E21"/>
    <w:rsid w:val="00C92EA9"/>
    <w:rsid w:val="00C93195"/>
    <w:rsid w:val="00C935FE"/>
    <w:rsid w:val="00C94011"/>
    <w:rsid w:val="00C9462D"/>
    <w:rsid w:val="00C948C6"/>
    <w:rsid w:val="00C95B32"/>
    <w:rsid w:val="00C968A6"/>
    <w:rsid w:val="00C96F9E"/>
    <w:rsid w:val="00C978C8"/>
    <w:rsid w:val="00C97A1B"/>
    <w:rsid w:val="00CA01BD"/>
    <w:rsid w:val="00CA028F"/>
    <w:rsid w:val="00CA04B4"/>
    <w:rsid w:val="00CA059B"/>
    <w:rsid w:val="00CA071D"/>
    <w:rsid w:val="00CA1233"/>
    <w:rsid w:val="00CA1463"/>
    <w:rsid w:val="00CA2172"/>
    <w:rsid w:val="00CA2DAE"/>
    <w:rsid w:val="00CA31EF"/>
    <w:rsid w:val="00CA3362"/>
    <w:rsid w:val="00CA3E2B"/>
    <w:rsid w:val="00CA496D"/>
    <w:rsid w:val="00CA4E79"/>
    <w:rsid w:val="00CA4F04"/>
    <w:rsid w:val="00CA4F5F"/>
    <w:rsid w:val="00CA51EB"/>
    <w:rsid w:val="00CA5215"/>
    <w:rsid w:val="00CA5788"/>
    <w:rsid w:val="00CA659B"/>
    <w:rsid w:val="00CA65A9"/>
    <w:rsid w:val="00CA6B05"/>
    <w:rsid w:val="00CA7EAB"/>
    <w:rsid w:val="00CB0662"/>
    <w:rsid w:val="00CB1928"/>
    <w:rsid w:val="00CB270D"/>
    <w:rsid w:val="00CB2957"/>
    <w:rsid w:val="00CB2DC5"/>
    <w:rsid w:val="00CB401C"/>
    <w:rsid w:val="00CB4627"/>
    <w:rsid w:val="00CB48DD"/>
    <w:rsid w:val="00CB4B62"/>
    <w:rsid w:val="00CB4EF8"/>
    <w:rsid w:val="00CB505F"/>
    <w:rsid w:val="00CB569B"/>
    <w:rsid w:val="00CB5F72"/>
    <w:rsid w:val="00CB65DB"/>
    <w:rsid w:val="00CB71A5"/>
    <w:rsid w:val="00CB74AC"/>
    <w:rsid w:val="00CB778E"/>
    <w:rsid w:val="00CB7E8D"/>
    <w:rsid w:val="00CB7EC1"/>
    <w:rsid w:val="00CC0024"/>
    <w:rsid w:val="00CC233D"/>
    <w:rsid w:val="00CC25E2"/>
    <w:rsid w:val="00CC26CB"/>
    <w:rsid w:val="00CC2AD4"/>
    <w:rsid w:val="00CC303D"/>
    <w:rsid w:val="00CC3A24"/>
    <w:rsid w:val="00CC53A0"/>
    <w:rsid w:val="00CC556E"/>
    <w:rsid w:val="00CC5838"/>
    <w:rsid w:val="00CC63F3"/>
    <w:rsid w:val="00CC6F9A"/>
    <w:rsid w:val="00CC794F"/>
    <w:rsid w:val="00CC7E21"/>
    <w:rsid w:val="00CD0422"/>
    <w:rsid w:val="00CD05C9"/>
    <w:rsid w:val="00CD0A82"/>
    <w:rsid w:val="00CD0D21"/>
    <w:rsid w:val="00CD1008"/>
    <w:rsid w:val="00CD1014"/>
    <w:rsid w:val="00CD1347"/>
    <w:rsid w:val="00CD1722"/>
    <w:rsid w:val="00CD1DD0"/>
    <w:rsid w:val="00CD218A"/>
    <w:rsid w:val="00CD21CA"/>
    <w:rsid w:val="00CD2358"/>
    <w:rsid w:val="00CD2DC6"/>
    <w:rsid w:val="00CD2E5C"/>
    <w:rsid w:val="00CD3150"/>
    <w:rsid w:val="00CD3173"/>
    <w:rsid w:val="00CD35D5"/>
    <w:rsid w:val="00CD37F7"/>
    <w:rsid w:val="00CD42DE"/>
    <w:rsid w:val="00CD43F9"/>
    <w:rsid w:val="00CD4D37"/>
    <w:rsid w:val="00CD4E18"/>
    <w:rsid w:val="00CD60F0"/>
    <w:rsid w:val="00CD68F5"/>
    <w:rsid w:val="00CD71DC"/>
    <w:rsid w:val="00CD7B1F"/>
    <w:rsid w:val="00CD7C8C"/>
    <w:rsid w:val="00CD7DCF"/>
    <w:rsid w:val="00CE0351"/>
    <w:rsid w:val="00CE10E2"/>
    <w:rsid w:val="00CE1317"/>
    <w:rsid w:val="00CE1657"/>
    <w:rsid w:val="00CE1E65"/>
    <w:rsid w:val="00CE2630"/>
    <w:rsid w:val="00CE28E4"/>
    <w:rsid w:val="00CE2B23"/>
    <w:rsid w:val="00CE2D51"/>
    <w:rsid w:val="00CE36E0"/>
    <w:rsid w:val="00CE3B4F"/>
    <w:rsid w:val="00CE4280"/>
    <w:rsid w:val="00CE4C2F"/>
    <w:rsid w:val="00CE4D07"/>
    <w:rsid w:val="00CE52F9"/>
    <w:rsid w:val="00CE5AED"/>
    <w:rsid w:val="00CE5B24"/>
    <w:rsid w:val="00CE5BAE"/>
    <w:rsid w:val="00CE5CD2"/>
    <w:rsid w:val="00CE61E0"/>
    <w:rsid w:val="00CE6271"/>
    <w:rsid w:val="00CE64B0"/>
    <w:rsid w:val="00CE65CF"/>
    <w:rsid w:val="00CE7058"/>
    <w:rsid w:val="00CE7784"/>
    <w:rsid w:val="00CF05E0"/>
    <w:rsid w:val="00CF0D28"/>
    <w:rsid w:val="00CF0F86"/>
    <w:rsid w:val="00CF195F"/>
    <w:rsid w:val="00CF23E9"/>
    <w:rsid w:val="00CF36BD"/>
    <w:rsid w:val="00CF40A9"/>
    <w:rsid w:val="00CF4575"/>
    <w:rsid w:val="00CF4712"/>
    <w:rsid w:val="00CF5396"/>
    <w:rsid w:val="00CF6205"/>
    <w:rsid w:val="00CF7275"/>
    <w:rsid w:val="00CF7477"/>
    <w:rsid w:val="00CF79D5"/>
    <w:rsid w:val="00D008E1"/>
    <w:rsid w:val="00D00DA8"/>
    <w:rsid w:val="00D01394"/>
    <w:rsid w:val="00D01BD7"/>
    <w:rsid w:val="00D024A4"/>
    <w:rsid w:val="00D02929"/>
    <w:rsid w:val="00D039EA"/>
    <w:rsid w:val="00D039F4"/>
    <w:rsid w:val="00D040F8"/>
    <w:rsid w:val="00D04591"/>
    <w:rsid w:val="00D051FC"/>
    <w:rsid w:val="00D07388"/>
    <w:rsid w:val="00D076A6"/>
    <w:rsid w:val="00D079A4"/>
    <w:rsid w:val="00D10AF9"/>
    <w:rsid w:val="00D11E5D"/>
    <w:rsid w:val="00D12391"/>
    <w:rsid w:val="00D125F7"/>
    <w:rsid w:val="00D12E01"/>
    <w:rsid w:val="00D131BA"/>
    <w:rsid w:val="00D13A83"/>
    <w:rsid w:val="00D15591"/>
    <w:rsid w:val="00D15777"/>
    <w:rsid w:val="00D15E03"/>
    <w:rsid w:val="00D15F24"/>
    <w:rsid w:val="00D163CA"/>
    <w:rsid w:val="00D1651E"/>
    <w:rsid w:val="00D16F3C"/>
    <w:rsid w:val="00D16FCB"/>
    <w:rsid w:val="00D17352"/>
    <w:rsid w:val="00D174DF"/>
    <w:rsid w:val="00D17817"/>
    <w:rsid w:val="00D17877"/>
    <w:rsid w:val="00D17F3B"/>
    <w:rsid w:val="00D21274"/>
    <w:rsid w:val="00D213FE"/>
    <w:rsid w:val="00D2144C"/>
    <w:rsid w:val="00D21718"/>
    <w:rsid w:val="00D2195C"/>
    <w:rsid w:val="00D233FB"/>
    <w:rsid w:val="00D2357E"/>
    <w:rsid w:val="00D23985"/>
    <w:rsid w:val="00D24BF1"/>
    <w:rsid w:val="00D251D6"/>
    <w:rsid w:val="00D25797"/>
    <w:rsid w:val="00D272D4"/>
    <w:rsid w:val="00D27ADF"/>
    <w:rsid w:val="00D30193"/>
    <w:rsid w:val="00D302C7"/>
    <w:rsid w:val="00D31732"/>
    <w:rsid w:val="00D31D3B"/>
    <w:rsid w:val="00D32234"/>
    <w:rsid w:val="00D32886"/>
    <w:rsid w:val="00D33205"/>
    <w:rsid w:val="00D338B6"/>
    <w:rsid w:val="00D3444F"/>
    <w:rsid w:val="00D34F79"/>
    <w:rsid w:val="00D35057"/>
    <w:rsid w:val="00D35C16"/>
    <w:rsid w:val="00D365BF"/>
    <w:rsid w:val="00D36D87"/>
    <w:rsid w:val="00D37390"/>
    <w:rsid w:val="00D40478"/>
    <w:rsid w:val="00D408CD"/>
    <w:rsid w:val="00D40CFC"/>
    <w:rsid w:val="00D41221"/>
    <w:rsid w:val="00D41367"/>
    <w:rsid w:val="00D41496"/>
    <w:rsid w:val="00D41608"/>
    <w:rsid w:val="00D4199C"/>
    <w:rsid w:val="00D41B9E"/>
    <w:rsid w:val="00D41D2F"/>
    <w:rsid w:val="00D41D3E"/>
    <w:rsid w:val="00D425D2"/>
    <w:rsid w:val="00D43110"/>
    <w:rsid w:val="00D43235"/>
    <w:rsid w:val="00D43437"/>
    <w:rsid w:val="00D4364D"/>
    <w:rsid w:val="00D43E7F"/>
    <w:rsid w:val="00D43FB4"/>
    <w:rsid w:val="00D44663"/>
    <w:rsid w:val="00D44A82"/>
    <w:rsid w:val="00D458DA"/>
    <w:rsid w:val="00D45B66"/>
    <w:rsid w:val="00D45EA2"/>
    <w:rsid w:val="00D45FC6"/>
    <w:rsid w:val="00D46748"/>
    <w:rsid w:val="00D4684D"/>
    <w:rsid w:val="00D469B6"/>
    <w:rsid w:val="00D47187"/>
    <w:rsid w:val="00D519AF"/>
    <w:rsid w:val="00D51D1B"/>
    <w:rsid w:val="00D52069"/>
    <w:rsid w:val="00D52164"/>
    <w:rsid w:val="00D52803"/>
    <w:rsid w:val="00D52BFA"/>
    <w:rsid w:val="00D52EAD"/>
    <w:rsid w:val="00D53021"/>
    <w:rsid w:val="00D540F6"/>
    <w:rsid w:val="00D54937"/>
    <w:rsid w:val="00D554A9"/>
    <w:rsid w:val="00D554C9"/>
    <w:rsid w:val="00D558AD"/>
    <w:rsid w:val="00D5636A"/>
    <w:rsid w:val="00D56A17"/>
    <w:rsid w:val="00D5740D"/>
    <w:rsid w:val="00D57531"/>
    <w:rsid w:val="00D577F3"/>
    <w:rsid w:val="00D60169"/>
    <w:rsid w:val="00D605F8"/>
    <w:rsid w:val="00D60853"/>
    <w:rsid w:val="00D61553"/>
    <w:rsid w:val="00D61F2E"/>
    <w:rsid w:val="00D62105"/>
    <w:rsid w:val="00D622D6"/>
    <w:rsid w:val="00D62618"/>
    <w:rsid w:val="00D6300F"/>
    <w:rsid w:val="00D6356C"/>
    <w:rsid w:val="00D6376E"/>
    <w:rsid w:val="00D63D70"/>
    <w:rsid w:val="00D64303"/>
    <w:rsid w:val="00D6459A"/>
    <w:rsid w:val="00D646BA"/>
    <w:rsid w:val="00D64ABA"/>
    <w:rsid w:val="00D65943"/>
    <w:rsid w:val="00D65E82"/>
    <w:rsid w:val="00D679C9"/>
    <w:rsid w:val="00D67D5E"/>
    <w:rsid w:val="00D70637"/>
    <w:rsid w:val="00D70A97"/>
    <w:rsid w:val="00D70BE6"/>
    <w:rsid w:val="00D70EDE"/>
    <w:rsid w:val="00D7128C"/>
    <w:rsid w:val="00D71372"/>
    <w:rsid w:val="00D71E53"/>
    <w:rsid w:val="00D71FD9"/>
    <w:rsid w:val="00D72417"/>
    <w:rsid w:val="00D72831"/>
    <w:rsid w:val="00D72E55"/>
    <w:rsid w:val="00D72E67"/>
    <w:rsid w:val="00D7307D"/>
    <w:rsid w:val="00D73A53"/>
    <w:rsid w:val="00D73AFC"/>
    <w:rsid w:val="00D74436"/>
    <w:rsid w:val="00D7456A"/>
    <w:rsid w:val="00D74B1A"/>
    <w:rsid w:val="00D74B67"/>
    <w:rsid w:val="00D74FE9"/>
    <w:rsid w:val="00D7564A"/>
    <w:rsid w:val="00D758D6"/>
    <w:rsid w:val="00D75F57"/>
    <w:rsid w:val="00D76240"/>
    <w:rsid w:val="00D7694A"/>
    <w:rsid w:val="00D7722F"/>
    <w:rsid w:val="00D7763F"/>
    <w:rsid w:val="00D776C2"/>
    <w:rsid w:val="00D776F0"/>
    <w:rsid w:val="00D77A99"/>
    <w:rsid w:val="00D77DF1"/>
    <w:rsid w:val="00D809C4"/>
    <w:rsid w:val="00D81815"/>
    <w:rsid w:val="00D8189C"/>
    <w:rsid w:val="00D82214"/>
    <w:rsid w:val="00D8251A"/>
    <w:rsid w:val="00D831DF"/>
    <w:rsid w:val="00D8366E"/>
    <w:rsid w:val="00D83F22"/>
    <w:rsid w:val="00D853B5"/>
    <w:rsid w:val="00D853FF"/>
    <w:rsid w:val="00D855B8"/>
    <w:rsid w:val="00D8665C"/>
    <w:rsid w:val="00D876AC"/>
    <w:rsid w:val="00D8799A"/>
    <w:rsid w:val="00D87B82"/>
    <w:rsid w:val="00D87CC7"/>
    <w:rsid w:val="00D90AD8"/>
    <w:rsid w:val="00D90FB9"/>
    <w:rsid w:val="00D9116E"/>
    <w:rsid w:val="00D9120B"/>
    <w:rsid w:val="00D912C8"/>
    <w:rsid w:val="00D916AB"/>
    <w:rsid w:val="00D91772"/>
    <w:rsid w:val="00D917F1"/>
    <w:rsid w:val="00D91AAA"/>
    <w:rsid w:val="00D92F4B"/>
    <w:rsid w:val="00D93137"/>
    <w:rsid w:val="00D93168"/>
    <w:rsid w:val="00D9323D"/>
    <w:rsid w:val="00D935B4"/>
    <w:rsid w:val="00D93673"/>
    <w:rsid w:val="00D93ECD"/>
    <w:rsid w:val="00D94E4A"/>
    <w:rsid w:val="00D9510D"/>
    <w:rsid w:val="00D953E7"/>
    <w:rsid w:val="00D9555A"/>
    <w:rsid w:val="00D955BA"/>
    <w:rsid w:val="00D961FC"/>
    <w:rsid w:val="00D962BD"/>
    <w:rsid w:val="00D9652B"/>
    <w:rsid w:val="00D9731C"/>
    <w:rsid w:val="00DA00DE"/>
    <w:rsid w:val="00DA0375"/>
    <w:rsid w:val="00DA11B4"/>
    <w:rsid w:val="00DA1493"/>
    <w:rsid w:val="00DA16B3"/>
    <w:rsid w:val="00DA1DA5"/>
    <w:rsid w:val="00DA2540"/>
    <w:rsid w:val="00DA25DC"/>
    <w:rsid w:val="00DA2BF9"/>
    <w:rsid w:val="00DA2F6C"/>
    <w:rsid w:val="00DA3145"/>
    <w:rsid w:val="00DA3396"/>
    <w:rsid w:val="00DA3634"/>
    <w:rsid w:val="00DA3993"/>
    <w:rsid w:val="00DA39DB"/>
    <w:rsid w:val="00DA3E60"/>
    <w:rsid w:val="00DA447F"/>
    <w:rsid w:val="00DA490E"/>
    <w:rsid w:val="00DA4A44"/>
    <w:rsid w:val="00DA4D53"/>
    <w:rsid w:val="00DA57DD"/>
    <w:rsid w:val="00DA5AA5"/>
    <w:rsid w:val="00DA61FE"/>
    <w:rsid w:val="00DA6527"/>
    <w:rsid w:val="00DA6E8C"/>
    <w:rsid w:val="00DA7120"/>
    <w:rsid w:val="00DB0801"/>
    <w:rsid w:val="00DB1ECF"/>
    <w:rsid w:val="00DB2A82"/>
    <w:rsid w:val="00DB2C5B"/>
    <w:rsid w:val="00DB33E8"/>
    <w:rsid w:val="00DB40FD"/>
    <w:rsid w:val="00DB4311"/>
    <w:rsid w:val="00DB477B"/>
    <w:rsid w:val="00DB48A6"/>
    <w:rsid w:val="00DB5580"/>
    <w:rsid w:val="00DB5932"/>
    <w:rsid w:val="00DB5E09"/>
    <w:rsid w:val="00DB5F7E"/>
    <w:rsid w:val="00DB612E"/>
    <w:rsid w:val="00DB6393"/>
    <w:rsid w:val="00DB6440"/>
    <w:rsid w:val="00DB6677"/>
    <w:rsid w:val="00DB68D4"/>
    <w:rsid w:val="00DC1257"/>
    <w:rsid w:val="00DC16AF"/>
    <w:rsid w:val="00DC1701"/>
    <w:rsid w:val="00DC1A71"/>
    <w:rsid w:val="00DC2313"/>
    <w:rsid w:val="00DC2A7D"/>
    <w:rsid w:val="00DC2E70"/>
    <w:rsid w:val="00DC2F8C"/>
    <w:rsid w:val="00DC3035"/>
    <w:rsid w:val="00DC309E"/>
    <w:rsid w:val="00DC3974"/>
    <w:rsid w:val="00DC455A"/>
    <w:rsid w:val="00DC4810"/>
    <w:rsid w:val="00DC4AD4"/>
    <w:rsid w:val="00DC4D6A"/>
    <w:rsid w:val="00DC4E90"/>
    <w:rsid w:val="00DC4F60"/>
    <w:rsid w:val="00DC55C4"/>
    <w:rsid w:val="00DC5D79"/>
    <w:rsid w:val="00DC635A"/>
    <w:rsid w:val="00DC694F"/>
    <w:rsid w:val="00DC6FDF"/>
    <w:rsid w:val="00DC7279"/>
    <w:rsid w:val="00DC794D"/>
    <w:rsid w:val="00DD0036"/>
    <w:rsid w:val="00DD09DA"/>
    <w:rsid w:val="00DD0A2A"/>
    <w:rsid w:val="00DD0D59"/>
    <w:rsid w:val="00DD106E"/>
    <w:rsid w:val="00DD1AE9"/>
    <w:rsid w:val="00DD1D87"/>
    <w:rsid w:val="00DD2AD0"/>
    <w:rsid w:val="00DD307C"/>
    <w:rsid w:val="00DD37F9"/>
    <w:rsid w:val="00DD450E"/>
    <w:rsid w:val="00DD45FE"/>
    <w:rsid w:val="00DD4A59"/>
    <w:rsid w:val="00DD4CE3"/>
    <w:rsid w:val="00DD4D06"/>
    <w:rsid w:val="00DD63EF"/>
    <w:rsid w:val="00DD63FD"/>
    <w:rsid w:val="00DD6944"/>
    <w:rsid w:val="00DD6F7A"/>
    <w:rsid w:val="00DD7077"/>
    <w:rsid w:val="00DD7164"/>
    <w:rsid w:val="00DD7B6C"/>
    <w:rsid w:val="00DD7D0D"/>
    <w:rsid w:val="00DE059E"/>
    <w:rsid w:val="00DE0AB9"/>
    <w:rsid w:val="00DE10FC"/>
    <w:rsid w:val="00DE111A"/>
    <w:rsid w:val="00DE1184"/>
    <w:rsid w:val="00DE12A5"/>
    <w:rsid w:val="00DE1852"/>
    <w:rsid w:val="00DE1920"/>
    <w:rsid w:val="00DE1A10"/>
    <w:rsid w:val="00DE2693"/>
    <w:rsid w:val="00DE3326"/>
    <w:rsid w:val="00DE343B"/>
    <w:rsid w:val="00DE4FE1"/>
    <w:rsid w:val="00DE5466"/>
    <w:rsid w:val="00DE5CA7"/>
    <w:rsid w:val="00DE651D"/>
    <w:rsid w:val="00DE665D"/>
    <w:rsid w:val="00DE68E5"/>
    <w:rsid w:val="00DE6D81"/>
    <w:rsid w:val="00DE73D0"/>
    <w:rsid w:val="00DE7A6A"/>
    <w:rsid w:val="00DE7DC1"/>
    <w:rsid w:val="00DF0302"/>
    <w:rsid w:val="00DF0347"/>
    <w:rsid w:val="00DF0673"/>
    <w:rsid w:val="00DF08A0"/>
    <w:rsid w:val="00DF0A32"/>
    <w:rsid w:val="00DF1175"/>
    <w:rsid w:val="00DF1409"/>
    <w:rsid w:val="00DF1869"/>
    <w:rsid w:val="00DF2318"/>
    <w:rsid w:val="00DF2B82"/>
    <w:rsid w:val="00DF3618"/>
    <w:rsid w:val="00DF3943"/>
    <w:rsid w:val="00DF4D9D"/>
    <w:rsid w:val="00DF52BC"/>
    <w:rsid w:val="00DF5B77"/>
    <w:rsid w:val="00DF60BC"/>
    <w:rsid w:val="00DF60D9"/>
    <w:rsid w:val="00DF610F"/>
    <w:rsid w:val="00DF64E5"/>
    <w:rsid w:val="00DF69DB"/>
    <w:rsid w:val="00DF6DE2"/>
    <w:rsid w:val="00DF7DB4"/>
    <w:rsid w:val="00DF7E24"/>
    <w:rsid w:val="00E00B47"/>
    <w:rsid w:val="00E0128F"/>
    <w:rsid w:val="00E01662"/>
    <w:rsid w:val="00E01985"/>
    <w:rsid w:val="00E0219F"/>
    <w:rsid w:val="00E026AC"/>
    <w:rsid w:val="00E02961"/>
    <w:rsid w:val="00E030A2"/>
    <w:rsid w:val="00E03439"/>
    <w:rsid w:val="00E0420F"/>
    <w:rsid w:val="00E0433C"/>
    <w:rsid w:val="00E04EFF"/>
    <w:rsid w:val="00E05237"/>
    <w:rsid w:val="00E0541A"/>
    <w:rsid w:val="00E05706"/>
    <w:rsid w:val="00E05B76"/>
    <w:rsid w:val="00E0605B"/>
    <w:rsid w:val="00E060E8"/>
    <w:rsid w:val="00E06F51"/>
    <w:rsid w:val="00E06F87"/>
    <w:rsid w:val="00E06FC4"/>
    <w:rsid w:val="00E07144"/>
    <w:rsid w:val="00E077A1"/>
    <w:rsid w:val="00E07E36"/>
    <w:rsid w:val="00E07E7C"/>
    <w:rsid w:val="00E1030E"/>
    <w:rsid w:val="00E12A18"/>
    <w:rsid w:val="00E12A5E"/>
    <w:rsid w:val="00E12BA4"/>
    <w:rsid w:val="00E12F97"/>
    <w:rsid w:val="00E13014"/>
    <w:rsid w:val="00E1301F"/>
    <w:rsid w:val="00E1331F"/>
    <w:rsid w:val="00E142D9"/>
    <w:rsid w:val="00E143CB"/>
    <w:rsid w:val="00E149F0"/>
    <w:rsid w:val="00E151B3"/>
    <w:rsid w:val="00E15A6A"/>
    <w:rsid w:val="00E164DE"/>
    <w:rsid w:val="00E16D4E"/>
    <w:rsid w:val="00E16DA3"/>
    <w:rsid w:val="00E176AF"/>
    <w:rsid w:val="00E179DA"/>
    <w:rsid w:val="00E17A9C"/>
    <w:rsid w:val="00E205EA"/>
    <w:rsid w:val="00E20E3C"/>
    <w:rsid w:val="00E2104D"/>
    <w:rsid w:val="00E212FB"/>
    <w:rsid w:val="00E21950"/>
    <w:rsid w:val="00E229F2"/>
    <w:rsid w:val="00E22AB4"/>
    <w:rsid w:val="00E22AE9"/>
    <w:rsid w:val="00E235A3"/>
    <w:rsid w:val="00E2363C"/>
    <w:rsid w:val="00E23647"/>
    <w:rsid w:val="00E23847"/>
    <w:rsid w:val="00E23E6C"/>
    <w:rsid w:val="00E2439E"/>
    <w:rsid w:val="00E25335"/>
    <w:rsid w:val="00E25677"/>
    <w:rsid w:val="00E25962"/>
    <w:rsid w:val="00E25A05"/>
    <w:rsid w:val="00E25F8D"/>
    <w:rsid w:val="00E2689F"/>
    <w:rsid w:val="00E26E4A"/>
    <w:rsid w:val="00E273A6"/>
    <w:rsid w:val="00E27759"/>
    <w:rsid w:val="00E27E39"/>
    <w:rsid w:val="00E30B6F"/>
    <w:rsid w:val="00E30CDE"/>
    <w:rsid w:val="00E30E6B"/>
    <w:rsid w:val="00E318C2"/>
    <w:rsid w:val="00E31FE2"/>
    <w:rsid w:val="00E32C68"/>
    <w:rsid w:val="00E332DA"/>
    <w:rsid w:val="00E333FC"/>
    <w:rsid w:val="00E334D9"/>
    <w:rsid w:val="00E3361D"/>
    <w:rsid w:val="00E336EB"/>
    <w:rsid w:val="00E34C70"/>
    <w:rsid w:val="00E363F7"/>
    <w:rsid w:val="00E367C9"/>
    <w:rsid w:val="00E368B5"/>
    <w:rsid w:val="00E37635"/>
    <w:rsid w:val="00E40028"/>
    <w:rsid w:val="00E40254"/>
    <w:rsid w:val="00E407F9"/>
    <w:rsid w:val="00E40A46"/>
    <w:rsid w:val="00E4170A"/>
    <w:rsid w:val="00E41817"/>
    <w:rsid w:val="00E4200F"/>
    <w:rsid w:val="00E426A2"/>
    <w:rsid w:val="00E42994"/>
    <w:rsid w:val="00E42C86"/>
    <w:rsid w:val="00E42F4B"/>
    <w:rsid w:val="00E434A9"/>
    <w:rsid w:val="00E43DEF"/>
    <w:rsid w:val="00E44C0B"/>
    <w:rsid w:val="00E44D87"/>
    <w:rsid w:val="00E45113"/>
    <w:rsid w:val="00E45BF5"/>
    <w:rsid w:val="00E4610D"/>
    <w:rsid w:val="00E4669E"/>
    <w:rsid w:val="00E46CA4"/>
    <w:rsid w:val="00E46DE5"/>
    <w:rsid w:val="00E47796"/>
    <w:rsid w:val="00E47AE6"/>
    <w:rsid w:val="00E47E55"/>
    <w:rsid w:val="00E47F48"/>
    <w:rsid w:val="00E50060"/>
    <w:rsid w:val="00E50736"/>
    <w:rsid w:val="00E512D6"/>
    <w:rsid w:val="00E514EE"/>
    <w:rsid w:val="00E51680"/>
    <w:rsid w:val="00E51923"/>
    <w:rsid w:val="00E51A2F"/>
    <w:rsid w:val="00E51E13"/>
    <w:rsid w:val="00E51E30"/>
    <w:rsid w:val="00E523A1"/>
    <w:rsid w:val="00E52BB5"/>
    <w:rsid w:val="00E52BD9"/>
    <w:rsid w:val="00E53048"/>
    <w:rsid w:val="00E53277"/>
    <w:rsid w:val="00E534B5"/>
    <w:rsid w:val="00E5353A"/>
    <w:rsid w:val="00E53DD3"/>
    <w:rsid w:val="00E53EFE"/>
    <w:rsid w:val="00E5425F"/>
    <w:rsid w:val="00E544DA"/>
    <w:rsid w:val="00E553AC"/>
    <w:rsid w:val="00E55659"/>
    <w:rsid w:val="00E56440"/>
    <w:rsid w:val="00E56444"/>
    <w:rsid w:val="00E564A3"/>
    <w:rsid w:val="00E56AEC"/>
    <w:rsid w:val="00E56E7B"/>
    <w:rsid w:val="00E56F65"/>
    <w:rsid w:val="00E5709B"/>
    <w:rsid w:val="00E5741B"/>
    <w:rsid w:val="00E57B73"/>
    <w:rsid w:val="00E57ECF"/>
    <w:rsid w:val="00E60540"/>
    <w:rsid w:val="00E60930"/>
    <w:rsid w:val="00E609A4"/>
    <w:rsid w:val="00E60ABD"/>
    <w:rsid w:val="00E60B93"/>
    <w:rsid w:val="00E612A5"/>
    <w:rsid w:val="00E61595"/>
    <w:rsid w:val="00E61C1F"/>
    <w:rsid w:val="00E62019"/>
    <w:rsid w:val="00E625AB"/>
    <w:rsid w:val="00E627AD"/>
    <w:rsid w:val="00E629D9"/>
    <w:rsid w:val="00E633BF"/>
    <w:rsid w:val="00E6453F"/>
    <w:rsid w:val="00E6504D"/>
    <w:rsid w:val="00E6537C"/>
    <w:rsid w:val="00E6588D"/>
    <w:rsid w:val="00E65FB0"/>
    <w:rsid w:val="00E660DB"/>
    <w:rsid w:val="00E668E0"/>
    <w:rsid w:val="00E66DB8"/>
    <w:rsid w:val="00E66F9D"/>
    <w:rsid w:val="00E672EB"/>
    <w:rsid w:val="00E67C1B"/>
    <w:rsid w:val="00E67EA8"/>
    <w:rsid w:val="00E70546"/>
    <w:rsid w:val="00E70704"/>
    <w:rsid w:val="00E710B3"/>
    <w:rsid w:val="00E713CF"/>
    <w:rsid w:val="00E71B03"/>
    <w:rsid w:val="00E725EA"/>
    <w:rsid w:val="00E72874"/>
    <w:rsid w:val="00E72C11"/>
    <w:rsid w:val="00E72E7A"/>
    <w:rsid w:val="00E72EA3"/>
    <w:rsid w:val="00E72F74"/>
    <w:rsid w:val="00E732D2"/>
    <w:rsid w:val="00E736AA"/>
    <w:rsid w:val="00E73962"/>
    <w:rsid w:val="00E7455E"/>
    <w:rsid w:val="00E749C0"/>
    <w:rsid w:val="00E75568"/>
    <w:rsid w:val="00E75C8C"/>
    <w:rsid w:val="00E75F53"/>
    <w:rsid w:val="00E7657D"/>
    <w:rsid w:val="00E76A61"/>
    <w:rsid w:val="00E76BAA"/>
    <w:rsid w:val="00E771DA"/>
    <w:rsid w:val="00E774F7"/>
    <w:rsid w:val="00E77B19"/>
    <w:rsid w:val="00E77DD7"/>
    <w:rsid w:val="00E80139"/>
    <w:rsid w:val="00E805BA"/>
    <w:rsid w:val="00E8082B"/>
    <w:rsid w:val="00E80B55"/>
    <w:rsid w:val="00E811C1"/>
    <w:rsid w:val="00E814ED"/>
    <w:rsid w:val="00E815F1"/>
    <w:rsid w:val="00E817EC"/>
    <w:rsid w:val="00E81862"/>
    <w:rsid w:val="00E81AF7"/>
    <w:rsid w:val="00E823BF"/>
    <w:rsid w:val="00E82468"/>
    <w:rsid w:val="00E82F2A"/>
    <w:rsid w:val="00E83585"/>
    <w:rsid w:val="00E8397A"/>
    <w:rsid w:val="00E83A7F"/>
    <w:rsid w:val="00E8408B"/>
    <w:rsid w:val="00E84588"/>
    <w:rsid w:val="00E84800"/>
    <w:rsid w:val="00E84866"/>
    <w:rsid w:val="00E85389"/>
    <w:rsid w:val="00E85697"/>
    <w:rsid w:val="00E856E6"/>
    <w:rsid w:val="00E856EF"/>
    <w:rsid w:val="00E858B3"/>
    <w:rsid w:val="00E85DA9"/>
    <w:rsid w:val="00E85FDD"/>
    <w:rsid w:val="00E863E1"/>
    <w:rsid w:val="00E86689"/>
    <w:rsid w:val="00E86AC1"/>
    <w:rsid w:val="00E8708F"/>
    <w:rsid w:val="00E87167"/>
    <w:rsid w:val="00E873C0"/>
    <w:rsid w:val="00E90F70"/>
    <w:rsid w:val="00E918BC"/>
    <w:rsid w:val="00E91E9B"/>
    <w:rsid w:val="00E92BBB"/>
    <w:rsid w:val="00E9309E"/>
    <w:rsid w:val="00E93355"/>
    <w:rsid w:val="00E93ECA"/>
    <w:rsid w:val="00E94462"/>
    <w:rsid w:val="00E9463A"/>
    <w:rsid w:val="00E94E6E"/>
    <w:rsid w:val="00E94E9E"/>
    <w:rsid w:val="00E95201"/>
    <w:rsid w:val="00E955D3"/>
    <w:rsid w:val="00E9568E"/>
    <w:rsid w:val="00E958D9"/>
    <w:rsid w:val="00E95D0B"/>
    <w:rsid w:val="00E95ECB"/>
    <w:rsid w:val="00E96AB0"/>
    <w:rsid w:val="00E96D3E"/>
    <w:rsid w:val="00E9707E"/>
    <w:rsid w:val="00E97536"/>
    <w:rsid w:val="00E97636"/>
    <w:rsid w:val="00E97820"/>
    <w:rsid w:val="00E97A46"/>
    <w:rsid w:val="00EA0C1C"/>
    <w:rsid w:val="00EA145F"/>
    <w:rsid w:val="00EA1670"/>
    <w:rsid w:val="00EA1AE1"/>
    <w:rsid w:val="00EA1FCC"/>
    <w:rsid w:val="00EA2274"/>
    <w:rsid w:val="00EA22B8"/>
    <w:rsid w:val="00EA2A00"/>
    <w:rsid w:val="00EA2CEE"/>
    <w:rsid w:val="00EA2ECF"/>
    <w:rsid w:val="00EA3D7E"/>
    <w:rsid w:val="00EA40CB"/>
    <w:rsid w:val="00EA42F9"/>
    <w:rsid w:val="00EA44A1"/>
    <w:rsid w:val="00EA44A6"/>
    <w:rsid w:val="00EA4787"/>
    <w:rsid w:val="00EA50B6"/>
    <w:rsid w:val="00EA5225"/>
    <w:rsid w:val="00EA5859"/>
    <w:rsid w:val="00EA64E3"/>
    <w:rsid w:val="00EA672D"/>
    <w:rsid w:val="00EA7A59"/>
    <w:rsid w:val="00EA7BEB"/>
    <w:rsid w:val="00EB0037"/>
    <w:rsid w:val="00EB04D7"/>
    <w:rsid w:val="00EB142B"/>
    <w:rsid w:val="00EB1752"/>
    <w:rsid w:val="00EB24E3"/>
    <w:rsid w:val="00EB25E2"/>
    <w:rsid w:val="00EB3C1D"/>
    <w:rsid w:val="00EB3F2D"/>
    <w:rsid w:val="00EB4260"/>
    <w:rsid w:val="00EB4700"/>
    <w:rsid w:val="00EB5DED"/>
    <w:rsid w:val="00EB6310"/>
    <w:rsid w:val="00EB71BD"/>
    <w:rsid w:val="00EB7423"/>
    <w:rsid w:val="00EB7521"/>
    <w:rsid w:val="00EB79EC"/>
    <w:rsid w:val="00EC0AFC"/>
    <w:rsid w:val="00EC1769"/>
    <w:rsid w:val="00EC1A14"/>
    <w:rsid w:val="00EC1A99"/>
    <w:rsid w:val="00EC1F28"/>
    <w:rsid w:val="00EC21EA"/>
    <w:rsid w:val="00EC2455"/>
    <w:rsid w:val="00EC261F"/>
    <w:rsid w:val="00EC2C0C"/>
    <w:rsid w:val="00EC2D5D"/>
    <w:rsid w:val="00EC2FC7"/>
    <w:rsid w:val="00EC3575"/>
    <w:rsid w:val="00EC383B"/>
    <w:rsid w:val="00EC3B6D"/>
    <w:rsid w:val="00EC3FDC"/>
    <w:rsid w:val="00EC42C8"/>
    <w:rsid w:val="00EC4D0D"/>
    <w:rsid w:val="00EC4E0B"/>
    <w:rsid w:val="00EC5D0C"/>
    <w:rsid w:val="00EC6AD0"/>
    <w:rsid w:val="00EC6EC2"/>
    <w:rsid w:val="00EC7FBF"/>
    <w:rsid w:val="00ED06C0"/>
    <w:rsid w:val="00ED0DE8"/>
    <w:rsid w:val="00ED102C"/>
    <w:rsid w:val="00ED10E5"/>
    <w:rsid w:val="00ED1211"/>
    <w:rsid w:val="00ED13F9"/>
    <w:rsid w:val="00ED1634"/>
    <w:rsid w:val="00ED175F"/>
    <w:rsid w:val="00ED197A"/>
    <w:rsid w:val="00ED2279"/>
    <w:rsid w:val="00ED2338"/>
    <w:rsid w:val="00ED323F"/>
    <w:rsid w:val="00ED3258"/>
    <w:rsid w:val="00ED38CC"/>
    <w:rsid w:val="00ED3F0E"/>
    <w:rsid w:val="00ED411B"/>
    <w:rsid w:val="00ED4480"/>
    <w:rsid w:val="00ED4592"/>
    <w:rsid w:val="00ED4EC7"/>
    <w:rsid w:val="00ED627A"/>
    <w:rsid w:val="00ED64B5"/>
    <w:rsid w:val="00ED656A"/>
    <w:rsid w:val="00ED6C77"/>
    <w:rsid w:val="00ED6CDC"/>
    <w:rsid w:val="00ED734E"/>
    <w:rsid w:val="00ED77C1"/>
    <w:rsid w:val="00EE00FF"/>
    <w:rsid w:val="00EE0B2B"/>
    <w:rsid w:val="00EE1126"/>
    <w:rsid w:val="00EE11C2"/>
    <w:rsid w:val="00EE14FF"/>
    <w:rsid w:val="00EE187E"/>
    <w:rsid w:val="00EE2D9C"/>
    <w:rsid w:val="00EE32B9"/>
    <w:rsid w:val="00EE3B5F"/>
    <w:rsid w:val="00EE4329"/>
    <w:rsid w:val="00EE4437"/>
    <w:rsid w:val="00EE5293"/>
    <w:rsid w:val="00EE547C"/>
    <w:rsid w:val="00EE560B"/>
    <w:rsid w:val="00EE58B1"/>
    <w:rsid w:val="00EE5A6F"/>
    <w:rsid w:val="00EE5AF7"/>
    <w:rsid w:val="00EE5FF2"/>
    <w:rsid w:val="00EE71D9"/>
    <w:rsid w:val="00EE7515"/>
    <w:rsid w:val="00EF02DA"/>
    <w:rsid w:val="00EF0459"/>
    <w:rsid w:val="00EF1EBA"/>
    <w:rsid w:val="00EF1F09"/>
    <w:rsid w:val="00EF1FB6"/>
    <w:rsid w:val="00EF2EDD"/>
    <w:rsid w:val="00EF2EE6"/>
    <w:rsid w:val="00EF3020"/>
    <w:rsid w:val="00EF361E"/>
    <w:rsid w:val="00EF3643"/>
    <w:rsid w:val="00EF4306"/>
    <w:rsid w:val="00EF4543"/>
    <w:rsid w:val="00EF454C"/>
    <w:rsid w:val="00EF4C6C"/>
    <w:rsid w:val="00EF52C7"/>
    <w:rsid w:val="00EF5543"/>
    <w:rsid w:val="00EF586A"/>
    <w:rsid w:val="00EF58F9"/>
    <w:rsid w:val="00EF6289"/>
    <w:rsid w:val="00EF6933"/>
    <w:rsid w:val="00EF6BC9"/>
    <w:rsid w:val="00EF6D46"/>
    <w:rsid w:val="00F00BB8"/>
    <w:rsid w:val="00F00C0C"/>
    <w:rsid w:val="00F01098"/>
    <w:rsid w:val="00F01B50"/>
    <w:rsid w:val="00F024AA"/>
    <w:rsid w:val="00F025AA"/>
    <w:rsid w:val="00F03AE9"/>
    <w:rsid w:val="00F03C07"/>
    <w:rsid w:val="00F0593A"/>
    <w:rsid w:val="00F0617E"/>
    <w:rsid w:val="00F06380"/>
    <w:rsid w:val="00F06811"/>
    <w:rsid w:val="00F068CB"/>
    <w:rsid w:val="00F072AA"/>
    <w:rsid w:val="00F07395"/>
    <w:rsid w:val="00F073F4"/>
    <w:rsid w:val="00F07BB0"/>
    <w:rsid w:val="00F100B2"/>
    <w:rsid w:val="00F11350"/>
    <w:rsid w:val="00F1234F"/>
    <w:rsid w:val="00F127B5"/>
    <w:rsid w:val="00F12D9B"/>
    <w:rsid w:val="00F13308"/>
    <w:rsid w:val="00F13C3B"/>
    <w:rsid w:val="00F13F45"/>
    <w:rsid w:val="00F14ACA"/>
    <w:rsid w:val="00F15527"/>
    <w:rsid w:val="00F15933"/>
    <w:rsid w:val="00F16346"/>
    <w:rsid w:val="00F16669"/>
    <w:rsid w:val="00F16B4F"/>
    <w:rsid w:val="00F16DF9"/>
    <w:rsid w:val="00F16F42"/>
    <w:rsid w:val="00F17E0E"/>
    <w:rsid w:val="00F20335"/>
    <w:rsid w:val="00F2056D"/>
    <w:rsid w:val="00F205D0"/>
    <w:rsid w:val="00F2060B"/>
    <w:rsid w:val="00F20F7B"/>
    <w:rsid w:val="00F2157B"/>
    <w:rsid w:val="00F2169B"/>
    <w:rsid w:val="00F21DB6"/>
    <w:rsid w:val="00F222C2"/>
    <w:rsid w:val="00F226F0"/>
    <w:rsid w:val="00F22CA4"/>
    <w:rsid w:val="00F22DEA"/>
    <w:rsid w:val="00F23215"/>
    <w:rsid w:val="00F2330C"/>
    <w:rsid w:val="00F23868"/>
    <w:rsid w:val="00F2478E"/>
    <w:rsid w:val="00F24D2E"/>
    <w:rsid w:val="00F24ED0"/>
    <w:rsid w:val="00F2511C"/>
    <w:rsid w:val="00F25B18"/>
    <w:rsid w:val="00F25C55"/>
    <w:rsid w:val="00F25DA7"/>
    <w:rsid w:val="00F264A9"/>
    <w:rsid w:val="00F265FE"/>
    <w:rsid w:val="00F26E35"/>
    <w:rsid w:val="00F27BF4"/>
    <w:rsid w:val="00F27F65"/>
    <w:rsid w:val="00F3058E"/>
    <w:rsid w:val="00F305F4"/>
    <w:rsid w:val="00F30732"/>
    <w:rsid w:val="00F30C3F"/>
    <w:rsid w:val="00F31473"/>
    <w:rsid w:val="00F31A13"/>
    <w:rsid w:val="00F32170"/>
    <w:rsid w:val="00F32521"/>
    <w:rsid w:val="00F32627"/>
    <w:rsid w:val="00F33EEE"/>
    <w:rsid w:val="00F3427C"/>
    <w:rsid w:val="00F3482A"/>
    <w:rsid w:val="00F356BD"/>
    <w:rsid w:val="00F37014"/>
    <w:rsid w:val="00F37017"/>
    <w:rsid w:val="00F37044"/>
    <w:rsid w:val="00F37753"/>
    <w:rsid w:val="00F400D3"/>
    <w:rsid w:val="00F40183"/>
    <w:rsid w:val="00F403D5"/>
    <w:rsid w:val="00F415A5"/>
    <w:rsid w:val="00F41892"/>
    <w:rsid w:val="00F41E39"/>
    <w:rsid w:val="00F421BB"/>
    <w:rsid w:val="00F42233"/>
    <w:rsid w:val="00F4245F"/>
    <w:rsid w:val="00F424D2"/>
    <w:rsid w:val="00F4256A"/>
    <w:rsid w:val="00F42782"/>
    <w:rsid w:val="00F42F23"/>
    <w:rsid w:val="00F435EC"/>
    <w:rsid w:val="00F43CA0"/>
    <w:rsid w:val="00F44BAB"/>
    <w:rsid w:val="00F45F42"/>
    <w:rsid w:val="00F46460"/>
    <w:rsid w:val="00F46C21"/>
    <w:rsid w:val="00F46D81"/>
    <w:rsid w:val="00F47A9E"/>
    <w:rsid w:val="00F47EBE"/>
    <w:rsid w:val="00F47FDE"/>
    <w:rsid w:val="00F50C19"/>
    <w:rsid w:val="00F510D0"/>
    <w:rsid w:val="00F51334"/>
    <w:rsid w:val="00F518D6"/>
    <w:rsid w:val="00F51B96"/>
    <w:rsid w:val="00F5227F"/>
    <w:rsid w:val="00F529C2"/>
    <w:rsid w:val="00F53212"/>
    <w:rsid w:val="00F5349C"/>
    <w:rsid w:val="00F5401B"/>
    <w:rsid w:val="00F54D57"/>
    <w:rsid w:val="00F5505C"/>
    <w:rsid w:val="00F554F6"/>
    <w:rsid w:val="00F55603"/>
    <w:rsid w:val="00F55A19"/>
    <w:rsid w:val="00F56086"/>
    <w:rsid w:val="00F568D1"/>
    <w:rsid w:val="00F56D74"/>
    <w:rsid w:val="00F57090"/>
    <w:rsid w:val="00F579B9"/>
    <w:rsid w:val="00F6086B"/>
    <w:rsid w:val="00F60D40"/>
    <w:rsid w:val="00F60EED"/>
    <w:rsid w:val="00F60F0F"/>
    <w:rsid w:val="00F611F8"/>
    <w:rsid w:val="00F617A6"/>
    <w:rsid w:val="00F618F4"/>
    <w:rsid w:val="00F62A08"/>
    <w:rsid w:val="00F63344"/>
    <w:rsid w:val="00F635BF"/>
    <w:rsid w:val="00F6385E"/>
    <w:rsid w:val="00F63883"/>
    <w:rsid w:val="00F6392B"/>
    <w:rsid w:val="00F64437"/>
    <w:rsid w:val="00F647DE"/>
    <w:rsid w:val="00F64A30"/>
    <w:rsid w:val="00F64F04"/>
    <w:rsid w:val="00F6546B"/>
    <w:rsid w:val="00F6567D"/>
    <w:rsid w:val="00F659BA"/>
    <w:rsid w:val="00F664EA"/>
    <w:rsid w:val="00F6669C"/>
    <w:rsid w:val="00F67D77"/>
    <w:rsid w:val="00F67F8A"/>
    <w:rsid w:val="00F703D6"/>
    <w:rsid w:val="00F703FB"/>
    <w:rsid w:val="00F70931"/>
    <w:rsid w:val="00F70ED7"/>
    <w:rsid w:val="00F71452"/>
    <w:rsid w:val="00F7178B"/>
    <w:rsid w:val="00F72682"/>
    <w:rsid w:val="00F7315E"/>
    <w:rsid w:val="00F735D3"/>
    <w:rsid w:val="00F75D8C"/>
    <w:rsid w:val="00F76C65"/>
    <w:rsid w:val="00F772CC"/>
    <w:rsid w:val="00F77456"/>
    <w:rsid w:val="00F77603"/>
    <w:rsid w:val="00F77CDC"/>
    <w:rsid w:val="00F8031B"/>
    <w:rsid w:val="00F803E6"/>
    <w:rsid w:val="00F80927"/>
    <w:rsid w:val="00F80940"/>
    <w:rsid w:val="00F80E2D"/>
    <w:rsid w:val="00F81353"/>
    <w:rsid w:val="00F81366"/>
    <w:rsid w:val="00F81AB7"/>
    <w:rsid w:val="00F81B4B"/>
    <w:rsid w:val="00F82A87"/>
    <w:rsid w:val="00F8346A"/>
    <w:rsid w:val="00F834DC"/>
    <w:rsid w:val="00F8439D"/>
    <w:rsid w:val="00F847EF"/>
    <w:rsid w:val="00F8488A"/>
    <w:rsid w:val="00F84929"/>
    <w:rsid w:val="00F84AF7"/>
    <w:rsid w:val="00F84D6A"/>
    <w:rsid w:val="00F85D50"/>
    <w:rsid w:val="00F865BE"/>
    <w:rsid w:val="00F86C2E"/>
    <w:rsid w:val="00F87367"/>
    <w:rsid w:val="00F875CF"/>
    <w:rsid w:val="00F87C96"/>
    <w:rsid w:val="00F87D3E"/>
    <w:rsid w:val="00F87F4E"/>
    <w:rsid w:val="00F901DA"/>
    <w:rsid w:val="00F905D6"/>
    <w:rsid w:val="00F90823"/>
    <w:rsid w:val="00F90C99"/>
    <w:rsid w:val="00F918B0"/>
    <w:rsid w:val="00F921EB"/>
    <w:rsid w:val="00F9253B"/>
    <w:rsid w:val="00F92C45"/>
    <w:rsid w:val="00F92C6B"/>
    <w:rsid w:val="00F92DB2"/>
    <w:rsid w:val="00F93367"/>
    <w:rsid w:val="00F9341B"/>
    <w:rsid w:val="00F93574"/>
    <w:rsid w:val="00F93E74"/>
    <w:rsid w:val="00F93F68"/>
    <w:rsid w:val="00F9444E"/>
    <w:rsid w:val="00F9467D"/>
    <w:rsid w:val="00F94EC8"/>
    <w:rsid w:val="00F95A0E"/>
    <w:rsid w:val="00F97601"/>
    <w:rsid w:val="00F9771E"/>
    <w:rsid w:val="00F97B2A"/>
    <w:rsid w:val="00FA04CC"/>
    <w:rsid w:val="00FA0823"/>
    <w:rsid w:val="00FA08BB"/>
    <w:rsid w:val="00FA09A6"/>
    <w:rsid w:val="00FA1225"/>
    <w:rsid w:val="00FA2259"/>
    <w:rsid w:val="00FA25FE"/>
    <w:rsid w:val="00FA2FCD"/>
    <w:rsid w:val="00FA3791"/>
    <w:rsid w:val="00FA4599"/>
    <w:rsid w:val="00FA4702"/>
    <w:rsid w:val="00FA63FB"/>
    <w:rsid w:val="00FA7336"/>
    <w:rsid w:val="00FA753E"/>
    <w:rsid w:val="00FB004F"/>
    <w:rsid w:val="00FB0475"/>
    <w:rsid w:val="00FB0641"/>
    <w:rsid w:val="00FB0680"/>
    <w:rsid w:val="00FB0BDD"/>
    <w:rsid w:val="00FB195F"/>
    <w:rsid w:val="00FB3203"/>
    <w:rsid w:val="00FB3944"/>
    <w:rsid w:val="00FB3AEE"/>
    <w:rsid w:val="00FB3B59"/>
    <w:rsid w:val="00FB3FE3"/>
    <w:rsid w:val="00FB40E5"/>
    <w:rsid w:val="00FB46C1"/>
    <w:rsid w:val="00FB539C"/>
    <w:rsid w:val="00FB59ED"/>
    <w:rsid w:val="00FB6A07"/>
    <w:rsid w:val="00FB705C"/>
    <w:rsid w:val="00FB75A2"/>
    <w:rsid w:val="00FB7A44"/>
    <w:rsid w:val="00FB7D8B"/>
    <w:rsid w:val="00FB7FF2"/>
    <w:rsid w:val="00FC0207"/>
    <w:rsid w:val="00FC1D35"/>
    <w:rsid w:val="00FC1DAD"/>
    <w:rsid w:val="00FC1DBB"/>
    <w:rsid w:val="00FC1E0C"/>
    <w:rsid w:val="00FC1EAC"/>
    <w:rsid w:val="00FC1ED4"/>
    <w:rsid w:val="00FC245F"/>
    <w:rsid w:val="00FC265B"/>
    <w:rsid w:val="00FC2A8F"/>
    <w:rsid w:val="00FC2EE7"/>
    <w:rsid w:val="00FC300A"/>
    <w:rsid w:val="00FC341F"/>
    <w:rsid w:val="00FC38FF"/>
    <w:rsid w:val="00FC391B"/>
    <w:rsid w:val="00FC3A81"/>
    <w:rsid w:val="00FC4218"/>
    <w:rsid w:val="00FC4571"/>
    <w:rsid w:val="00FC4D1D"/>
    <w:rsid w:val="00FC4DFC"/>
    <w:rsid w:val="00FC4E1B"/>
    <w:rsid w:val="00FC5502"/>
    <w:rsid w:val="00FC5A57"/>
    <w:rsid w:val="00FC5CA6"/>
    <w:rsid w:val="00FC5EEC"/>
    <w:rsid w:val="00FC61C5"/>
    <w:rsid w:val="00FC657B"/>
    <w:rsid w:val="00FC71EE"/>
    <w:rsid w:val="00FC7EDE"/>
    <w:rsid w:val="00FD0A06"/>
    <w:rsid w:val="00FD0B7B"/>
    <w:rsid w:val="00FD0EA4"/>
    <w:rsid w:val="00FD157E"/>
    <w:rsid w:val="00FD17F1"/>
    <w:rsid w:val="00FD2830"/>
    <w:rsid w:val="00FD2B6D"/>
    <w:rsid w:val="00FD2CF3"/>
    <w:rsid w:val="00FD2E53"/>
    <w:rsid w:val="00FD3088"/>
    <w:rsid w:val="00FD30DA"/>
    <w:rsid w:val="00FD34C7"/>
    <w:rsid w:val="00FD38BA"/>
    <w:rsid w:val="00FD409F"/>
    <w:rsid w:val="00FD4274"/>
    <w:rsid w:val="00FD4BD3"/>
    <w:rsid w:val="00FD4BDA"/>
    <w:rsid w:val="00FD5192"/>
    <w:rsid w:val="00FD5639"/>
    <w:rsid w:val="00FD5C90"/>
    <w:rsid w:val="00FD6163"/>
    <w:rsid w:val="00FD667D"/>
    <w:rsid w:val="00FD6EFC"/>
    <w:rsid w:val="00FD6F35"/>
    <w:rsid w:val="00FD7595"/>
    <w:rsid w:val="00FD7946"/>
    <w:rsid w:val="00FD7969"/>
    <w:rsid w:val="00FD7991"/>
    <w:rsid w:val="00FD7E16"/>
    <w:rsid w:val="00FE0471"/>
    <w:rsid w:val="00FE0C70"/>
    <w:rsid w:val="00FE1323"/>
    <w:rsid w:val="00FE2109"/>
    <w:rsid w:val="00FE2895"/>
    <w:rsid w:val="00FE2D74"/>
    <w:rsid w:val="00FE2F44"/>
    <w:rsid w:val="00FE36D8"/>
    <w:rsid w:val="00FE3981"/>
    <w:rsid w:val="00FE3DE7"/>
    <w:rsid w:val="00FE5C5E"/>
    <w:rsid w:val="00FE5F3F"/>
    <w:rsid w:val="00FE61ED"/>
    <w:rsid w:val="00FE66AE"/>
    <w:rsid w:val="00FE7843"/>
    <w:rsid w:val="00FF057E"/>
    <w:rsid w:val="00FF063F"/>
    <w:rsid w:val="00FF0A37"/>
    <w:rsid w:val="00FF0FAE"/>
    <w:rsid w:val="00FF29F5"/>
    <w:rsid w:val="00FF2B63"/>
    <w:rsid w:val="00FF33C1"/>
    <w:rsid w:val="00FF36E5"/>
    <w:rsid w:val="00FF406A"/>
    <w:rsid w:val="00FF45A3"/>
    <w:rsid w:val="00FF4DD0"/>
    <w:rsid w:val="00FF604D"/>
    <w:rsid w:val="00FF608B"/>
    <w:rsid w:val="00FF60E2"/>
    <w:rsid w:val="00FF68CA"/>
    <w:rsid w:val="00FF6BAD"/>
    <w:rsid w:val="00FF6D75"/>
    <w:rsid w:val="00FF779A"/>
    <w:rsid w:val="00FF7828"/>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table of figures" w:uiPriority="99"/>
    <w:lsdException w:name="annotation reference" w:uiPriority="99"/>
    <w:lsdException w:name="endnote reference" w:uiPriority="99"/>
    <w:lsdException w:name="Subtitle" w:qFormat="1"/>
    <w:lsdException w:name="Strong" w:qFormat="1"/>
    <w:lsdException w:name="Emphasis" w:qFormat="1"/>
    <w:lsdException w:name="Table Grid" w:uiPriority="59"/>
    <w:lsdException w:name="No Spacing" w:uiPriority="99" w:qFormat="1"/>
    <w:lsdException w:name="Colorful List" w:uiPriority="34" w:qFormat="1"/>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79C3"/>
    <w:rPr>
      <w:rFonts w:ascii="Times New Roman" w:hAnsi="Times New Roman"/>
      <w:sz w:val="24"/>
      <w:szCs w:val="24"/>
    </w:rPr>
  </w:style>
  <w:style w:type="paragraph" w:styleId="Heading1">
    <w:name w:val="heading 1"/>
    <w:aliases w:val="Heading 1 - MSP TE,Heading 1 - Centered"/>
    <w:basedOn w:val="Normal"/>
    <w:next w:val="BodyText"/>
    <w:link w:val="Heading1Char"/>
    <w:qFormat/>
    <w:rsid w:val="00C77A5D"/>
    <w:pPr>
      <w:keepNext/>
      <w:numPr>
        <w:numId w:val="3"/>
      </w:numPr>
      <w:spacing w:after="120"/>
      <w:outlineLvl w:val="0"/>
    </w:pPr>
    <w:rPr>
      <w:rFonts w:ascii="Calibri" w:hAnsi="Calibri"/>
      <w:b/>
      <w:bCs/>
      <w:sz w:val="28"/>
    </w:rPr>
  </w:style>
  <w:style w:type="paragraph" w:styleId="Heading2">
    <w:name w:val="heading 2"/>
    <w:aliases w:val="Heading 2 - TE Report,Heading 2 - QoS Template,Heading 2 Char Char Char"/>
    <w:basedOn w:val="Heading1"/>
    <w:next w:val="BodyText"/>
    <w:link w:val="Heading2Char"/>
    <w:qFormat/>
    <w:rsid w:val="00C77A5D"/>
    <w:pPr>
      <w:numPr>
        <w:ilvl w:val="1"/>
      </w:numPr>
      <w:tabs>
        <w:tab w:val="left" w:pos="-306"/>
        <w:tab w:val="left" w:pos="816"/>
        <w:tab w:val="left" w:pos="1326"/>
        <w:tab w:val="left" w:pos="1836"/>
        <w:tab w:val="left" w:pos="2346"/>
        <w:tab w:val="left" w:pos="5160"/>
        <w:tab w:val="left" w:pos="6960"/>
      </w:tabs>
      <w:suppressAutoHyphens/>
      <w:outlineLvl w:val="1"/>
    </w:pPr>
    <w:rPr>
      <w:bCs w:val="0"/>
    </w:rPr>
  </w:style>
  <w:style w:type="paragraph" w:styleId="Heading3">
    <w:name w:val="heading 3"/>
    <w:basedOn w:val="Normal"/>
    <w:next w:val="BodyText"/>
    <w:link w:val="Heading3Char"/>
    <w:qFormat/>
    <w:rsid w:val="008F7D83"/>
    <w:pPr>
      <w:keepNext/>
      <w:numPr>
        <w:ilvl w:val="2"/>
        <w:numId w:val="3"/>
      </w:numPr>
      <w:spacing w:before="240" w:after="60"/>
      <w:outlineLvl w:val="2"/>
    </w:pPr>
    <w:rPr>
      <w:rFonts w:ascii="Calibri" w:hAnsi="Calibri"/>
      <w:b/>
      <w:bCs/>
      <w:szCs w:val="26"/>
    </w:rPr>
  </w:style>
  <w:style w:type="paragraph" w:styleId="Heading4">
    <w:name w:val="heading 4"/>
    <w:basedOn w:val="Normal"/>
    <w:next w:val="Normal"/>
    <w:link w:val="Heading4Char"/>
    <w:qFormat/>
    <w:rsid w:val="00AE25B3"/>
    <w:pPr>
      <w:keepNext/>
      <w:tabs>
        <w:tab w:val="num" w:pos="2574"/>
      </w:tabs>
      <w:spacing w:before="240" w:after="60"/>
      <w:ind w:left="2574" w:hanging="864"/>
      <w:outlineLvl w:val="3"/>
    </w:pPr>
    <w:rPr>
      <w:rFonts w:ascii="Arial" w:hAnsi="Arial"/>
      <w:b/>
      <w:szCs w:val="20"/>
    </w:rPr>
  </w:style>
  <w:style w:type="paragraph" w:styleId="Heading5">
    <w:name w:val="heading 5"/>
    <w:basedOn w:val="Normal"/>
    <w:next w:val="Normal"/>
    <w:link w:val="Heading5Char"/>
    <w:qFormat/>
    <w:rsid w:val="00AE25B3"/>
    <w:pPr>
      <w:tabs>
        <w:tab w:val="num" w:pos="1008"/>
      </w:tabs>
      <w:spacing w:before="240" w:after="60"/>
      <w:ind w:left="1008" w:hanging="1008"/>
      <w:outlineLvl w:val="4"/>
    </w:pPr>
    <w:rPr>
      <w:sz w:val="22"/>
      <w:szCs w:val="20"/>
    </w:rPr>
  </w:style>
  <w:style w:type="paragraph" w:styleId="Heading6">
    <w:name w:val="heading 6"/>
    <w:basedOn w:val="Normal"/>
    <w:next w:val="Normal"/>
    <w:link w:val="Heading6Char"/>
    <w:qFormat/>
    <w:rsid w:val="00AE25B3"/>
    <w:pPr>
      <w:spacing w:before="240" w:after="60"/>
      <w:outlineLvl w:val="5"/>
    </w:pPr>
    <w:rPr>
      <w:b/>
      <w:bCs/>
      <w:kern w:val="28"/>
      <w:sz w:val="22"/>
      <w:szCs w:val="22"/>
    </w:rPr>
  </w:style>
  <w:style w:type="paragraph" w:styleId="Heading7">
    <w:name w:val="heading 7"/>
    <w:basedOn w:val="Normal"/>
    <w:next w:val="Normal"/>
    <w:link w:val="Heading7Char"/>
    <w:qFormat/>
    <w:rsid w:val="00AE25B3"/>
    <w:pPr>
      <w:tabs>
        <w:tab w:val="num" w:pos="1296"/>
      </w:tabs>
      <w:spacing w:before="240" w:after="60"/>
      <w:ind w:left="1296" w:hanging="1296"/>
      <w:outlineLvl w:val="6"/>
    </w:pPr>
    <w:rPr>
      <w:rFonts w:ascii="Arial" w:hAnsi="Arial"/>
      <w:sz w:val="20"/>
      <w:szCs w:val="20"/>
    </w:rPr>
  </w:style>
  <w:style w:type="paragraph" w:styleId="Heading8">
    <w:name w:val="heading 8"/>
    <w:basedOn w:val="Normal"/>
    <w:next w:val="Normal"/>
    <w:link w:val="Heading8Char"/>
    <w:qFormat/>
    <w:rsid w:val="00AE25B3"/>
    <w:pPr>
      <w:tabs>
        <w:tab w:val="num" w:pos="1440"/>
      </w:tabs>
      <w:spacing w:before="240" w:after="60"/>
      <w:ind w:left="1440" w:hanging="1440"/>
      <w:outlineLvl w:val="7"/>
    </w:pPr>
    <w:rPr>
      <w:rFonts w:ascii="Arial" w:hAnsi="Arial"/>
      <w:i/>
      <w:sz w:val="20"/>
      <w:szCs w:val="20"/>
    </w:rPr>
  </w:style>
  <w:style w:type="paragraph" w:styleId="Heading9">
    <w:name w:val="heading 9"/>
    <w:basedOn w:val="Normal"/>
    <w:next w:val="Normal"/>
    <w:link w:val="Heading9Char"/>
    <w:qFormat/>
    <w:rsid w:val="00AE25B3"/>
    <w:pPr>
      <w:tabs>
        <w:tab w:val="num" w:pos="1584"/>
      </w:tabs>
      <w:spacing w:before="240" w:after="60"/>
      <w:ind w:left="1584" w:hanging="1584"/>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020215"/>
    <w:rPr>
      <w:rFonts w:ascii="Lucida Grande" w:hAnsi="Lucida Grande"/>
      <w:sz w:val="18"/>
      <w:szCs w:val="18"/>
    </w:rPr>
  </w:style>
  <w:style w:type="character" w:customStyle="1" w:styleId="BalloonTextChar">
    <w:name w:val="Balloon Text Char"/>
    <w:link w:val="BalloonText"/>
    <w:semiHidden/>
    <w:rsid w:val="00020215"/>
    <w:rPr>
      <w:rFonts w:ascii="Lucida Grande" w:hAnsi="Lucida Grande"/>
      <w:sz w:val="18"/>
      <w:szCs w:val="18"/>
    </w:rPr>
  </w:style>
  <w:style w:type="numbering" w:customStyle="1" w:styleId="TEReportHeading1">
    <w:name w:val="TE Report Heading 1"/>
    <w:basedOn w:val="NoList"/>
    <w:uiPriority w:val="99"/>
    <w:rsid w:val="00C77A5D"/>
    <w:pPr>
      <w:numPr>
        <w:numId w:val="1"/>
      </w:numPr>
    </w:pPr>
  </w:style>
  <w:style w:type="character" w:customStyle="1" w:styleId="Heading1Char">
    <w:name w:val="Heading 1 Char"/>
    <w:aliases w:val="Heading 1 - MSP TE Char,Heading 1 - Centered Char"/>
    <w:link w:val="Heading1"/>
    <w:rsid w:val="00C77A5D"/>
    <w:rPr>
      <w:rFonts w:ascii="Calibri" w:hAnsi="Calibri"/>
      <w:b/>
      <w:bCs/>
      <w:sz w:val="28"/>
      <w:szCs w:val="24"/>
    </w:rPr>
  </w:style>
  <w:style w:type="paragraph" w:styleId="Caption">
    <w:name w:val="caption"/>
    <w:aliases w:val="Table Heading"/>
    <w:basedOn w:val="Normal"/>
    <w:next w:val="Normal"/>
    <w:qFormat/>
    <w:rsid w:val="008C1D06"/>
    <w:pPr>
      <w:keepNext/>
      <w:keepLines/>
      <w:spacing w:after="120"/>
    </w:pPr>
    <w:rPr>
      <w:rFonts w:ascii="Calibri" w:hAnsi="Calibri"/>
      <w:b/>
      <w:bCs/>
      <w:szCs w:val="20"/>
    </w:rPr>
  </w:style>
  <w:style w:type="paragraph" w:styleId="BodyText">
    <w:name w:val="Body Text"/>
    <w:aliases w:val="Body Text Numbered Paras,Szövegtörzs Char1,Szövegtörzs Char Char,Szövegtörzs Char Char Char Char Char,Szövegtörzs Char2,Szövegtörzs Char1 Char1,Szövegtörzs Char Char Char1,Szövegtörzs Char1 Char Char Char,Szövegtörzs Char Char1 Char,Char"/>
    <w:basedOn w:val="Normal"/>
    <w:link w:val="BodyTextChar"/>
    <w:rsid w:val="00C77A5D"/>
    <w:pPr>
      <w:numPr>
        <w:numId w:val="2"/>
      </w:numPr>
      <w:spacing w:after="60"/>
      <w:jc w:val="both"/>
    </w:pPr>
    <w:rPr>
      <w:rFonts w:ascii="Calibri" w:hAnsi="Calibri"/>
    </w:rPr>
  </w:style>
  <w:style w:type="character" w:customStyle="1" w:styleId="BodyTextChar">
    <w:name w:val="Body Text Char"/>
    <w:aliases w:val="Body Text Numbered Paras Char,Szövegtörzs Char1 Char,Szövegtörzs Char Char Char,Szövegtörzs Char Char Char Char Char Char,Szövegtörzs Char2 Char,Szövegtörzs Char1 Char1 Char,Szövegtörzs Char Char Char1 Char,Char Char"/>
    <w:link w:val="BodyText"/>
    <w:rsid w:val="00C77A5D"/>
    <w:rPr>
      <w:rFonts w:ascii="Calibri" w:hAnsi="Calibri"/>
      <w:sz w:val="24"/>
      <w:szCs w:val="24"/>
    </w:rPr>
  </w:style>
  <w:style w:type="character" w:customStyle="1" w:styleId="Heading2Char">
    <w:name w:val="Heading 2 Char"/>
    <w:aliases w:val="Heading 2 - TE Report Char,Heading 2 - QoS Template Char,Heading 2 Char Char Char Char"/>
    <w:link w:val="Heading2"/>
    <w:rsid w:val="00C77A5D"/>
    <w:rPr>
      <w:rFonts w:ascii="Calibri" w:hAnsi="Calibri"/>
      <w:b/>
      <w:sz w:val="28"/>
      <w:szCs w:val="24"/>
    </w:rPr>
  </w:style>
  <w:style w:type="paragraph" w:styleId="TableofFigures">
    <w:name w:val="table of figures"/>
    <w:basedOn w:val="Normal"/>
    <w:next w:val="Normal"/>
    <w:uiPriority w:val="99"/>
    <w:rsid w:val="000D2FE6"/>
    <w:pPr>
      <w:ind w:left="480" w:hanging="480"/>
    </w:pPr>
    <w:rPr>
      <w:rFonts w:ascii="Calibri" w:hAnsi="Calibri"/>
      <w:sz w:val="20"/>
    </w:rPr>
  </w:style>
  <w:style w:type="paragraph" w:styleId="TOC2">
    <w:name w:val="toc 2"/>
    <w:basedOn w:val="Normal"/>
    <w:next w:val="Normal"/>
    <w:uiPriority w:val="39"/>
    <w:rsid w:val="00352322"/>
    <w:pPr>
      <w:ind w:left="240"/>
    </w:pPr>
    <w:rPr>
      <w:rFonts w:ascii="Calibri" w:hAnsi="Calibri"/>
      <w:sz w:val="20"/>
      <w:szCs w:val="22"/>
    </w:rPr>
  </w:style>
  <w:style w:type="paragraph" w:styleId="TOC1">
    <w:name w:val="toc 1"/>
    <w:basedOn w:val="Normal"/>
    <w:next w:val="Normal"/>
    <w:uiPriority w:val="39"/>
    <w:rsid w:val="00352322"/>
    <w:rPr>
      <w:rFonts w:ascii="Calibri" w:hAnsi="Calibri"/>
      <w:sz w:val="20"/>
    </w:rPr>
  </w:style>
  <w:style w:type="character" w:customStyle="1" w:styleId="Heading3Char">
    <w:name w:val="Heading 3 Char"/>
    <w:link w:val="Heading3"/>
    <w:rsid w:val="008F7D83"/>
    <w:rPr>
      <w:rFonts w:ascii="Calibri" w:hAnsi="Calibri"/>
      <w:b/>
      <w:bCs/>
      <w:sz w:val="24"/>
      <w:szCs w:val="26"/>
    </w:rPr>
  </w:style>
  <w:style w:type="paragraph" w:styleId="TOC3">
    <w:name w:val="toc 3"/>
    <w:basedOn w:val="Normal"/>
    <w:next w:val="Normal"/>
    <w:uiPriority w:val="39"/>
    <w:rsid w:val="00352322"/>
    <w:pPr>
      <w:ind w:left="480"/>
    </w:pPr>
    <w:rPr>
      <w:rFonts w:ascii="Calibri" w:hAnsi="Calibri"/>
      <w:sz w:val="20"/>
      <w:szCs w:val="22"/>
    </w:rPr>
  </w:style>
  <w:style w:type="paragraph" w:styleId="FootnoteText">
    <w:name w:val="footnote text"/>
    <w:aliases w:val="Geneva 9,Font: Geneva 9,Boston 10,f,otnote Text,Footnote,ft,Testo nota a piè di pagina Carattere Carattere,Testo nota a piè di pagina Carattere,Testo nota a piè di pagina Carattere1 Carattere"/>
    <w:basedOn w:val="Normal"/>
    <w:link w:val="FootnoteTextChar"/>
    <w:unhideWhenUsed/>
    <w:rsid w:val="003C4883"/>
    <w:rPr>
      <w:rFonts w:ascii="Calibri" w:hAnsi="Calibri"/>
      <w:sz w:val="20"/>
    </w:rPr>
  </w:style>
  <w:style w:type="character" w:customStyle="1" w:styleId="FootnoteTextChar">
    <w:name w:val="Footnote Text Char"/>
    <w:aliases w:val="Geneva 9 Char,Font: Geneva 9 Char,Boston 10 Char,f Char,otnote Text Char,Footnote Char,ft Char,Testo nota a piè di pagina Carattere Carattere Char,Testo nota a piè di pagina Carattere Char"/>
    <w:link w:val="FootnoteText"/>
    <w:rsid w:val="003C4883"/>
    <w:rPr>
      <w:rFonts w:ascii="Calibri" w:hAnsi="Calibri"/>
      <w:szCs w:val="24"/>
    </w:rPr>
  </w:style>
  <w:style w:type="paragraph" w:customStyle="1" w:styleId="GEFPIFBodyTextNumberedPara">
    <w:name w:val="GEF PIF Body Text Numbered Para"/>
    <w:basedOn w:val="Normal"/>
    <w:qFormat/>
    <w:rsid w:val="00C77A5D"/>
    <w:pPr>
      <w:numPr>
        <w:numId w:val="4"/>
      </w:numPr>
    </w:pPr>
  </w:style>
  <w:style w:type="character" w:styleId="Hyperlink">
    <w:name w:val="Hyperlink"/>
    <w:unhideWhenUsed/>
    <w:rsid w:val="00A235F9"/>
    <w:rPr>
      <w:color w:val="0000FF"/>
      <w:u w:val="single"/>
    </w:rPr>
  </w:style>
  <w:style w:type="paragraph" w:styleId="Header">
    <w:name w:val="header"/>
    <w:basedOn w:val="Normal"/>
    <w:link w:val="HeaderChar"/>
    <w:unhideWhenUsed/>
    <w:rsid w:val="009F7251"/>
    <w:pPr>
      <w:tabs>
        <w:tab w:val="center" w:pos="4320"/>
        <w:tab w:val="right" w:pos="8640"/>
      </w:tabs>
    </w:pPr>
  </w:style>
  <w:style w:type="character" w:customStyle="1" w:styleId="HeaderChar">
    <w:name w:val="Header Char"/>
    <w:link w:val="Header"/>
    <w:rsid w:val="009F7251"/>
    <w:rPr>
      <w:rFonts w:ascii="Times New Roman" w:hAnsi="Times New Roman"/>
      <w:sz w:val="24"/>
      <w:szCs w:val="24"/>
    </w:rPr>
  </w:style>
  <w:style w:type="paragraph" w:styleId="Footer">
    <w:name w:val="footer"/>
    <w:basedOn w:val="Normal"/>
    <w:link w:val="FooterChar"/>
    <w:unhideWhenUsed/>
    <w:rsid w:val="009F7251"/>
    <w:pPr>
      <w:tabs>
        <w:tab w:val="center" w:pos="4320"/>
        <w:tab w:val="right" w:pos="8640"/>
      </w:tabs>
    </w:pPr>
  </w:style>
  <w:style w:type="character" w:customStyle="1" w:styleId="FooterChar">
    <w:name w:val="Footer Char"/>
    <w:link w:val="Footer"/>
    <w:rsid w:val="009F7251"/>
    <w:rPr>
      <w:rFonts w:ascii="Times New Roman" w:hAnsi="Times New Roman"/>
      <w:sz w:val="24"/>
      <w:szCs w:val="24"/>
    </w:rPr>
  </w:style>
  <w:style w:type="paragraph" w:customStyle="1" w:styleId="Tablebullets">
    <w:name w:val="Table bullets"/>
    <w:basedOn w:val="Normal"/>
    <w:rsid w:val="00DC314A"/>
    <w:pPr>
      <w:tabs>
        <w:tab w:val="left" w:pos="142"/>
      </w:tabs>
      <w:spacing w:before="40" w:after="20"/>
      <w:ind w:right="28"/>
      <w:jc w:val="both"/>
    </w:pPr>
    <w:rPr>
      <w:snapToGrid w:val="0"/>
      <w:sz w:val="18"/>
      <w:szCs w:val="18"/>
    </w:rPr>
  </w:style>
  <w:style w:type="paragraph" w:customStyle="1" w:styleId="TableinArialNarrow">
    <w:name w:val="Table in Arial Narrow"/>
    <w:basedOn w:val="Normal"/>
    <w:rsid w:val="00DC314A"/>
    <w:pPr>
      <w:tabs>
        <w:tab w:val="left" w:pos="425"/>
        <w:tab w:val="left" w:pos="567"/>
        <w:tab w:val="left" w:pos="709"/>
      </w:tabs>
      <w:spacing w:before="40" w:after="20"/>
      <w:ind w:left="28" w:right="28"/>
      <w:jc w:val="both"/>
    </w:pPr>
    <w:rPr>
      <w:rFonts w:ascii="Arial Narrow" w:hAnsi="Arial Narrow"/>
      <w:snapToGrid w:val="0"/>
      <w:sz w:val="20"/>
      <w:szCs w:val="20"/>
      <w:lang w:val="en-GB"/>
    </w:rPr>
  </w:style>
  <w:style w:type="character" w:styleId="FootnoteReference">
    <w:name w:val="footnote reference"/>
    <w:aliases w:val="16 Point,Superscript 6 Point,Superscript 6 Point + 11 pt"/>
    <w:rsid w:val="003C74CE"/>
    <w:rPr>
      <w:sz w:val="24"/>
      <w:vertAlign w:val="superscript"/>
    </w:rPr>
  </w:style>
  <w:style w:type="table" w:styleId="TableGrid">
    <w:name w:val="Table Grid"/>
    <w:basedOn w:val="TableNormal"/>
    <w:uiPriority w:val="59"/>
    <w:rsid w:val="001C131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qFormat/>
    <w:rsid w:val="00DA5AA5"/>
    <w:pPr>
      <w:numPr>
        <w:numId w:val="6"/>
      </w:numPr>
      <w:contextualSpacing/>
    </w:pPr>
  </w:style>
  <w:style w:type="paragraph" w:styleId="TOC4">
    <w:name w:val="toc 4"/>
    <w:basedOn w:val="Normal"/>
    <w:next w:val="Normal"/>
    <w:autoRedefine/>
    <w:uiPriority w:val="39"/>
    <w:rsid w:val="00F67F8A"/>
    <w:pPr>
      <w:ind w:left="720"/>
    </w:pPr>
  </w:style>
  <w:style w:type="paragraph" w:styleId="TOC5">
    <w:name w:val="toc 5"/>
    <w:basedOn w:val="Normal"/>
    <w:next w:val="Normal"/>
    <w:autoRedefine/>
    <w:uiPriority w:val="39"/>
    <w:rsid w:val="00F67F8A"/>
    <w:pPr>
      <w:ind w:left="960"/>
    </w:pPr>
  </w:style>
  <w:style w:type="paragraph" w:styleId="TOC6">
    <w:name w:val="toc 6"/>
    <w:basedOn w:val="Normal"/>
    <w:next w:val="Normal"/>
    <w:autoRedefine/>
    <w:uiPriority w:val="39"/>
    <w:rsid w:val="00F67F8A"/>
    <w:pPr>
      <w:ind w:left="1200"/>
    </w:pPr>
  </w:style>
  <w:style w:type="paragraph" w:styleId="TOC7">
    <w:name w:val="toc 7"/>
    <w:basedOn w:val="Normal"/>
    <w:next w:val="Normal"/>
    <w:autoRedefine/>
    <w:uiPriority w:val="39"/>
    <w:rsid w:val="00F67F8A"/>
    <w:pPr>
      <w:ind w:left="1440"/>
    </w:pPr>
  </w:style>
  <w:style w:type="paragraph" w:styleId="TOC8">
    <w:name w:val="toc 8"/>
    <w:basedOn w:val="Normal"/>
    <w:next w:val="Normal"/>
    <w:autoRedefine/>
    <w:uiPriority w:val="39"/>
    <w:rsid w:val="00F67F8A"/>
    <w:pPr>
      <w:ind w:left="1680"/>
    </w:pPr>
  </w:style>
  <w:style w:type="paragraph" w:styleId="TOC9">
    <w:name w:val="toc 9"/>
    <w:basedOn w:val="Normal"/>
    <w:next w:val="Normal"/>
    <w:autoRedefine/>
    <w:uiPriority w:val="39"/>
    <w:rsid w:val="00F67F8A"/>
    <w:pPr>
      <w:ind w:left="1920"/>
    </w:pPr>
  </w:style>
  <w:style w:type="character" w:styleId="PageNumber">
    <w:name w:val="page number"/>
    <w:basedOn w:val="DefaultParagraphFont"/>
    <w:rsid w:val="00A35372"/>
  </w:style>
  <w:style w:type="paragraph" w:customStyle="1" w:styleId="Normalbullets">
    <w:name w:val="Normal bullets"/>
    <w:basedOn w:val="Normal"/>
    <w:next w:val="Normal"/>
    <w:rsid w:val="002A1AE2"/>
    <w:pPr>
      <w:numPr>
        <w:numId w:val="5"/>
      </w:numPr>
      <w:tabs>
        <w:tab w:val="left" w:pos="426"/>
      </w:tabs>
      <w:spacing w:before="60" w:line="264" w:lineRule="auto"/>
      <w:jc w:val="both"/>
    </w:pPr>
    <w:rPr>
      <w:sz w:val="22"/>
    </w:rPr>
  </w:style>
  <w:style w:type="character" w:styleId="Emphasis">
    <w:name w:val="Emphasis"/>
    <w:qFormat/>
    <w:rsid w:val="002A1AE2"/>
    <w:rPr>
      <w:i/>
      <w:iCs/>
    </w:rPr>
  </w:style>
  <w:style w:type="character" w:styleId="CommentReference">
    <w:name w:val="annotation reference"/>
    <w:uiPriority w:val="99"/>
    <w:rsid w:val="0024070F"/>
    <w:rPr>
      <w:sz w:val="18"/>
      <w:szCs w:val="18"/>
    </w:rPr>
  </w:style>
  <w:style w:type="paragraph" w:styleId="CommentText">
    <w:name w:val="annotation text"/>
    <w:basedOn w:val="Normal"/>
    <w:link w:val="CommentTextChar"/>
    <w:uiPriority w:val="99"/>
    <w:rsid w:val="0024070F"/>
  </w:style>
  <w:style w:type="character" w:customStyle="1" w:styleId="CommentTextChar">
    <w:name w:val="Comment Text Char"/>
    <w:link w:val="CommentText"/>
    <w:uiPriority w:val="99"/>
    <w:rsid w:val="0024070F"/>
    <w:rPr>
      <w:rFonts w:ascii="Times New Roman" w:hAnsi="Times New Roman"/>
    </w:rPr>
  </w:style>
  <w:style w:type="paragraph" w:styleId="CommentSubject">
    <w:name w:val="annotation subject"/>
    <w:basedOn w:val="CommentText"/>
    <w:next w:val="CommentText"/>
    <w:link w:val="CommentSubjectChar"/>
    <w:rsid w:val="0024070F"/>
    <w:rPr>
      <w:b/>
      <w:bCs/>
      <w:sz w:val="20"/>
      <w:szCs w:val="20"/>
    </w:rPr>
  </w:style>
  <w:style w:type="character" w:customStyle="1" w:styleId="CommentSubjectChar">
    <w:name w:val="Comment Subject Char"/>
    <w:link w:val="CommentSubject"/>
    <w:rsid w:val="0024070F"/>
    <w:rPr>
      <w:rFonts w:ascii="Times New Roman" w:hAnsi="Times New Roman"/>
      <w:b/>
      <w:bCs/>
      <w:sz w:val="20"/>
      <w:szCs w:val="20"/>
    </w:rPr>
  </w:style>
  <w:style w:type="paragraph" w:styleId="BodyText2">
    <w:name w:val="Body Text 2"/>
    <w:basedOn w:val="Normal"/>
    <w:link w:val="BodyText2Char"/>
    <w:rsid w:val="00AE25B3"/>
    <w:pPr>
      <w:spacing w:after="120" w:line="480" w:lineRule="auto"/>
    </w:pPr>
  </w:style>
  <w:style w:type="character" w:customStyle="1" w:styleId="BodyText2Char">
    <w:name w:val="Body Text 2 Char"/>
    <w:link w:val="BodyText2"/>
    <w:rsid w:val="00AE25B3"/>
    <w:rPr>
      <w:rFonts w:ascii="Times New Roman" w:hAnsi="Times New Roman"/>
    </w:rPr>
  </w:style>
  <w:style w:type="character" w:customStyle="1" w:styleId="Heading4Char">
    <w:name w:val="Heading 4 Char"/>
    <w:link w:val="Heading4"/>
    <w:rsid w:val="00AE25B3"/>
    <w:rPr>
      <w:rFonts w:ascii="Arial" w:hAnsi="Arial"/>
      <w:b/>
      <w:szCs w:val="20"/>
    </w:rPr>
  </w:style>
  <w:style w:type="character" w:customStyle="1" w:styleId="Heading5Char">
    <w:name w:val="Heading 5 Char"/>
    <w:link w:val="Heading5"/>
    <w:rsid w:val="00AE25B3"/>
    <w:rPr>
      <w:rFonts w:ascii="Times New Roman" w:hAnsi="Times New Roman"/>
      <w:sz w:val="22"/>
      <w:szCs w:val="20"/>
    </w:rPr>
  </w:style>
  <w:style w:type="character" w:customStyle="1" w:styleId="Heading6Char">
    <w:name w:val="Heading 6 Char"/>
    <w:link w:val="Heading6"/>
    <w:rsid w:val="00AE25B3"/>
    <w:rPr>
      <w:rFonts w:ascii="Times New Roman" w:hAnsi="Times New Roman"/>
      <w:b/>
      <w:bCs/>
      <w:kern w:val="28"/>
      <w:sz w:val="22"/>
      <w:szCs w:val="22"/>
    </w:rPr>
  </w:style>
  <w:style w:type="character" w:customStyle="1" w:styleId="Heading7Char">
    <w:name w:val="Heading 7 Char"/>
    <w:link w:val="Heading7"/>
    <w:rsid w:val="00AE25B3"/>
    <w:rPr>
      <w:rFonts w:ascii="Arial" w:hAnsi="Arial"/>
      <w:sz w:val="20"/>
      <w:szCs w:val="20"/>
    </w:rPr>
  </w:style>
  <w:style w:type="character" w:customStyle="1" w:styleId="Heading8Char">
    <w:name w:val="Heading 8 Char"/>
    <w:link w:val="Heading8"/>
    <w:rsid w:val="00AE25B3"/>
    <w:rPr>
      <w:rFonts w:ascii="Arial" w:hAnsi="Arial"/>
      <w:i/>
      <w:sz w:val="20"/>
      <w:szCs w:val="20"/>
    </w:rPr>
  </w:style>
  <w:style w:type="character" w:customStyle="1" w:styleId="Heading9Char">
    <w:name w:val="Heading 9 Char"/>
    <w:link w:val="Heading9"/>
    <w:rsid w:val="00AE25B3"/>
    <w:rPr>
      <w:rFonts w:ascii="Arial" w:hAnsi="Arial"/>
      <w:b/>
      <w:i/>
      <w:sz w:val="18"/>
      <w:szCs w:val="20"/>
    </w:rPr>
  </w:style>
  <w:style w:type="character" w:customStyle="1" w:styleId="Heading2CharCharCharCharChar">
    <w:name w:val="Heading 2 Char Char Char Char Char"/>
    <w:rsid w:val="00AE25B3"/>
    <w:rPr>
      <w:rFonts w:ascii="Arial" w:hAnsi="Arial"/>
      <w:b/>
      <w:kern w:val="28"/>
      <w:sz w:val="22"/>
      <w:lang w:val="en-US" w:eastAsia="en-US" w:bidi="ar-SA"/>
    </w:rPr>
  </w:style>
  <w:style w:type="paragraph" w:styleId="List">
    <w:name w:val="List"/>
    <w:basedOn w:val="Normal"/>
    <w:rsid w:val="00AE25B3"/>
    <w:pPr>
      <w:ind w:left="360" w:hanging="360"/>
    </w:pPr>
    <w:rPr>
      <w:rFonts w:ascii="Arial" w:hAnsi="Arial"/>
      <w:kern w:val="28"/>
      <w:sz w:val="22"/>
      <w:szCs w:val="20"/>
    </w:rPr>
  </w:style>
  <w:style w:type="paragraph" w:customStyle="1" w:styleId="05">
    <w:name w:val="05"/>
    <w:basedOn w:val="Normal"/>
    <w:rsid w:val="00AE25B3"/>
    <w:pPr>
      <w:ind w:left="300" w:right="4" w:hanging="300"/>
      <w:jc w:val="both"/>
    </w:pPr>
    <w:rPr>
      <w:rFonts w:ascii="Times" w:hAnsi="Times"/>
      <w:szCs w:val="20"/>
      <w:lang w:val="fr-FR"/>
    </w:rPr>
  </w:style>
  <w:style w:type="character" w:customStyle="1" w:styleId="a">
    <w:name w:val="_a"/>
    <w:basedOn w:val="DefaultParagraphFont"/>
    <w:rsid w:val="00AE25B3"/>
  </w:style>
  <w:style w:type="paragraph" w:customStyle="1" w:styleId="f4">
    <w:name w:val="f4"/>
    <w:rsid w:val="00AE25B3"/>
    <w:pPr>
      <w:widowControl w:val="0"/>
    </w:pPr>
    <w:rPr>
      <w:rFonts w:ascii="CG Times" w:hAnsi="CG Times"/>
      <w:sz w:val="22"/>
    </w:rPr>
  </w:style>
  <w:style w:type="paragraph" w:styleId="BodyTextIndent3">
    <w:name w:val="Body Text Indent 3"/>
    <w:basedOn w:val="Normal"/>
    <w:link w:val="BodyTextIndent3Char"/>
    <w:rsid w:val="00AE25B3"/>
    <w:pPr>
      <w:spacing w:after="120"/>
      <w:ind w:left="283"/>
    </w:pPr>
    <w:rPr>
      <w:rFonts w:ascii="Arial" w:hAnsi="Arial"/>
      <w:kern w:val="28"/>
      <w:sz w:val="16"/>
      <w:szCs w:val="16"/>
    </w:rPr>
  </w:style>
  <w:style w:type="character" w:customStyle="1" w:styleId="BodyTextIndent3Char">
    <w:name w:val="Body Text Indent 3 Char"/>
    <w:link w:val="BodyTextIndent3"/>
    <w:rsid w:val="00AE25B3"/>
    <w:rPr>
      <w:rFonts w:ascii="Arial" w:hAnsi="Arial"/>
      <w:kern w:val="28"/>
      <w:sz w:val="16"/>
      <w:szCs w:val="16"/>
    </w:rPr>
  </w:style>
  <w:style w:type="paragraph" w:customStyle="1" w:styleId="StyleBulletBold">
    <w:name w:val="Style Bullet + Bold"/>
    <w:basedOn w:val="Normal"/>
    <w:rsid w:val="00AE25B3"/>
    <w:pPr>
      <w:numPr>
        <w:numId w:val="7"/>
      </w:numPr>
    </w:pPr>
  </w:style>
  <w:style w:type="paragraph" w:styleId="DocumentMap">
    <w:name w:val="Document Map"/>
    <w:basedOn w:val="Normal"/>
    <w:link w:val="DocumentMapChar"/>
    <w:rsid w:val="00AE25B3"/>
    <w:pPr>
      <w:shd w:val="clear" w:color="auto" w:fill="000080"/>
    </w:pPr>
    <w:rPr>
      <w:rFonts w:ascii="Tahoma" w:hAnsi="Tahoma" w:cs="Tahoma"/>
      <w:kern w:val="28"/>
      <w:sz w:val="20"/>
      <w:szCs w:val="20"/>
    </w:rPr>
  </w:style>
  <w:style w:type="character" w:customStyle="1" w:styleId="DocumentMapChar">
    <w:name w:val="Document Map Char"/>
    <w:link w:val="DocumentMap"/>
    <w:rsid w:val="00AE25B3"/>
    <w:rPr>
      <w:rFonts w:ascii="Tahoma" w:hAnsi="Tahoma" w:cs="Tahoma"/>
      <w:kern w:val="28"/>
      <w:sz w:val="20"/>
      <w:szCs w:val="20"/>
      <w:shd w:val="clear" w:color="auto" w:fill="000080"/>
    </w:rPr>
  </w:style>
  <w:style w:type="paragraph" w:styleId="BodyText3">
    <w:name w:val="Body Text 3"/>
    <w:basedOn w:val="Normal"/>
    <w:link w:val="BodyText3Char"/>
    <w:rsid w:val="00AE25B3"/>
    <w:pPr>
      <w:spacing w:after="120"/>
    </w:pPr>
    <w:rPr>
      <w:rFonts w:ascii="Arial" w:hAnsi="Arial"/>
      <w:kern w:val="28"/>
      <w:sz w:val="16"/>
      <w:szCs w:val="16"/>
    </w:rPr>
  </w:style>
  <w:style w:type="character" w:customStyle="1" w:styleId="BodyText3Char">
    <w:name w:val="Body Text 3 Char"/>
    <w:link w:val="BodyText3"/>
    <w:rsid w:val="00AE25B3"/>
    <w:rPr>
      <w:rFonts w:ascii="Arial" w:hAnsi="Arial"/>
      <w:kern w:val="28"/>
      <w:sz w:val="16"/>
      <w:szCs w:val="16"/>
    </w:rPr>
  </w:style>
  <w:style w:type="paragraph" w:customStyle="1" w:styleId="FR2">
    <w:name w:val="FR2"/>
    <w:rsid w:val="00AE25B3"/>
    <w:pPr>
      <w:widowControl w:val="0"/>
    </w:pPr>
    <w:rPr>
      <w:rFonts w:ascii="Times New Roman" w:hAnsi="Times New Roman"/>
      <w:snapToGrid w:val="0"/>
      <w:sz w:val="18"/>
    </w:rPr>
  </w:style>
  <w:style w:type="paragraph" w:customStyle="1" w:styleId="NormalbulletsChar">
    <w:name w:val="Normal bullets Char"/>
    <w:basedOn w:val="Normal"/>
    <w:rsid w:val="00AE25B3"/>
    <w:pPr>
      <w:numPr>
        <w:numId w:val="8"/>
      </w:numPr>
    </w:pPr>
    <w:rPr>
      <w:lang w:val="en-GB"/>
    </w:rPr>
  </w:style>
  <w:style w:type="paragraph" w:styleId="List2">
    <w:name w:val="List 2"/>
    <w:basedOn w:val="Normal"/>
    <w:rsid w:val="00AE25B3"/>
    <w:pPr>
      <w:ind w:left="720" w:hanging="360"/>
    </w:pPr>
    <w:rPr>
      <w:rFonts w:ascii="Arial" w:hAnsi="Arial"/>
      <w:kern w:val="28"/>
      <w:sz w:val="22"/>
      <w:szCs w:val="20"/>
    </w:rPr>
  </w:style>
  <w:style w:type="paragraph" w:styleId="ListBullet">
    <w:name w:val="List Bullet"/>
    <w:basedOn w:val="Normal"/>
    <w:rsid w:val="00AE25B3"/>
    <w:pPr>
      <w:numPr>
        <w:numId w:val="9"/>
      </w:numPr>
    </w:pPr>
    <w:rPr>
      <w:rFonts w:ascii="Arial" w:hAnsi="Arial"/>
      <w:kern w:val="28"/>
      <w:sz w:val="22"/>
      <w:szCs w:val="20"/>
    </w:rPr>
  </w:style>
  <w:style w:type="paragraph" w:styleId="ListBullet2">
    <w:name w:val="List Bullet 2"/>
    <w:basedOn w:val="Normal"/>
    <w:rsid w:val="00AE25B3"/>
    <w:pPr>
      <w:numPr>
        <w:numId w:val="10"/>
      </w:numPr>
    </w:pPr>
    <w:rPr>
      <w:rFonts w:ascii="Arial" w:hAnsi="Arial"/>
      <w:kern w:val="28"/>
      <w:sz w:val="22"/>
      <w:szCs w:val="20"/>
    </w:rPr>
  </w:style>
  <w:style w:type="paragraph" w:styleId="ListBullet3">
    <w:name w:val="List Bullet 3"/>
    <w:basedOn w:val="Normal"/>
    <w:rsid w:val="00AE25B3"/>
    <w:pPr>
      <w:numPr>
        <w:numId w:val="11"/>
      </w:numPr>
    </w:pPr>
    <w:rPr>
      <w:rFonts w:ascii="Arial" w:hAnsi="Arial"/>
      <w:kern w:val="28"/>
      <w:sz w:val="22"/>
      <w:szCs w:val="20"/>
    </w:rPr>
  </w:style>
  <w:style w:type="paragraph" w:styleId="ListBullet4">
    <w:name w:val="List Bullet 4"/>
    <w:basedOn w:val="Normal"/>
    <w:rsid w:val="00AE25B3"/>
    <w:pPr>
      <w:numPr>
        <w:numId w:val="12"/>
      </w:numPr>
    </w:pPr>
    <w:rPr>
      <w:rFonts w:ascii="Arial" w:hAnsi="Arial"/>
      <w:kern w:val="28"/>
      <w:sz w:val="22"/>
      <w:szCs w:val="20"/>
    </w:rPr>
  </w:style>
  <w:style w:type="paragraph" w:styleId="ListContinue">
    <w:name w:val="List Continue"/>
    <w:basedOn w:val="Normal"/>
    <w:rsid w:val="00AE25B3"/>
    <w:pPr>
      <w:spacing w:after="120"/>
      <w:ind w:left="360"/>
    </w:pPr>
    <w:rPr>
      <w:rFonts w:ascii="Arial" w:hAnsi="Arial"/>
      <w:kern w:val="28"/>
      <w:sz w:val="22"/>
      <w:szCs w:val="20"/>
    </w:rPr>
  </w:style>
  <w:style w:type="paragraph" w:customStyle="1" w:styleId="InsideAddress">
    <w:name w:val="Inside Address"/>
    <w:basedOn w:val="Normal"/>
    <w:rsid w:val="00AE25B3"/>
    <w:rPr>
      <w:rFonts w:ascii="Arial" w:hAnsi="Arial"/>
      <w:kern w:val="28"/>
      <w:sz w:val="22"/>
      <w:szCs w:val="20"/>
    </w:rPr>
  </w:style>
  <w:style w:type="paragraph" w:customStyle="1" w:styleId="Memoheading">
    <w:name w:val="Memo heading"/>
    <w:basedOn w:val="Normal"/>
    <w:rsid w:val="00AE25B3"/>
  </w:style>
  <w:style w:type="character" w:styleId="Strong">
    <w:name w:val="Strong"/>
    <w:qFormat/>
    <w:rsid w:val="00AE25B3"/>
    <w:rPr>
      <w:b/>
      <w:bCs/>
    </w:rPr>
  </w:style>
  <w:style w:type="character" w:styleId="FollowedHyperlink">
    <w:name w:val="FollowedHyperlink"/>
    <w:rsid w:val="00AE25B3"/>
    <w:rPr>
      <w:color w:val="800080"/>
      <w:u w:val="single"/>
    </w:rPr>
  </w:style>
  <w:style w:type="paragraph" w:customStyle="1" w:styleId="Pa5">
    <w:name w:val="Pa5"/>
    <w:basedOn w:val="Normal"/>
    <w:next w:val="Normal"/>
    <w:rsid w:val="00AE25B3"/>
    <w:pPr>
      <w:autoSpaceDE w:val="0"/>
      <w:autoSpaceDN w:val="0"/>
      <w:adjustRightInd w:val="0"/>
      <w:spacing w:line="240" w:lineRule="atLeast"/>
    </w:pPr>
    <w:rPr>
      <w:rFonts w:ascii="Times" w:hAnsi="Times"/>
      <w:lang w:val="en-GB" w:eastAsia="en-GB"/>
    </w:rPr>
  </w:style>
  <w:style w:type="paragraph" w:styleId="Title">
    <w:name w:val="Title"/>
    <w:basedOn w:val="Normal"/>
    <w:next w:val="Normal"/>
    <w:link w:val="TitleChar"/>
    <w:rsid w:val="00BF15D4"/>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leChar">
    <w:name w:val="Title Char"/>
    <w:link w:val="Title"/>
    <w:rsid w:val="00BF15D4"/>
    <w:rPr>
      <w:rFonts w:ascii="Calibri" w:eastAsia="MS Gothic" w:hAnsi="Calibri" w:cs="Times New Roman"/>
      <w:color w:val="17365D"/>
      <w:spacing w:val="5"/>
      <w:kern w:val="28"/>
      <w:sz w:val="52"/>
      <w:szCs w:val="52"/>
    </w:rPr>
  </w:style>
  <w:style w:type="paragraph" w:styleId="Revision">
    <w:name w:val="Revision"/>
    <w:hidden/>
    <w:rsid w:val="004E4934"/>
    <w:rPr>
      <w:rFonts w:ascii="Times New Roman" w:hAnsi="Times New Roman"/>
      <w:sz w:val="24"/>
      <w:szCs w:val="24"/>
    </w:rPr>
  </w:style>
  <w:style w:type="paragraph" w:styleId="Subtitle">
    <w:name w:val="Subtitle"/>
    <w:basedOn w:val="Normal"/>
    <w:link w:val="SubtitleChar"/>
    <w:qFormat/>
    <w:rsid w:val="009927E2"/>
    <w:pPr>
      <w:jc w:val="center"/>
    </w:pPr>
    <w:rPr>
      <w:b/>
      <w:sz w:val="28"/>
      <w:szCs w:val="20"/>
      <w:u w:val="single"/>
      <w:lang w:val="en-GB" w:eastAsia="en-GB"/>
    </w:rPr>
  </w:style>
  <w:style w:type="character" w:customStyle="1" w:styleId="SubtitleChar">
    <w:name w:val="Subtitle Char"/>
    <w:link w:val="Subtitle"/>
    <w:rsid w:val="009927E2"/>
    <w:rPr>
      <w:rFonts w:ascii="Times New Roman" w:hAnsi="Times New Roman"/>
      <w:b/>
      <w:sz w:val="28"/>
      <w:szCs w:val="20"/>
      <w:u w:val="single"/>
      <w:lang w:val="en-GB" w:eastAsia="en-GB"/>
    </w:rPr>
  </w:style>
  <w:style w:type="paragraph" w:customStyle="1" w:styleId="Default">
    <w:name w:val="Default"/>
    <w:rsid w:val="009927E2"/>
    <w:pPr>
      <w:autoSpaceDE w:val="0"/>
      <w:autoSpaceDN w:val="0"/>
      <w:adjustRightInd w:val="0"/>
    </w:pPr>
    <w:rPr>
      <w:rFonts w:ascii="Times New Roman" w:hAnsi="Times New Roman"/>
      <w:color w:val="000000"/>
      <w:sz w:val="24"/>
      <w:szCs w:val="24"/>
      <w:lang w:val="en-GB" w:eastAsia="en-GB"/>
    </w:rPr>
  </w:style>
  <w:style w:type="paragraph" w:customStyle="1" w:styleId="Bullet2">
    <w:name w:val="Bullet2"/>
    <w:basedOn w:val="Normal"/>
    <w:autoRedefine/>
    <w:rsid w:val="000E7E44"/>
    <w:pPr>
      <w:numPr>
        <w:numId w:val="13"/>
      </w:numPr>
    </w:pPr>
    <w:rPr>
      <w:sz w:val="18"/>
    </w:rPr>
  </w:style>
  <w:style w:type="paragraph" w:customStyle="1" w:styleId="TableTextCharChar">
    <w:name w:val="TableText Char Char"/>
    <w:link w:val="TableTextCharCharChar1"/>
    <w:autoRedefine/>
    <w:rsid w:val="002F362E"/>
    <w:pPr>
      <w:tabs>
        <w:tab w:val="left" w:pos="-720"/>
      </w:tabs>
      <w:suppressAutoHyphens/>
    </w:pPr>
    <w:rPr>
      <w:rFonts w:ascii="Times New Roman" w:hAnsi="Times New Roman"/>
      <w:bCs/>
      <w:sz w:val="18"/>
      <w:szCs w:val="18"/>
      <w:lang w:val="en-GB"/>
    </w:rPr>
  </w:style>
  <w:style w:type="character" w:customStyle="1" w:styleId="TableTextCharCharChar1">
    <w:name w:val="TableText Char Char Char1"/>
    <w:link w:val="TableTextCharChar"/>
    <w:rsid w:val="002F362E"/>
    <w:rPr>
      <w:rFonts w:ascii="Times New Roman" w:hAnsi="Times New Roman"/>
      <w:bCs/>
      <w:sz w:val="18"/>
      <w:szCs w:val="18"/>
      <w:lang w:val="en-GB" w:bidi="ar-SA"/>
    </w:rPr>
  </w:style>
  <w:style w:type="paragraph" w:customStyle="1" w:styleId="TableText">
    <w:name w:val="TableText"/>
    <w:link w:val="TableTextChar"/>
    <w:autoRedefine/>
    <w:rsid w:val="002F362E"/>
    <w:pPr>
      <w:tabs>
        <w:tab w:val="left" w:pos="-720"/>
      </w:tabs>
      <w:suppressAutoHyphens/>
    </w:pPr>
    <w:rPr>
      <w:rFonts w:ascii="Times New Roman" w:hAnsi="Times New Roman"/>
      <w:sz w:val="22"/>
      <w:szCs w:val="22"/>
      <w:lang w:val="en-GB"/>
    </w:rPr>
  </w:style>
  <w:style w:type="character" w:customStyle="1" w:styleId="TableTextChar">
    <w:name w:val="TableText Char"/>
    <w:link w:val="TableText"/>
    <w:rsid w:val="002F362E"/>
    <w:rPr>
      <w:rFonts w:ascii="Times New Roman" w:hAnsi="Times New Roman"/>
      <w:sz w:val="22"/>
      <w:szCs w:val="22"/>
      <w:lang w:val="en-GB" w:bidi="ar-SA"/>
    </w:rPr>
  </w:style>
  <w:style w:type="paragraph" w:styleId="EndnoteText">
    <w:name w:val="endnote text"/>
    <w:basedOn w:val="Normal"/>
    <w:link w:val="EndnoteTextChar"/>
    <w:rsid w:val="00930211"/>
  </w:style>
  <w:style w:type="character" w:customStyle="1" w:styleId="EndnoteTextChar">
    <w:name w:val="Endnote Text Char"/>
    <w:link w:val="EndnoteText"/>
    <w:rsid w:val="00930211"/>
    <w:rPr>
      <w:rFonts w:ascii="Times New Roman" w:hAnsi="Times New Roman"/>
    </w:rPr>
  </w:style>
  <w:style w:type="character" w:styleId="EndnoteReference">
    <w:name w:val="endnote reference"/>
    <w:uiPriority w:val="99"/>
    <w:unhideWhenUsed/>
    <w:rsid w:val="00930211"/>
    <w:rPr>
      <w:vertAlign w:val="superscript"/>
    </w:rPr>
  </w:style>
  <w:style w:type="character" w:customStyle="1" w:styleId="st">
    <w:name w:val="st"/>
    <w:basedOn w:val="DefaultParagraphFont"/>
    <w:rsid w:val="002B727C"/>
  </w:style>
  <w:style w:type="paragraph" w:customStyle="1" w:styleId="B">
    <w:name w:val="B"/>
    <w:basedOn w:val="Normal"/>
    <w:rsid w:val="005F7173"/>
    <w:pPr>
      <w:numPr>
        <w:numId w:val="14"/>
      </w:numPr>
      <w:tabs>
        <w:tab w:val="clear" w:pos="360"/>
        <w:tab w:val="num" w:pos="540"/>
      </w:tabs>
      <w:spacing w:after="120"/>
      <w:ind w:left="0" w:firstLine="0"/>
    </w:pPr>
    <w:rPr>
      <w:sz w:val="22"/>
      <w:szCs w:val="22"/>
    </w:rPr>
  </w:style>
  <w:style w:type="character" w:customStyle="1" w:styleId="contentfont12">
    <w:name w:val="content_font_12"/>
    <w:basedOn w:val="DefaultParagraphFont"/>
    <w:rsid w:val="00876695"/>
  </w:style>
  <w:style w:type="paragraph" w:styleId="BodyTextIndent">
    <w:name w:val="Body Text Indent"/>
    <w:basedOn w:val="Normal"/>
    <w:link w:val="BodyTextIndentChar"/>
    <w:rsid w:val="00D91AAA"/>
    <w:pPr>
      <w:spacing w:after="120"/>
      <w:ind w:left="360"/>
    </w:pPr>
  </w:style>
  <w:style w:type="character" w:customStyle="1" w:styleId="BodyTextIndentChar">
    <w:name w:val="Body Text Indent Char"/>
    <w:basedOn w:val="DefaultParagraphFont"/>
    <w:link w:val="BodyTextIndent"/>
    <w:rsid w:val="00D91AAA"/>
    <w:rPr>
      <w:rFonts w:ascii="Times New Roman" w:hAnsi="Times New Roman"/>
      <w:sz w:val="24"/>
      <w:szCs w:val="24"/>
    </w:rPr>
  </w:style>
  <w:style w:type="paragraph" w:customStyle="1" w:styleId="odrky">
    <w:name w:val="odrážky"/>
    <w:basedOn w:val="Normal"/>
    <w:rsid w:val="00940956"/>
    <w:pPr>
      <w:numPr>
        <w:numId w:val="23"/>
      </w:numPr>
    </w:pPr>
    <w:rPr>
      <w:szCs w:val="20"/>
      <w:lang w:eastAsia="cs-CZ"/>
    </w:rPr>
  </w:style>
  <w:style w:type="paragraph" w:styleId="NoSpacing">
    <w:name w:val="No Spacing"/>
    <w:uiPriority w:val="99"/>
    <w:qFormat/>
    <w:rsid w:val="000A0F25"/>
    <w:rPr>
      <w:rFonts w:ascii="Calibri" w:hAnsi="Calibri"/>
      <w:sz w:val="22"/>
      <w:szCs w:val="22"/>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table of figures" w:uiPriority="99"/>
    <w:lsdException w:name="annotation reference" w:uiPriority="99"/>
    <w:lsdException w:name="endnote reference" w:uiPriority="99"/>
    <w:lsdException w:name="Subtitle" w:qFormat="1"/>
    <w:lsdException w:name="Strong" w:qFormat="1"/>
    <w:lsdException w:name="Emphasis" w:qFormat="1"/>
    <w:lsdException w:name="Table Grid" w:uiPriority="59"/>
    <w:lsdException w:name="No Spacing" w:uiPriority="99" w:qFormat="1"/>
    <w:lsdException w:name="Colorful List" w:uiPriority="34" w:qFormat="1"/>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79C3"/>
    <w:rPr>
      <w:rFonts w:ascii="Times New Roman" w:hAnsi="Times New Roman"/>
      <w:sz w:val="24"/>
      <w:szCs w:val="24"/>
    </w:rPr>
  </w:style>
  <w:style w:type="paragraph" w:styleId="Heading1">
    <w:name w:val="heading 1"/>
    <w:aliases w:val="Heading 1 - MSP TE,Heading 1 - Centered"/>
    <w:basedOn w:val="Normal"/>
    <w:next w:val="BodyText"/>
    <w:link w:val="Heading1Char"/>
    <w:qFormat/>
    <w:rsid w:val="00C77A5D"/>
    <w:pPr>
      <w:keepNext/>
      <w:numPr>
        <w:numId w:val="3"/>
      </w:numPr>
      <w:spacing w:after="120"/>
      <w:outlineLvl w:val="0"/>
    </w:pPr>
    <w:rPr>
      <w:rFonts w:ascii="Calibri" w:hAnsi="Calibri"/>
      <w:b/>
      <w:bCs/>
      <w:sz w:val="28"/>
    </w:rPr>
  </w:style>
  <w:style w:type="paragraph" w:styleId="Heading2">
    <w:name w:val="heading 2"/>
    <w:aliases w:val="Heading 2 - TE Report,Heading 2 - QoS Template,Heading 2 Char Char Char"/>
    <w:basedOn w:val="Heading1"/>
    <w:next w:val="BodyText"/>
    <w:link w:val="Heading2Char"/>
    <w:qFormat/>
    <w:rsid w:val="00C77A5D"/>
    <w:pPr>
      <w:numPr>
        <w:ilvl w:val="1"/>
      </w:numPr>
      <w:tabs>
        <w:tab w:val="left" w:pos="-306"/>
        <w:tab w:val="left" w:pos="816"/>
        <w:tab w:val="left" w:pos="1326"/>
        <w:tab w:val="left" w:pos="1836"/>
        <w:tab w:val="left" w:pos="2346"/>
        <w:tab w:val="left" w:pos="5160"/>
        <w:tab w:val="left" w:pos="6960"/>
      </w:tabs>
      <w:suppressAutoHyphens/>
      <w:outlineLvl w:val="1"/>
    </w:pPr>
    <w:rPr>
      <w:bCs w:val="0"/>
    </w:rPr>
  </w:style>
  <w:style w:type="paragraph" w:styleId="Heading3">
    <w:name w:val="heading 3"/>
    <w:basedOn w:val="Normal"/>
    <w:next w:val="BodyText"/>
    <w:link w:val="Heading3Char"/>
    <w:qFormat/>
    <w:rsid w:val="008F7D83"/>
    <w:pPr>
      <w:keepNext/>
      <w:numPr>
        <w:ilvl w:val="2"/>
        <w:numId w:val="3"/>
      </w:numPr>
      <w:spacing w:before="240" w:after="60"/>
      <w:outlineLvl w:val="2"/>
    </w:pPr>
    <w:rPr>
      <w:rFonts w:ascii="Calibri" w:hAnsi="Calibri"/>
      <w:b/>
      <w:bCs/>
      <w:szCs w:val="26"/>
    </w:rPr>
  </w:style>
  <w:style w:type="paragraph" w:styleId="Heading4">
    <w:name w:val="heading 4"/>
    <w:basedOn w:val="Normal"/>
    <w:next w:val="Normal"/>
    <w:link w:val="Heading4Char"/>
    <w:qFormat/>
    <w:rsid w:val="00AE25B3"/>
    <w:pPr>
      <w:keepNext/>
      <w:tabs>
        <w:tab w:val="num" w:pos="2574"/>
      </w:tabs>
      <w:spacing w:before="240" w:after="60"/>
      <w:ind w:left="2574" w:hanging="864"/>
      <w:outlineLvl w:val="3"/>
    </w:pPr>
    <w:rPr>
      <w:rFonts w:ascii="Arial" w:hAnsi="Arial"/>
      <w:b/>
      <w:szCs w:val="20"/>
    </w:rPr>
  </w:style>
  <w:style w:type="paragraph" w:styleId="Heading5">
    <w:name w:val="heading 5"/>
    <w:basedOn w:val="Normal"/>
    <w:next w:val="Normal"/>
    <w:link w:val="Heading5Char"/>
    <w:qFormat/>
    <w:rsid w:val="00AE25B3"/>
    <w:pPr>
      <w:tabs>
        <w:tab w:val="num" w:pos="1008"/>
      </w:tabs>
      <w:spacing w:before="240" w:after="60"/>
      <w:ind w:left="1008" w:hanging="1008"/>
      <w:outlineLvl w:val="4"/>
    </w:pPr>
    <w:rPr>
      <w:sz w:val="22"/>
      <w:szCs w:val="20"/>
    </w:rPr>
  </w:style>
  <w:style w:type="paragraph" w:styleId="Heading6">
    <w:name w:val="heading 6"/>
    <w:basedOn w:val="Normal"/>
    <w:next w:val="Normal"/>
    <w:link w:val="Heading6Char"/>
    <w:qFormat/>
    <w:rsid w:val="00AE25B3"/>
    <w:pPr>
      <w:spacing w:before="240" w:after="60"/>
      <w:outlineLvl w:val="5"/>
    </w:pPr>
    <w:rPr>
      <w:b/>
      <w:bCs/>
      <w:kern w:val="28"/>
      <w:sz w:val="22"/>
      <w:szCs w:val="22"/>
    </w:rPr>
  </w:style>
  <w:style w:type="paragraph" w:styleId="Heading7">
    <w:name w:val="heading 7"/>
    <w:basedOn w:val="Normal"/>
    <w:next w:val="Normal"/>
    <w:link w:val="Heading7Char"/>
    <w:qFormat/>
    <w:rsid w:val="00AE25B3"/>
    <w:pPr>
      <w:tabs>
        <w:tab w:val="num" w:pos="1296"/>
      </w:tabs>
      <w:spacing w:before="240" w:after="60"/>
      <w:ind w:left="1296" w:hanging="1296"/>
      <w:outlineLvl w:val="6"/>
    </w:pPr>
    <w:rPr>
      <w:rFonts w:ascii="Arial" w:hAnsi="Arial"/>
      <w:sz w:val="20"/>
      <w:szCs w:val="20"/>
    </w:rPr>
  </w:style>
  <w:style w:type="paragraph" w:styleId="Heading8">
    <w:name w:val="heading 8"/>
    <w:basedOn w:val="Normal"/>
    <w:next w:val="Normal"/>
    <w:link w:val="Heading8Char"/>
    <w:qFormat/>
    <w:rsid w:val="00AE25B3"/>
    <w:pPr>
      <w:tabs>
        <w:tab w:val="num" w:pos="1440"/>
      </w:tabs>
      <w:spacing w:before="240" w:after="60"/>
      <w:ind w:left="1440" w:hanging="1440"/>
      <w:outlineLvl w:val="7"/>
    </w:pPr>
    <w:rPr>
      <w:rFonts w:ascii="Arial" w:hAnsi="Arial"/>
      <w:i/>
      <w:sz w:val="20"/>
      <w:szCs w:val="20"/>
    </w:rPr>
  </w:style>
  <w:style w:type="paragraph" w:styleId="Heading9">
    <w:name w:val="heading 9"/>
    <w:basedOn w:val="Normal"/>
    <w:next w:val="Normal"/>
    <w:link w:val="Heading9Char"/>
    <w:qFormat/>
    <w:rsid w:val="00AE25B3"/>
    <w:pPr>
      <w:tabs>
        <w:tab w:val="num" w:pos="1584"/>
      </w:tabs>
      <w:spacing w:before="240" w:after="60"/>
      <w:ind w:left="1584" w:hanging="1584"/>
      <w:outlineLvl w:val="8"/>
    </w:pPr>
    <w:rPr>
      <w:rFonts w:ascii="Arial" w:hAnsi="Arial"/>
      <w:b/>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020215"/>
    <w:rPr>
      <w:rFonts w:ascii="Lucida Grande" w:hAnsi="Lucida Grande"/>
      <w:sz w:val="18"/>
      <w:szCs w:val="18"/>
    </w:rPr>
  </w:style>
  <w:style w:type="character" w:customStyle="1" w:styleId="BalloonTextChar">
    <w:name w:val="Balloon Text Char"/>
    <w:link w:val="BalloonText"/>
    <w:semiHidden/>
    <w:rsid w:val="00020215"/>
    <w:rPr>
      <w:rFonts w:ascii="Lucida Grande" w:hAnsi="Lucida Grande"/>
      <w:sz w:val="18"/>
      <w:szCs w:val="18"/>
    </w:rPr>
  </w:style>
  <w:style w:type="numbering" w:customStyle="1" w:styleId="TEReportHeading1">
    <w:name w:val="TE Report Heading 1"/>
    <w:basedOn w:val="NoList"/>
    <w:uiPriority w:val="99"/>
    <w:rsid w:val="00C77A5D"/>
    <w:pPr>
      <w:numPr>
        <w:numId w:val="1"/>
      </w:numPr>
    </w:pPr>
  </w:style>
  <w:style w:type="character" w:customStyle="1" w:styleId="Heading1Char">
    <w:name w:val="Heading 1 Char"/>
    <w:aliases w:val="Heading 1 - MSP TE Char,Heading 1 - Centered Char"/>
    <w:link w:val="Heading1"/>
    <w:rsid w:val="00C77A5D"/>
    <w:rPr>
      <w:rFonts w:ascii="Calibri" w:hAnsi="Calibri"/>
      <w:b/>
      <w:bCs/>
      <w:sz w:val="28"/>
      <w:szCs w:val="24"/>
    </w:rPr>
  </w:style>
  <w:style w:type="paragraph" w:styleId="Caption">
    <w:name w:val="caption"/>
    <w:aliases w:val="Table Heading"/>
    <w:basedOn w:val="Normal"/>
    <w:next w:val="Normal"/>
    <w:qFormat/>
    <w:rsid w:val="008C1D06"/>
    <w:pPr>
      <w:keepNext/>
      <w:keepLines/>
      <w:spacing w:after="120"/>
    </w:pPr>
    <w:rPr>
      <w:rFonts w:ascii="Calibri" w:hAnsi="Calibri"/>
      <w:b/>
      <w:bCs/>
      <w:szCs w:val="20"/>
    </w:rPr>
  </w:style>
  <w:style w:type="paragraph" w:styleId="BodyText">
    <w:name w:val="Body Text"/>
    <w:aliases w:val="Body Text Numbered Paras,Szövegtörzs Char1,Szövegtörzs Char Char,Szövegtörzs Char Char Char Char Char,Szövegtörzs Char2,Szövegtörzs Char1 Char1,Szövegtörzs Char Char Char1,Szövegtörzs Char1 Char Char Char,Szövegtörzs Char Char1 Char,Char"/>
    <w:basedOn w:val="Normal"/>
    <w:link w:val="BodyTextChar"/>
    <w:rsid w:val="00C77A5D"/>
    <w:pPr>
      <w:numPr>
        <w:numId w:val="2"/>
      </w:numPr>
      <w:spacing w:after="60"/>
      <w:jc w:val="both"/>
    </w:pPr>
    <w:rPr>
      <w:rFonts w:ascii="Calibri" w:hAnsi="Calibri"/>
    </w:rPr>
  </w:style>
  <w:style w:type="character" w:customStyle="1" w:styleId="BodyTextChar">
    <w:name w:val="Body Text Char"/>
    <w:aliases w:val="Body Text Numbered Paras Char,Szövegtörzs Char1 Char,Szövegtörzs Char Char Char,Szövegtörzs Char Char Char Char Char Char,Szövegtörzs Char2 Char,Szövegtörzs Char1 Char1 Char,Szövegtörzs Char Char Char1 Char,Char Char"/>
    <w:link w:val="BodyText"/>
    <w:rsid w:val="00C77A5D"/>
    <w:rPr>
      <w:rFonts w:ascii="Calibri" w:hAnsi="Calibri"/>
      <w:sz w:val="24"/>
      <w:szCs w:val="24"/>
    </w:rPr>
  </w:style>
  <w:style w:type="character" w:customStyle="1" w:styleId="Heading2Char">
    <w:name w:val="Heading 2 Char"/>
    <w:aliases w:val="Heading 2 - TE Report Char,Heading 2 - QoS Template Char,Heading 2 Char Char Char Char"/>
    <w:link w:val="Heading2"/>
    <w:rsid w:val="00C77A5D"/>
    <w:rPr>
      <w:rFonts w:ascii="Calibri" w:hAnsi="Calibri"/>
      <w:b/>
      <w:sz w:val="28"/>
      <w:szCs w:val="24"/>
    </w:rPr>
  </w:style>
  <w:style w:type="paragraph" w:styleId="TableofFigures">
    <w:name w:val="table of figures"/>
    <w:basedOn w:val="Normal"/>
    <w:next w:val="Normal"/>
    <w:uiPriority w:val="99"/>
    <w:rsid w:val="000D2FE6"/>
    <w:pPr>
      <w:ind w:left="480" w:hanging="480"/>
    </w:pPr>
    <w:rPr>
      <w:rFonts w:ascii="Calibri" w:hAnsi="Calibri"/>
      <w:sz w:val="20"/>
    </w:rPr>
  </w:style>
  <w:style w:type="paragraph" w:styleId="TOC2">
    <w:name w:val="toc 2"/>
    <w:basedOn w:val="Normal"/>
    <w:next w:val="Normal"/>
    <w:uiPriority w:val="39"/>
    <w:rsid w:val="00352322"/>
    <w:pPr>
      <w:ind w:left="240"/>
    </w:pPr>
    <w:rPr>
      <w:rFonts w:ascii="Calibri" w:hAnsi="Calibri"/>
      <w:sz w:val="20"/>
      <w:szCs w:val="22"/>
    </w:rPr>
  </w:style>
  <w:style w:type="paragraph" w:styleId="TOC1">
    <w:name w:val="toc 1"/>
    <w:basedOn w:val="Normal"/>
    <w:next w:val="Normal"/>
    <w:uiPriority w:val="39"/>
    <w:rsid w:val="00352322"/>
    <w:rPr>
      <w:rFonts w:ascii="Calibri" w:hAnsi="Calibri"/>
      <w:sz w:val="20"/>
    </w:rPr>
  </w:style>
  <w:style w:type="character" w:customStyle="1" w:styleId="Heading3Char">
    <w:name w:val="Heading 3 Char"/>
    <w:link w:val="Heading3"/>
    <w:rsid w:val="008F7D83"/>
    <w:rPr>
      <w:rFonts w:ascii="Calibri" w:hAnsi="Calibri"/>
      <w:b/>
      <w:bCs/>
      <w:sz w:val="24"/>
      <w:szCs w:val="26"/>
    </w:rPr>
  </w:style>
  <w:style w:type="paragraph" w:styleId="TOC3">
    <w:name w:val="toc 3"/>
    <w:basedOn w:val="Normal"/>
    <w:next w:val="Normal"/>
    <w:uiPriority w:val="39"/>
    <w:rsid w:val="00352322"/>
    <w:pPr>
      <w:ind w:left="480"/>
    </w:pPr>
    <w:rPr>
      <w:rFonts w:ascii="Calibri" w:hAnsi="Calibri"/>
      <w:sz w:val="20"/>
      <w:szCs w:val="22"/>
    </w:rPr>
  </w:style>
  <w:style w:type="paragraph" w:styleId="FootnoteText">
    <w:name w:val="footnote text"/>
    <w:aliases w:val="Geneva 9,Font: Geneva 9,Boston 10,f,otnote Text,Footnote,ft,Testo nota a piè di pagina Carattere Carattere,Testo nota a piè di pagina Carattere,Testo nota a piè di pagina Carattere1 Carattere"/>
    <w:basedOn w:val="Normal"/>
    <w:link w:val="FootnoteTextChar"/>
    <w:unhideWhenUsed/>
    <w:rsid w:val="003C4883"/>
    <w:rPr>
      <w:rFonts w:ascii="Calibri" w:hAnsi="Calibri"/>
      <w:sz w:val="20"/>
    </w:rPr>
  </w:style>
  <w:style w:type="character" w:customStyle="1" w:styleId="FootnoteTextChar">
    <w:name w:val="Footnote Text Char"/>
    <w:aliases w:val="Geneva 9 Char,Font: Geneva 9 Char,Boston 10 Char,f Char,otnote Text Char,Footnote Char,ft Char,Testo nota a piè di pagina Carattere Carattere Char,Testo nota a piè di pagina Carattere Char"/>
    <w:link w:val="FootnoteText"/>
    <w:rsid w:val="003C4883"/>
    <w:rPr>
      <w:rFonts w:ascii="Calibri" w:hAnsi="Calibri"/>
      <w:szCs w:val="24"/>
    </w:rPr>
  </w:style>
  <w:style w:type="paragraph" w:customStyle="1" w:styleId="GEFPIFBodyTextNumberedPara">
    <w:name w:val="GEF PIF Body Text Numbered Para"/>
    <w:basedOn w:val="Normal"/>
    <w:qFormat/>
    <w:rsid w:val="00C77A5D"/>
    <w:pPr>
      <w:numPr>
        <w:numId w:val="4"/>
      </w:numPr>
    </w:pPr>
  </w:style>
  <w:style w:type="character" w:styleId="Hyperlink">
    <w:name w:val="Hyperlink"/>
    <w:unhideWhenUsed/>
    <w:rsid w:val="00A235F9"/>
    <w:rPr>
      <w:color w:val="0000FF"/>
      <w:u w:val="single"/>
    </w:rPr>
  </w:style>
  <w:style w:type="paragraph" w:styleId="Header">
    <w:name w:val="header"/>
    <w:basedOn w:val="Normal"/>
    <w:link w:val="HeaderChar"/>
    <w:unhideWhenUsed/>
    <w:rsid w:val="009F7251"/>
    <w:pPr>
      <w:tabs>
        <w:tab w:val="center" w:pos="4320"/>
        <w:tab w:val="right" w:pos="8640"/>
      </w:tabs>
    </w:pPr>
  </w:style>
  <w:style w:type="character" w:customStyle="1" w:styleId="HeaderChar">
    <w:name w:val="Header Char"/>
    <w:link w:val="Header"/>
    <w:rsid w:val="009F7251"/>
    <w:rPr>
      <w:rFonts w:ascii="Times New Roman" w:hAnsi="Times New Roman"/>
      <w:sz w:val="24"/>
      <w:szCs w:val="24"/>
    </w:rPr>
  </w:style>
  <w:style w:type="paragraph" w:styleId="Footer">
    <w:name w:val="footer"/>
    <w:basedOn w:val="Normal"/>
    <w:link w:val="FooterChar"/>
    <w:unhideWhenUsed/>
    <w:rsid w:val="009F7251"/>
    <w:pPr>
      <w:tabs>
        <w:tab w:val="center" w:pos="4320"/>
        <w:tab w:val="right" w:pos="8640"/>
      </w:tabs>
    </w:pPr>
  </w:style>
  <w:style w:type="character" w:customStyle="1" w:styleId="FooterChar">
    <w:name w:val="Footer Char"/>
    <w:link w:val="Footer"/>
    <w:rsid w:val="009F7251"/>
    <w:rPr>
      <w:rFonts w:ascii="Times New Roman" w:hAnsi="Times New Roman"/>
      <w:sz w:val="24"/>
      <w:szCs w:val="24"/>
    </w:rPr>
  </w:style>
  <w:style w:type="paragraph" w:customStyle="1" w:styleId="Tablebullets">
    <w:name w:val="Table bullets"/>
    <w:basedOn w:val="Normal"/>
    <w:rsid w:val="00DC314A"/>
    <w:pPr>
      <w:tabs>
        <w:tab w:val="left" w:pos="142"/>
      </w:tabs>
      <w:spacing w:before="40" w:after="20"/>
      <w:ind w:right="28"/>
      <w:jc w:val="both"/>
    </w:pPr>
    <w:rPr>
      <w:snapToGrid w:val="0"/>
      <w:sz w:val="18"/>
      <w:szCs w:val="18"/>
    </w:rPr>
  </w:style>
  <w:style w:type="paragraph" w:customStyle="1" w:styleId="TableinArialNarrow">
    <w:name w:val="Table in Arial Narrow"/>
    <w:basedOn w:val="Normal"/>
    <w:rsid w:val="00DC314A"/>
    <w:pPr>
      <w:tabs>
        <w:tab w:val="left" w:pos="425"/>
        <w:tab w:val="left" w:pos="567"/>
        <w:tab w:val="left" w:pos="709"/>
      </w:tabs>
      <w:spacing w:before="40" w:after="20"/>
      <w:ind w:left="28" w:right="28"/>
      <w:jc w:val="both"/>
    </w:pPr>
    <w:rPr>
      <w:rFonts w:ascii="Arial Narrow" w:hAnsi="Arial Narrow"/>
      <w:snapToGrid w:val="0"/>
      <w:sz w:val="20"/>
      <w:szCs w:val="20"/>
      <w:lang w:val="en-GB"/>
    </w:rPr>
  </w:style>
  <w:style w:type="character" w:styleId="FootnoteReference">
    <w:name w:val="footnote reference"/>
    <w:aliases w:val="16 Point,Superscript 6 Point,Superscript 6 Point + 11 pt"/>
    <w:rsid w:val="003C74CE"/>
    <w:rPr>
      <w:sz w:val="24"/>
      <w:vertAlign w:val="superscript"/>
    </w:rPr>
  </w:style>
  <w:style w:type="table" w:styleId="TableGrid">
    <w:name w:val="Table Grid"/>
    <w:basedOn w:val="TableNormal"/>
    <w:uiPriority w:val="59"/>
    <w:rsid w:val="001C131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qFormat/>
    <w:rsid w:val="00DA5AA5"/>
    <w:pPr>
      <w:numPr>
        <w:numId w:val="6"/>
      </w:numPr>
      <w:contextualSpacing/>
    </w:pPr>
  </w:style>
  <w:style w:type="paragraph" w:styleId="TOC4">
    <w:name w:val="toc 4"/>
    <w:basedOn w:val="Normal"/>
    <w:next w:val="Normal"/>
    <w:autoRedefine/>
    <w:uiPriority w:val="39"/>
    <w:rsid w:val="00F67F8A"/>
    <w:pPr>
      <w:ind w:left="720"/>
    </w:pPr>
  </w:style>
  <w:style w:type="paragraph" w:styleId="TOC5">
    <w:name w:val="toc 5"/>
    <w:basedOn w:val="Normal"/>
    <w:next w:val="Normal"/>
    <w:autoRedefine/>
    <w:uiPriority w:val="39"/>
    <w:rsid w:val="00F67F8A"/>
    <w:pPr>
      <w:ind w:left="960"/>
    </w:pPr>
  </w:style>
  <w:style w:type="paragraph" w:styleId="TOC6">
    <w:name w:val="toc 6"/>
    <w:basedOn w:val="Normal"/>
    <w:next w:val="Normal"/>
    <w:autoRedefine/>
    <w:uiPriority w:val="39"/>
    <w:rsid w:val="00F67F8A"/>
    <w:pPr>
      <w:ind w:left="1200"/>
    </w:pPr>
  </w:style>
  <w:style w:type="paragraph" w:styleId="TOC7">
    <w:name w:val="toc 7"/>
    <w:basedOn w:val="Normal"/>
    <w:next w:val="Normal"/>
    <w:autoRedefine/>
    <w:uiPriority w:val="39"/>
    <w:rsid w:val="00F67F8A"/>
    <w:pPr>
      <w:ind w:left="1440"/>
    </w:pPr>
  </w:style>
  <w:style w:type="paragraph" w:styleId="TOC8">
    <w:name w:val="toc 8"/>
    <w:basedOn w:val="Normal"/>
    <w:next w:val="Normal"/>
    <w:autoRedefine/>
    <w:uiPriority w:val="39"/>
    <w:rsid w:val="00F67F8A"/>
    <w:pPr>
      <w:ind w:left="1680"/>
    </w:pPr>
  </w:style>
  <w:style w:type="paragraph" w:styleId="TOC9">
    <w:name w:val="toc 9"/>
    <w:basedOn w:val="Normal"/>
    <w:next w:val="Normal"/>
    <w:autoRedefine/>
    <w:uiPriority w:val="39"/>
    <w:rsid w:val="00F67F8A"/>
    <w:pPr>
      <w:ind w:left="1920"/>
    </w:pPr>
  </w:style>
  <w:style w:type="character" w:styleId="PageNumber">
    <w:name w:val="page number"/>
    <w:basedOn w:val="DefaultParagraphFont"/>
    <w:rsid w:val="00A35372"/>
  </w:style>
  <w:style w:type="paragraph" w:customStyle="1" w:styleId="Normalbullets">
    <w:name w:val="Normal bullets"/>
    <w:basedOn w:val="Normal"/>
    <w:next w:val="Normal"/>
    <w:rsid w:val="002A1AE2"/>
    <w:pPr>
      <w:numPr>
        <w:numId w:val="5"/>
      </w:numPr>
      <w:tabs>
        <w:tab w:val="left" w:pos="426"/>
      </w:tabs>
      <w:spacing w:before="60" w:line="264" w:lineRule="auto"/>
      <w:jc w:val="both"/>
    </w:pPr>
    <w:rPr>
      <w:sz w:val="22"/>
    </w:rPr>
  </w:style>
  <w:style w:type="character" w:styleId="Emphasis">
    <w:name w:val="Emphasis"/>
    <w:qFormat/>
    <w:rsid w:val="002A1AE2"/>
    <w:rPr>
      <w:i/>
      <w:iCs/>
    </w:rPr>
  </w:style>
  <w:style w:type="character" w:styleId="CommentReference">
    <w:name w:val="annotation reference"/>
    <w:uiPriority w:val="99"/>
    <w:rsid w:val="0024070F"/>
    <w:rPr>
      <w:sz w:val="18"/>
      <w:szCs w:val="18"/>
    </w:rPr>
  </w:style>
  <w:style w:type="paragraph" w:styleId="CommentText">
    <w:name w:val="annotation text"/>
    <w:basedOn w:val="Normal"/>
    <w:link w:val="CommentTextChar"/>
    <w:uiPriority w:val="99"/>
    <w:rsid w:val="0024070F"/>
  </w:style>
  <w:style w:type="character" w:customStyle="1" w:styleId="CommentTextChar">
    <w:name w:val="Comment Text Char"/>
    <w:link w:val="CommentText"/>
    <w:uiPriority w:val="99"/>
    <w:rsid w:val="0024070F"/>
    <w:rPr>
      <w:rFonts w:ascii="Times New Roman" w:hAnsi="Times New Roman"/>
    </w:rPr>
  </w:style>
  <w:style w:type="paragraph" w:styleId="CommentSubject">
    <w:name w:val="annotation subject"/>
    <w:basedOn w:val="CommentText"/>
    <w:next w:val="CommentText"/>
    <w:link w:val="CommentSubjectChar"/>
    <w:rsid w:val="0024070F"/>
    <w:rPr>
      <w:b/>
      <w:bCs/>
      <w:sz w:val="20"/>
      <w:szCs w:val="20"/>
    </w:rPr>
  </w:style>
  <w:style w:type="character" w:customStyle="1" w:styleId="CommentSubjectChar">
    <w:name w:val="Comment Subject Char"/>
    <w:link w:val="CommentSubject"/>
    <w:rsid w:val="0024070F"/>
    <w:rPr>
      <w:rFonts w:ascii="Times New Roman" w:hAnsi="Times New Roman"/>
      <w:b/>
      <w:bCs/>
      <w:sz w:val="20"/>
      <w:szCs w:val="20"/>
    </w:rPr>
  </w:style>
  <w:style w:type="paragraph" w:styleId="BodyText2">
    <w:name w:val="Body Text 2"/>
    <w:basedOn w:val="Normal"/>
    <w:link w:val="BodyText2Char"/>
    <w:rsid w:val="00AE25B3"/>
    <w:pPr>
      <w:spacing w:after="120" w:line="480" w:lineRule="auto"/>
    </w:pPr>
  </w:style>
  <w:style w:type="character" w:customStyle="1" w:styleId="BodyText2Char">
    <w:name w:val="Body Text 2 Char"/>
    <w:link w:val="BodyText2"/>
    <w:rsid w:val="00AE25B3"/>
    <w:rPr>
      <w:rFonts w:ascii="Times New Roman" w:hAnsi="Times New Roman"/>
    </w:rPr>
  </w:style>
  <w:style w:type="character" w:customStyle="1" w:styleId="Heading4Char">
    <w:name w:val="Heading 4 Char"/>
    <w:link w:val="Heading4"/>
    <w:rsid w:val="00AE25B3"/>
    <w:rPr>
      <w:rFonts w:ascii="Arial" w:hAnsi="Arial"/>
      <w:b/>
      <w:szCs w:val="20"/>
    </w:rPr>
  </w:style>
  <w:style w:type="character" w:customStyle="1" w:styleId="Heading5Char">
    <w:name w:val="Heading 5 Char"/>
    <w:link w:val="Heading5"/>
    <w:rsid w:val="00AE25B3"/>
    <w:rPr>
      <w:rFonts w:ascii="Times New Roman" w:hAnsi="Times New Roman"/>
      <w:sz w:val="22"/>
      <w:szCs w:val="20"/>
    </w:rPr>
  </w:style>
  <w:style w:type="character" w:customStyle="1" w:styleId="Heading6Char">
    <w:name w:val="Heading 6 Char"/>
    <w:link w:val="Heading6"/>
    <w:rsid w:val="00AE25B3"/>
    <w:rPr>
      <w:rFonts w:ascii="Times New Roman" w:hAnsi="Times New Roman"/>
      <w:b/>
      <w:bCs/>
      <w:kern w:val="28"/>
      <w:sz w:val="22"/>
      <w:szCs w:val="22"/>
    </w:rPr>
  </w:style>
  <w:style w:type="character" w:customStyle="1" w:styleId="Heading7Char">
    <w:name w:val="Heading 7 Char"/>
    <w:link w:val="Heading7"/>
    <w:rsid w:val="00AE25B3"/>
    <w:rPr>
      <w:rFonts w:ascii="Arial" w:hAnsi="Arial"/>
      <w:sz w:val="20"/>
      <w:szCs w:val="20"/>
    </w:rPr>
  </w:style>
  <w:style w:type="character" w:customStyle="1" w:styleId="Heading8Char">
    <w:name w:val="Heading 8 Char"/>
    <w:link w:val="Heading8"/>
    <w:rsid w:val="00AE25B3"/>
    <w:rPr>
      <w:rFonts w:ascii="Arial" w:hAnsi="Arial"/>
      <w:i/>
      <w:sz w:val="20"/>
      <w:szCs w:val="20"/>
    </w:rPr>
  </w:style>
  <w:style w:type="character" w:customStyle="1" w:styleId="Heading9Char">
    <w:name w:val="Heading 9 Char"/>
    <w:link w:val="Heading9"/>
    <w:rsid w:val="00AE25B3"/>
    <w:rPr>
      <w:rFonts w:ascii="Arial" w:hAnsi="Arial"/>
      <w:b/>
      <w:i/>
      <w:sz w:val="18"/>
      <w:szCs w:val="20"/>
    </w:rPr>
  </w:style>
  <w:style w:type="character" w:customStyle="1" w:styleId="Heading2CharCharCharCharChar">
    <w:name w:val="Heading 2 Char Char Char Char Char"/>
    <w:rsid w:val="00AE25B3"/>
    <w:rPr>
      <w:rFonts w:ascii="Arial" w:hAnsi="Arial"/>
      <w:b/>
      <w:kern w:val="28"/>
      <w:sz w:val="22"/>
      <w:lang w:val="en-US" w:eastAsia="en-US" w:bidi="ar-SA"/>
    </w:rPr>
  </w:style>
  <w:style w:type="paragraph" w:styleId="List">
    <w:name w:val="List"/>
    <w:basedOn w:val="Normal"/>
    <w:rsid w:val="00AE25B3"/>
    <w:pPr>
      <w:ind w:left="360" w:hanging="360"/>
    </w:pPr>
    <w:rPr>
      <w:rFonts w:ascii="Arial" w:hAnsi="Arial"/>
      <w:kern w:val="28"/>
      <w:sz w:val="22"/>
      <w:szCs w:val="20"/>
    </w:rPr>
  </w:style>
  <w:style w:type="paragraph" w:customStyle="1" w:styleId="05">
    <w:name w:val="05"/>
    <w:basedOn w:val="Normal"/>
    <w:rsid w:val="00AE25B3"/>
    <w:pPr>
      <w:ind w:left="300" w:right="4" w:hanging="300"/>
      <w:jc w:val="both"/>
    </w:pPr>
    <w:rPr>
      <w:rFonts w:ascii="Times" w:hAnsi="Times"/>
      <w:szCs w:val="20"/>
      <w:lang w:val="fr-FR"/>
    </w:rPr>
  </w:style>
  <w:style w:type="character" w:customStyle="1" w:styleId="a">
    <w:name w:val="_a"/>
    <w:basedOn w:val="DefaultParagraphFont"/>
    <w:rsid w:val="00AE25B3"/>
  </w:style>
  <w:style w:type="paragraph" w:customStyle="1" w:styleId="f4">
    <w:name w:val="f4"/>
    <w:rsid w:val="00AE25B3"/>
    <w:pPr>
      <w:widowControl w:val="0"/>
    </w:pPr>
    <w:rPr>
      <w:rFonts w:ascii="CG Times" w:hAnsi="CG Times"/>
      <w:sz w:val="22"/>
    </w:rPr>
  </w:style>
  <w:style w:type="paragraph" w:styleId="BodyTextIndent3">
    <w:name w:val="Body Text Indent 3"/>
    <w:basedOn w:val="Normal"/>
    <w:link w:val="BodyTextIndent3Char"/>
    <w:rsid w:val="00AE25B3"/>
    <w:pPr>
      <w:spacing w:after="120"/>
      <w:ind w:left="283"/>
    </w:pPr>
    <w:rPr>
      <w:rFonts w:ascii="Arial" w:hAnsi="Arial"/>
      <w:kern w:val="28"/>
      <w:sz w:val="16"/>
      <w:szCs w:val="16"/>
    </w:rPr>
  </w:style>
  <w:style w:type="character" w:customStyle="1" w:styleId="BodyTextIndent3Char">
    <w:name w:val="Body Text Indent 3 Char"/>
    <w:link w:val="BodyTextIndent3"/>
    <w:rsid w:val="00AE25B3"/>
    <w:rPr>
      <w:rFonts w:ascii="Arial" w:hAnsi="Arial"/>
      <w:kern w:val="28"/>
      <w:sz w:val="16"/>
      <w:szCs w:val="16"/>
    </w:rPr>
  </w:style>
  <w:style w:type="paragraph" w:customStyle="1" w:styleId="StyleBulletBold">
    <w:name w:val="Style Bullet + Bold"/>
    <w:basedOn w:val="Normal"/>
    <w:rsid w:val="00AE25B3"/>
    <w:pPr>
      <w:numPr>
        <w:numId w:val="7"/>
      </w:numPr>
    </w:pPr>
  </w:style>
  <w:style w:type="paragraph" w:styleId="DocumentMap">
    <w:name w:val="Document Map"/>
    <w:basedOn w:val="Normal"/>
    <w:link w:val="DocumentMapChar"/>
    <w:rsid w:val="00AE25B3"/>
    <w:pPr>
      <w:shd w:val="clear" w:color="auto" w:fill="000080"/>
    </w:pPr>
    <w:rPr>
      <w:rFonts w:ascii="Tahoma" w:hAnsi="Tahoma" w:cs="Tahoma"/>
      <w:kern w:val="28"/>
      <w:sz w:val="20"/>
      <w:szCs w:val="20"/>
    </w:rPr>
  </w:style>
  <w:style w:type="character" w:customStyle="1" w:styleId="DocumentMapChar">
    <w:name w:val="Document Map Char"/>
    <w:link w:val="DocumentMap"/>
    <w:rsid w:val="00AE25B3"/>
    <w:rPr>
      <w:rFonts w:ascii="Tahoma" w:hAnsi="Tahoma" w:cs="Tahoma"/>
      <w:kern w:val="28"/>
      <w:sz w:val="20"/>
      <w:szCs w:val="20"/>
      <w:shd w:val="clear" w:color="auto" w:fill="000080"/>
    </w:rPr>
  </w:style>
  <w:style w:type="paragraph" w:styleId="BodyText3">
    <w:name w:val="Body Text 3"/>
    <w:basedOn w:val="Normal"/>
    <w:link w:val="BodyText3Char"/>
    <w:rsid w:val="00AE25B3"/>
    <w:pPr>
      <w:spacing w:after="120"/>
    </w:pPr>
    <w:rPr>
      <w:rFonts w:ascii="Arial" w:hAnsi="Arial"/>
      <w:kern w:val="28"/>
      <w:sz w:val="16"/>
      <w:szCs w:val="16"/>
    </w:rPr>
  </w:style>
  <w:style w:type="character" w:customStyle="1" w:styleId="BodyText3Char">
    <w:name w:val="Body Text 3 Char"/>
    <w:link w:val="BodyText3"/>
    <w:rsid w:val="00AE25B3"/>
    <w:rPr>
      <w:rFonts w:ascii="Arial" w:hAnsi="Arial"/>
      <w:kern w:val="28"/>
      <w:sz w:val="16"/>
      <w:szCs w:val="16"/>
    </w:rPr>
  </w:style>
  <w:style w:type="paragraph" w:customStyle="1" w:styleId="FR2">
    <w:name w:val="FR2"/>
    <w:rsid w:val="00AE25B3"/>
    <w:pPr>
      <w:widowControl w:val="0"/>
    </w:pPr>
    <w:rPr>
      <w:rFonts w:ascii="Times New Roman" w:hAnsi="Times New Roman"/>
      <w:snapToGrid w:val="0"/>
      <w:sz w:val="18"/>
    </w:rPr>
  </w:style>
  <w:style w:type="paragraph" w:customStyle="1" w:styleId="NormalbulletsChar">
    <w:name w:val="Normal bullets Char"/>
    <w:basedOn w:val="Normal"/>
    <w:rsid w:val="00AE25B3"/>
    <w:pPr>
      <w:numPr>
        <w:numId w:val="8"/>
      </w:numPr>
    </w:pPr>
    <w:rPr>
      <w:lang w:val="en-GB"/>
    </w:rPr>
  </w:style>
  <w:style w:type="paragraph" w:styleId="List2">
    <w:name w:val="List 2"/>
    <w:basedOn w:val="Normal"/>
    <w:rsid w:val="00AE25B3"/>
    <w:pPr>
      <w:ind w:left="720" w:hanging="360"/>
    </w:pPr>
    <w:rPr>
      <w:rFonts w:ascii="Arial" w:hAnsi="Arial"/>
      <w:kern w:val="28"/>
      <w:sz w:val="22"/>
      <w:szCs w:val="20"/>
    </w:rPr>
  </w:style>
  <w:style w:type="paragraph" w:styleId="ListBullet">
    <w:name w:val="List Bullet"/>
    <w:basedOn w:val="Normal"/>
    <w:rsid w:val="00AE25B3"/>
    <w:pPr>
      <w:numPr>
        <w:numId w:val="9"/>
      </w:numPr>
    </w:pPr>
    <w:rPr>
      <w:rFonts w:ascii="Arial" w:hAnsi="Arial"/>
      <w:kern w:val="28"/>
      <w:sz w:val="22"/>
      <w:szCs w:val="20"/>
    </w:rPr>
  </w:style>
  <w:style w:type="paragraph" w:styleId="ListBullet2">
    <w:name w:val="List Bullet 2"/>
    <w:basedOn w:val="Normal"/>
    <w:rsid w:val="00AE25B3"/>
    <w:pPr>
      <w:numPr>
        <w:numId w:val="10"/>
      </w:numPr>
    </w:pPr>
    <w:rPr>
      <w:rFonts w:ascii="Arial" w:hAnsi="Arial"/>
      <w:kern w:val="28"/>
      <w:sz w:val="22"/>
      <w:szCs w:val="20"/>
    </w:rPr>
  </w:style>
  <w:style w:type="paragraph" w:styleId="ListBullet3">
    <w:name w:val="List Bullet 3"/>
    <w:basedOn w:val="Normal"/>
    <w:rsid w:val="00AE25B3"/>
    <w:pPr>
      <w:numPr>
        <w:numId w:val="11"/>
      </w:numPr>
    </w:pPr>
    <w:rPr>
      <w:rFonts w:ascii="Arial" w:hAnsi="Arial"/>
      <w:kern w:val="28"/>
      <w:sz w:val="22"/>
      <w:szCs w:val="20"/>
    </w:rPr>
  </w:style>
  <w:style w:type="paragraph" w:styleId="ListBullet4">
    <w:name w:val="List Bullet 4"/>
    <w:basedOn w:val="Normal"/>
    <w:rsid w:val="00AE25B3"/>
    <w:pPr>
      <w:numPr>
        <w:numId w:val="12"/>
      </w:numPr>
    </w:pPr>
    <w:rPr>
      <w:rFonts w:ascii="Arial" w:hAnsi="Arial"/>
      <w:kern w:val="28"/>
      <w:sz w:val="22"/>
      <w:szCs w:val="20"/>
    </w:rPr>
  </w:style>
  <w:style w:type="paragraph" w:styleId="ListContinue">
    <w:name w:val="List Continue"/>
    <w:basedOn w:val="Normal"/>
    <w:rsid w:val="00AE25B3"/>
    <w:pPr>
      <w:spacing w:after="120"/>
      <w:ind w:left="360"/>
    </w:pPr>
    <w:rPr>
      <w:rFonts w:ascii="Arial" w:hAnsi="Arial"/>
      <w:kern w:val="28"/>
      <w:sz w:val="22"/>
      <w:szCs w:val="20"/>
    </w:rPr>
  </w:style>
  <w:style w:type="paragraph" w:customStyle="1" w:styleId="InsideAddress">
    <w:name w:val="Inside Address"/>
    <w:basedOn w:val="Normal"/>
    <w:rsid w:val="00AE25B3"/>
    <w:rPr>
      <w:rFonts w:ascii="Arial" w:hAnsi="Arial"/>
      <w:kern w:val="28"/>
      <w:sz w:val="22"/>
      <w:szCs w:val="20"/>
    </w:rPr>
  </w:style>
  <w:style w:type="paragraph" w:customStyle="1" w:styleId="Memoheading">
    <w:name w:val="Memo heading"/>
    <w:basedOn w:val="Normal"/>
    <w:rsid w:val="00AE25B3"/>
  </w:style>
  <w:style w:type="character" w:styleId="Strong">
    <w:name w:val="Strong"/>
    <w:qFormat/>
    <w:rsid w:val="00AE25B3"/>
    <w:rPr>
      <w:b/>
      <w:bCs/>
    </w:rPr>
  </w:style>
  <w:style w:type="character" w:styleId="FollowedHyperlink">
    <w:name w:val="FollowedHyperlink"/>
    <w:rsid w:val="00AE25B3"/>
    <w:rPr>
      <w:color w:val="800080"/>
      <w:u w:val="single"/>
    </w:rPr>
  </w:style>
  <w:style w:type="paragraph" w:customStyle="1" w:styleId="Pa5">
    <w:name w:val="Pa5"/>
    <w:basedOn w:val="Normal"/>
    <w:next w:val="Normal"/>
    <w:rsid w:val="00AE25B3"/>
    <w:pPr>
      <w:autoSpaceDE w:val="0"/>
      <w:autoSpaceDN w:val="0"/>
      <w:adjustRightInd w:val="0"/>
      <w:spacing w:line="240" w:lineRule="atLeast"/>
    </w:pPr>
    <w:rPr>
      <w:rFonts w:ascii="Times" w:hAnsi="Times"/>
      <w:lang w:val="en-GB" w:eastAsia="en-GB"/>
    </w:rPr>
  </w:style>
  <w:style w:type="paragraph" w:styleId="Title">
    <w:name w:val="Title"/>
    <w:basedOn w:val="Normal"/>
    <w:next w:val="Normal"/>
    <w:link w:val="TitleChar"/>
    <w:rsid w:val="00BF15D4"/>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leChar">
    <w:name w:val="Title Char"/>
    <w:link w:val="Title"/>
    <w:rsid w:val="00BF15D4"/>
    <w:rPr>
      <w:rFonts w:ascii="Calibri" w:eastAsia="MS Gothic" w:hAnsi="Calibri" w:cs="Times New Roman"/>
      <w:color w:val="17365D"/>
      <w:spacing w:val="5"/>
      <w:kern w:val="28"/>
      <w:sz w:val="52"/>
      <w:szCs w:val="52"/>
    </w:rPr>
  </w:style>
  <w:style w:type="paragraph" w:styleId="Revision">
    <w:name w:val="Revision"/>
    <w:hidden/>
    <w:rsid w:val="004E4934"/>
    <w:rPr>
      <w:rFonts w:ascii="Times New Roman" w:hAnsi="Times New Roman"/>
      <w:sz w:val="24"/>
      <w:szCs w:val="24"/>
    </w:rPr>
  </w:style>
  <w:style w:type="paragraph" w:styleId="Subtitle">
    <w:name w:val="Subtitle"/>
    <w:basedOn w:val="Normal"/>
    <w:link w:val="SubtitleChar"/>
    <w:qFormat/>
    <w:rsid w:val="009927E2"/>
    <w:pPr>
      <w:jc w:val="center"/>
    </w:pPr>
    <w:rPr>
      <w:b/>
      <w:sz w:val="28"/>
      <w:szCs w:val="20"/>
      <w:u w:val="single"/>
      <w:lang w:val="en-GB" w:eastAsia="en-GB"/>
    </w:rPr>
  </w:style>
  <w:style w:type="character" w:customStyle="1" w:styleId="SubtitleChar">
    <w:name w:val="Subtitle Char"/>
    <w:link w:val="Subtitle"/>
    <w:rsid w:val="009927E2"/>
    <w:rPr>
      <w:rFonts w:ascii="Times New Roman" w:hAnsi="Times New Roman"/>
      <w:b/>
      <w:sz w:val="28"/>
      <w:szCs w:val="20"/>
      <w:u w:val="single"/>
      <w:lang w:val="en-GB" w:eastAsia="en-GB"/>
    </w:rPr>
  </w:style>
  <w:style w:type="paragraph" w:customStyle="1" w:styleId="Default">
    <w:name w:val="Default"/>
    <w:rsid w:val="009927E2"/>
    <w:pPr>
      <w:autoSpaceDE w:val="0"/>
      <w:autoSpaceDN w:val="0"/>
      <w:adjustRightInd w:val="0"/>
    </w:pPr>
    <w:rPr>
      <w:rFonts w:ascii="Times New Roman" w:hAnsi="Times New Roman"/>
      <w:color w:val="000000"/>
      <w:sz w:val="24"/>
      <w:szCs w:val="24"/>
      <w:lang w:val="en-GB" w:eastAsia="en-GB"/>
    </w:rPr>
  </w:style>
  <w:style w:type="paragraph" w:customStyle="1" w:styleId="Bullet2">
    <w:name w:val="Bullet2"/>
    <w:basedOn w:val="Normal"/>
    <w:autoRedefine/>
    <w:rsid w:val="000E7E44"/>
    <w:pPr>
      <w:numPr>
        <w:numId w:val="13"/>
      </w:numPr>
    </w:pPr>
    <w:rPr>
      <w:sz w:val="18"/>
    </w:rPr>
  </w:style>
  <w:style w:type="paragraph" w:customStyle="1" w:styleId="TableTextCharChar">
    <w:name w:val="TableText Char Char"/>
    <w:link w:val="TableTextCharCharChar1"/>
    <w:autoRedefine/>
    <w:rsid w:val="002F362E"/>
    <w:pPr>
      <w:tabs>
        <w:tab w:val="left" w:pos="-720"/>
      </w:tabs>
      <w:suppressAutoHyphens/>
    </w:pPr>
    <w:rPr>
      <w:rFonts w:ascii="Times New Roman" w:hAnsi="Times New Roman"/>
      <w:bCs/>
      <w:sz w:val="18"/>
      <w:szCs w:val="18"/>
      <w:lang w:val="en-GB"/>
    </w:rPr>
  </w:style>
  <w:style w:type="character" w:customStyle="1" w:styleId="TableTextCharCharChar1">
    <w:name w:val="TableText Char Char Char1"/>
    <w:link w:val="TableTextCharChar"/>
    <w:rsid w:val="002F362E"/>
    <w:rPr>
      <w:rFonts w:ascii="Times New Roman" w:hAnsi="Times New Roman"/>
      <w:bCs/>
      <w:sz w:val="18"/>
      <w:szCs w:val="18"/>
      <w:lang w:val="en-GB" w:bidi="ar-SA"/>
    </w:rPr>
  </w:style>
  <w:style w:type="paragraph" w:customStyle="1" w:styleId="TableText">
    <w:name w:val="TableText"/>
    <w:link w:val="TableTextChar"/>
    <w:autoRedefine/>
    <w:rsid w:val="002F362E"/>
    <w:pPr>
      <w:tabs>
        <w:tab w:val="left" w:pos="-720"/>
      </w:tabs>
      <w:suppressAutoHyphens/>
    </w:pPr>
    <w:rPr>
      <w:rFonts w:ascii="Times New Roman" w:hAnsi="Times New Roman"/>
      <w:sz w:val="22"/>
      <w:szCs w:val="22"/>
      <w:lang w:val="en-GB"/>
    </w:rPr>
  </w:style>
  <w:style w:type="character" w:customStyle="1" w:styleId="TableTextChar">
    <w:name w:val="TableText Char"/>
    <w:link w:val="TableText"/>
    <w:rsid w:val="002F362E"/>
    <w:rPr>
      <w:rFonts w:ascii="Times New Roman" w:hAnsi="Times New Roman"/>
      <w:sz w:val="22"/>
      <w:szCs w:val="22"/>
      <w:lang w:val="en-GB" w:bidi="ar-SA"/>
    </w:rPr>
  </w:style>
  <w:style w:type="paragraph" w:styleId="EndnoteText">
    <w:name w:val="endnote text"/>
    <w:basedOn w:val="Normal"/>
    <w:link w:val="EndnoteTextChar"/>
    <w:rsid w:val="00930211"/>
  </w:style>
  <w:style w:type="character" w:customStyle="1" w:styleId="EndnoteTextChar">
    <w:name w:val="Endnote Text Char"/>
    <w:link w:val="EndnoteText"/>
    <w:rsid w:val="00930211"/>
    <w:rPr>
      <w:rFonts w:ascii="Times New Roman" w:hAnsi="Times New Roman"/>
    </w:rPr>
  </w:style>
  <w:style w:type="character" w:styleId="EndnoteReference">
    <w:name w:val="endnote reference"/>
    <w:uiPriority w:val="99"/>
    <w:unhideWhenUsed/>
    <w:rsid w:val="00930211"/>
    <w:rPr>
      <w:vertAlign w:val="superscript"/>
    </w:rPr>
  </w:style>
  <w:style w:type="character" w:customStyle="1" w:styleId="st">
    <w:name w:val="st"/>
    <w:basedOn w:val="DefaultParagraphFont"/>
    <w:rsid w:val="002B727C"/>
  </w:style>
  <w:style w:type="paragraph" w:customStyle="1" w:styleId="B">
    <w:name w:val="B"/>
    <w:basedOn w:val="Normal"/>
    <w:rsid w:val="005F7173"/>
    <w:pPr>
      <w:numPr>
        <w:numId w:val="14"/>
      </w:numPr>
      <w:tabs>
        <w:tab w:val="clear" w:pos="360"/>
        <w:tab w:val="num" w:pos="540"/>
      </w:tabs>
      <w:spacing w:after="120"/>
      <w:ind w:left="0" w:firstLine="0"/>
    </w:pPr>
    <w:rPr>
      <w:sz w:val="22"/>
      <w:szCs w:val="22"/>
    </w:rPr>
  </w:style>
  <w:style w:type="character" w:customStyle="1" w:styleId="contentfont12">
    <w:name w:val="content_font_12"/>
    <w:basedOn w:val="DefaultParagraphFont"/>
    <w:rsid w:val="00876695"/>
  </w:style>
  <w:style w:type="paragraph" w:styleId="BodyTextIndent">
    <w:name w:val="Body Text Indent"/>
    <w:basedOn w:val="Normal"/>
    <w:link w:val="BodyTextIndentChar"/>
    <w:rsid w:val="00D91AAA"/>
    <w:pPr>
      <w:spacing w:after="120"/>
      <w:ind w:left="360"/>
    </w:pPr>
  </w:style>
  <w:style w:type="character" w:customStyle="1" w:styleId="BodyTextIndentChar">
    <w:name w:val="Body Text Indent Char"/>
    <w:basedOn w:val="DefaultParagraphFont"/>
    <w:link w:val="BodyTextIndent"/>
    <w:rsid w:val="00D91AAA"/>
    <w:rPr>
      <w:rFonts w:ascii="Times New Roman" w:hAnsi="Times New Roman"/>
      <w:sz w:val="24"/>
      <w:szCs w:val="24"/>
    </w:rPr>
  </w:style>
  <w:style w:type="paragraph" w:customStyle="1" w:styleId="odrky">
    <w:name w:val="odrážky"/>
    <w:basedOn w:val="Normal"/>
    <w:rsid w:val="00940956"/>
    <w:pPr>
      <w:numPr>
        <w:numId w:val="23"/>
      </w:numPr>
    </w:pPr>
    <w:rPr>
      <w:szCs w:val="20"/>
      <w:lang w:eastAsia="cs-CZ"/>
    </w:rPr>
  </w:style>
  <w:style w:type="paragraph" w:styleId="NoSpacing">
    <w:name w:val="No Spacing"/>
    <w:uiPriority w:val="99"/>
    <w:qFormat/>
    <w:rsid w:val="000A0F25"/>
    <w:rPr>
      <w:rFonts w:ascii="Calibri" w:hAnsi="Calibri"/>
      <w:sz w:val="22"/>
      <w:szCs w:val="22"/>
      <w:lang w:val="en-GB"/>
    </w:rPr>
  </w:style>
</w:styles>
</file>

<file path=word/webSettings.xml><?xml version="1.0" encoding="utf-8"?>
<w:webSettings xmlns:r="http://schemas.openxmlformats.org/officeDocument/2006/relationships" xmlns:w="http://schemas.openxmlformats.org/wordprocessingml/2006/main">
  <w:divs>
    <w:div w:id="417604600">
      <w:bodyDiv w:val="1"/>
      <w:marLeft w:val="0"/>
      <w:marRight w:val="0"/>
      <w:marTop w:val="0"/>
      <w:marBottom w:val="0"/>
      <w:divBdr>
        <w:top w:val="none" w:sz="0" w:space="0" w:color="auto"/>
        <w:left w:val="none" w:sz="0" w:space="0" w:color="auto"/>
        <w:bottom w:val="none" w:sz="0" w:space="0" w:color="auto"/>
        <w:right w:val="none" w:sz="0" w:space="0" w:color="auto"/>
      </w:divBdr>
    </w:div>
    <w:div w:id="476917623">
      <w:bodyDiv w:val="1"/>
      <w:marLeft w:val="0"/>
      <w:marRight w:val="0"/>
      <w:marTop w:val="0"/>
      <w:marBottom w:val="0"/>
      <w:divBdr>
        <w:top w:val="none" w:sz="0" w:space="0" w:color="auto"/>
        <w:left w:val="none" w:sz="0" w:space="0" w:color="auto"/>
        <w:bottom w:val="none" w:sz="0" w:space="0" w:color="auto"/>
        <w:right w:val="none" w:sz="0" w:space="0" w:color="auto"/>
      </w:divBdr>
    </w:div>
    <w:div w:id="538394886">
      <w:bodyDiv w:val="1"/>
      <w:marLeft w:val="0"/>
      <w:marRight w:val="0"/>
      <w:marTop w:val="0"/>
      <w:marBottom w:val="0"/>
      <w:divBdr>
        <w:top w:val="none" w:sz="0" w:space="0" w:color="auto"/>
        <w:left w:val="none" w:sz="0" w:space="0" w:color="auto"/>
        <w:bottom w:val="none" w:sz="0" w:space="0" w:color="auto"/>
        <w:right w:val="none" w:sz="0" w:space="0" w:color="auto"/>
      </w:divBdr>
    </w:div>
    <w:div w:id="748042347">
      <w:bodyDiv w:val="1"/>
      <w:marLeft w:val="0"/>
      <w:marRight w:val="0"/>
      <w:marTop w:val="0"/>
      <w:marBottom w:val="0"/>
      <w:divBdr>
        <w:top w:val="none" w:sz="0" w:space="0" w:color="auto"/>
        <w:left w:val="none" w:sz="0" w:space="0" w:color="auto"/>
        <w:bottom w:val="none" w:sz="0" w:space="0" w:color="auto"/>
        <w:right w:val="none" w:sz="0" w:space="0" w:color="auto"/>
      </w:divBdr>
    </w:div>
    <w:div w:id="799540204">
      <w:bodyDiv w:val="1"/>
      <w:marLeft w:val="0"/>
      <w:marRight w:val="0"/>
      <w:marTop w:val="0"/>
      <w:marBottom w:val="0"/>
      <w:divBdr>
        <w:top w:val="none" w:sz="0" w:space="0" w:color="auto"/>
        <w:left w:val="none" w:sz="0" w:space="0" w:color="auto"/>
        <w:bottom w:val="none" w:sz="0" w:space="0" w:color="auto"/>
        <w:right w:val="none" w:sz="0" w:space="0" w:color="auto"/>
      </w:divBdr>
    </w:div>
    <w:div w:id="882058498">
      <w:bodyDiv w:val="1"/>
      <w:marLeft w:val="0"/>
      <w:marRight w:val="0"/>
      <w:marTop w:val="0"/>
      <w:marBottom w:val="0"/>
      <w:divBdr>
        <w:top w:val="none" w:sz="0" w:space="0" w:color="auto"/>
        <w:left w:val="none" w:sz="0" w:space="0" w:color="auto"/>
        <w:bottom w:val="none" w:sz="0" w:space="0" w:color="auto"/>
        <w:right w:val="none" w:sz="0" w:space="0" w:color="auto"/>
      </w:divBdr>
    </w:div>
    <w:div w:id="913472256">
      <w:bodyDiv w:val="1"/>
      <w:marLeft w:val="0"/>
      <w:marRight w:val="0"/>
      <w:marTop w:val="0"/>
      <w:marBottom w:val="0"/>
      <w:divBdr>
        <w:top w:val="none" w:sz="0" w:space="0" w:color="auto"/>
        <w:left w:val="none" w:sz="0" w:space="0" w:color="auto"/>
        <w:bottom w:val="none" w:sz="0" w:space="0" w:color="auto"/>
        <w:right w:val="none" w:sz="0" w:space="0" w:color="auto"/>
      </w:divBdr>
    </w:div>
    <w:div w:id="1040596604">
      <w:bodyDiv w:val="1"/>
      <w:marLeft w:val="0"/>
      <w:marRight w:val="0"/>
      <w:marTop w:val="0"/>
      <w:marBottom w:val="0"/>
      <w:divBdr>
        <w:top w:val="none" w:sz="0" w:space="0" w:color="auto"/>
        <w:left w:val="none" w:sz="0" w:space="0" w:color="auto"/>
        <w:bottom w:val="none" w:sz="0" w:space="0" w:color="auto"/>
        <w:right w:val="none" w:sz="0" w:space="0" w:color="auto"/>
      </w:divBdr>
    </w:div>
    <w:div w:id="1196697104">
      <w:bodyDiv w:val="1"/>
      <w:marLeft w:val="0"/>
      <w:marRight w:val="0"/>
      <w:marTop w:val="0"/>
      <w:marBottom w:val="0"/>
      <w:divBdr>
        <w:top w:val="none" w:sz="0" w:space="0" w:color="auto"/>
        <w:left w:val="none" w:sz="0" w:space="0" w:color="auto"/>
        <w:bottom w:val="none" w:sz="0" w:space="0" w:color="auto"/>
        <w:right w:val="none" w:sz="0" w:space="0" w:color="auto"/>
      </w:divBdr>
    </w:div>
    <w:div w:id="1211040586">
      <w:bodyDiv w:val="1"/>
      <w:marLeft w:val="0"/>
      <w:marRight w:val="0"/>
      <w:marTop w:val="0"/>
      <w:marBottom w:val="0"/>
      <w:divBdr>
        <w:top w:val="none" w:sz="0" w:space="0" w:color="auto"/>
        <w:left w:val="none" w:sz="0" w:space="0" w:color="auto"/>
        <w:bottom w:val="none" w:sz="0" w:space="0" w:color="auto"/>
        <w:right w:val="none" w:sz="0" w:space="0" w:color="auto"/>
      </w:divBdr>
    </w:div>
    <w:div w:id="1334914407">
      <w:bodyDiv w:val="1"/>
      <w:marLeft w:val="0"/>
      <w:marRight w:val="0"/>
      <w:marTop w:val="0"/>
      <w:marBottom w:val="0"/>
      <w:divBdr>
        <w:top w:val="none" w:sz="0" w:space="0" w:color="auto"/>
        <w:left w:val="none" w:sz="0" w:space="0" w:color="auto"/>
        <w:bottom w:val="none" w:sz="0" w:space="0" w:color="auto"/>
        <w:right w:val="none" w:sz="0" w:space="0" w:color="auto"/>
      </w:divBdr>
    </w:div>
    <w:div w:id="1549535010">
      <w:bodyDiv w:val="1"/>
      <w:marLeft w:val="0"/>
      <w:marRight w:val="0"/>
      <w:marTop w:val="0"/>
      <w:marBottom w:val="0"/>
      <w:divBdr>
        <w:top w:val="none" w:sz="0" w:space="0" w:color="auto"/>
        <w:left w:val="none" w:sz="0" w:space="0" w:color="auto"/>
        <w:bottom w:val="none" w:sz="0" w:space="0" w:color="auto"/>
        <w:right w:val="none" w:sz="0" w:space="0" w:color="auto"/>
      </w:divBdr>
    </w:div>
    <w:div w:id="1581670132">
      <w:bodyDiv w:val="1"/>
      <w:marLeft w:val="0"/>
      <w:marRight w:val="0"/>
      <w:marTop w:val="0"/>
      <w:marBottom w:val="0"/>
      <w:divBdr>
        <w:top w:val="none" w:sz="0" w:space="0" w:color="auto"/>
        <w:left w:val="none" w:sz="0" w:space="0" w:color="auto"/>
        <w:bottom w:val="none" w:sz="0" w:space="0" w:color="auto"/>
        <w:right w:val="none" w:sz="0" w:space="0" w:color="auto"/>
      </w:divBdr>
    </w:div>
    <w:div w:id="1679502662">
      <w:bodyDiv w:val="1"/>
      <w:marLeft w:val="0"/>
      <w:marRight w:val="0"/>
      <w:marTop w:val="0"/>
      <w:marBottom w:val="0"/>
      <w:divBdr>
        <w:top w:val="none" w:sz="0" w:space="0" w:color="auto"/>
        <w:left w:val="none" w:sz="0" w:space="0" w:color="auto"/>
        <w:bottom w:val="none" w:sz="0" w:space="0" w:color="auto"/>
        <w:right w:val="none" w:sz="0" w:space="0" w:color="auto"/>
      </w:divBdr>
    </w:div>
    <w:div w:id="1766076467">
      <w:bodyDiv w:val="1"/>
      <w:marLeft w:val="0"/>
      <w:marRight w:val="0"/>
      <w:marTop w:val="0"/>
      <w:marBottom w:val="0"/>
      <w:divBdr>
        <w:top w:val="none" w:sz="0" w:space="0" w:color="auto"/>
        <w:left w:val="none" w:sz="0" w:space="0" w:color="auto"/>
        <w:bottom w:val="none" w:sz="0" w:space="0" w:color="auto"/>
        <w:right w:val="none" w:sz="0" w:space="0" w:color="auto"/>
      </w:divBdr>
    </w:div>
    <w:div w:id="1785029395">
      <w:bodyDiv w:val="1"/>
      <w:marLeft w:val="0"/>
      <w:marRight w:val="0"/>
      <w:marTop w:val="0"/>
      <w:marBottom w:val="0"/>
      <w:divBdr>
        <w:top w:val="none" w:sz="0" w:space="0" w:color="auto"/>
        <w:left w:val="none" w:sz="0" w:space="0" w:color="auto"/>
        <w:bottom w:val="none" w:sz="0" w:space="0" w:color="auto"/>
        <w:right w:val="none" w:sz="0" w:space="0" w:color="auto"/>
      </w:divBdr>
    </w:div>
    <w:div w:id="1837916177">
      <w:bodyDiv w:val="1"/>
      <w:marLeft w:val="0"/>
      <w:marRight w:val="0"/>
      <w:marTop w:val="0"/>
      <w:marBottom w:val="0"/>
      <w:divBdr>
        <w:top w:val="none" w:sz="0" w:space="0" w:color="auto"/>
        <w:left w:val="none" w:sz="0" w:space="0" w:color="auto"/>
        <w:bottom w:val="none" w:sz="0" w:space="0" w:color="auto"/>
        <w:right w:val="none" w:sz="0" w:space="0" w:color="auto"/>
      </w:divBdr>
    </w:div>
    <w:div w:id="1969126176">
      <w:bodyDiv w:val="1"/>
      <w:marLeft w:val="0"/>
      <w:marRight w:val="0"/>
      <w:marTop w:val="0"/>
      <w:marBottom w:val="0"/>
      <w:divBdr>
        <w:top w:val="none" w:sz="0" w:space="0" w:color="auto"/>
        <w:left w:val="none" w:sz="0" w:space="0" w:color="auto"/>
        <w:bottom w:val="none" w:sz="0" w:space="0" w:color="auto"/>
        <w:right w:val="none" w:sz="0" w:space="0" w:color="auto"/>
      </w:divBdr>
    </w:div>
    <w:div w:id="1990014730">
      <w:bodyDiv w:val="1"/>
      <w:marLeft w:val="0"/>
      <w:marRight w:val="0"/>
      <w:marTop w:val="0"/>
      <w:marBottom w:val="0"/>
      <w:divBdr>
        <w:top w:val="none" w:sz="0" w:space="0" w:color="auto"/>
        <w:left w:val="none" w:sz="0" w:space="0" w:color="auto"/>
        <w:bottom w:val="none" w:sz="0" w:space="0" w:color="auto"/>
        <w:right w:val="none" w:sz="0" w:space="0" w:color="auto"/>
      </w:divBdr>
    </w:div>
    <w:div w:id="20205724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mailto:gkromidha@yahoo.it" TargetMode="External"/><Relationship Id="rId18" Type="http://schemas.openxmlformats.org/officeDocument/2006/relationships/image" Target="media/image5.png"/><Relationship Id="rId26" Type="http://schemas.openxmlformats.org/officeDocument/2006/relationships/image" Target="media/image12.emf"/><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18.jpeg"/><Relationship Id="rId42" Type="http://schemas.openxmlformats.org/officeDocument/2006/relationships/hyperlink" Target="http://inletkeeper.org/clean-water/citizen-monitoring" TargetMode="Externa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Brann.Evaluation@gmail.com" TargetMode="External"/><Relationship Id="rId17" Type="http://schemas.openxmlformats.org/officeDocument/2006/relationships/image" Target="media/image4.png"/><Relationship Id="rId25" Type="http://schemas.openxmlformats.org/officeDocument/2006/relationships/image" Target="media/image11.emf"/><Relationship Id="rId33" Type="http://schemas.openxmlformats.org/officeDocument/2006/relationships/image" Target="media/image17.jpeg"/><Relationship Id="rId38" Type="http://schemas.openxmlformats.org/officeDocument/2006/relationships/image" Target="media/image20.jpeg"/><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2.xml"/><Relationship Id="rId29" Type="http://schemas.openxmlformats.org/officeDocument/2006/relationships/image" Target="media/image15.emf"/><Relationship Id="rId41" Type="http://schemas.openxmlformats.org/officeDocument/2006/relationships/hyperlink" Target="http://water.epa.gov/type/rsl/monitoring/index.cf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emf"/><Relationship Id="rId32" Type="http://schemas.openxmlformats.org/officeDocument/2006/relationships/image" Target="media/image16.jpe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www.undp.org/gef/05/monitoring/policies.html" TargetMode="Externa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hyperlink" Target="http://www.prespapark.org"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www.prespapark.org" TargetMode="External"/><Relationship Id="rId44" Type="http://schemas.openxmlformats.org/officeDocument/2006/relationships/hyperlink" Target="http://thegef.org/MonitoringandEvaluation/MEPoliciesProcedures/mepoliciesprocedures.htm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danco.uzunov@pointpro.com.mk" TargetMode="Externa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header" Target="header3.xml"/><Relationship Id="rId35" Type="http://schemas.openxmlformats.org/officeDocument/2006/relationships/hyperlink" Target="http://prespa.iwlearn.org" TargetMode="External"/><Relationship Id="rId43" Type="http://schemas.openxmlformats.org/officeDocument/2006/relationships/hyperlink" Target="http://www.georgiaadoptastream.org/db/" TargetMode="External"/><Relationship Id="rId48" Type="http://schemas.openxmlformats.org/officeDocument/2006/relationships/header" Target="header6.xml"/><Relationship Id="rId8" Type="http://schemas.openxmlformats.org/officeDocument/2006/relationships/image" Target="media/image1.jpeg"/><Relationship Id="rId51" Type="http://schemas.microsoft.com/office/2007/relationships/stylesWithEffects" Target="stylesWithEffects.xml"/></Relationships>
</file>

<file path=word/_rels/footnotes.xml.rels><?xml version="1.0" encoding="UTF-8" standalone="yes"?>
<Relationships xmlns="http://schemas.openxmlformats.org/package/2006/relationships"><Relationship Id="rId3" Type="http://schemas.openxmlformats.org/officeDocument/2006/relationships/hyperlink" Target="http://europeandcis.undp.org/news/show/72DC6188-F203-1EE9-B343816E216B1384" TargetMode="External"/><Relationship Id="rId2" Type="http://schemas.openxmlformats.org/officeDocument/2006/relationships/hyperlink" Target="http://www.spp.gr" TargetMode="External"/><Relationship Id="rId1" Type="http://schemas.openxmlformats.org/officeDocument/2006/relationships/hyperlink" Target="http://www.ramsar.org/cda/en/ramsar-activities-awards-1999-ramsar-wetland-15970/main/ramsar/1-63-67-152%5E15970_4000_0__" TargetMode="External"/><Relationship Id="rId6" Type="http://schemas.openxmlformats.org/officeDocument/2006/relationships/hyperlink" Target="http://www.gefcountrysupport.org/report_detail.cfm?projectId=232" TargetMode="External"/><Relationship Id="rId5" Type="http://schemas.openxmlformats.org/officeDocument/2006/relationships/hyperlink" Target="http://prespa.iwlearn.org/species-and-habitats-conservation-and-action-plans" TargetMode="External"/><Relationship Id="rId4" Type="http://schemas.openxmlformats.org/officeDocument/2006/relationships/hyperlink" Target="http://www.unepsc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E9E275-134A-443E-9541-83D355A4A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62849</Words>
  <Characters>358241</Characters>
  <Application>Microsoft Office Word</Application>
  <DocSecurity>0</DocSecurity>
  <Lines>2985</Lines>
  <Paragraphs>840</Paragraphs>
  <ScaleCrop>false</ScaleCrop>
  <HeadingPairs>
    <vt:vector size="2" baseType="variant">
      <vt:variant>
        <vt:lpstr>Title</vt:lpstr>
      </vt:variant>
      <vt:variant>
        <vt:i4>1</vt:i4>
      </vt:variant>
    </vt:vector>
  </HeadingPairs>
  <TitlesOfParts>
    <vt:vector size="1" baseType="lpstr">
      <vt:lpstr/>
    </vt:vector>
  </TitlesOfParts>
  <Company>UNDP Russia</Company>
  <LinksUpToDate>false</LinksUpToDate>
  <CharactersWithSpaces>420250</CharactersWithSpaces>
  <SharedDoc>false</SharedDoc>
  <HLinks>
    <vt:vector size="78" baseType="variant">
      <vt:variant>
        <vt:i4>1179653</vt:i4>
      </vt:variant>
      <vt:variant>
        <vt:i4>273</vt:i4>
      </vt:variant>
      <vt:variant>
        <vt:i4>0</vt:i4>
      </vt:variant>
      <vt:variant>
        <vt:i4>5</vt:i4>
      </vt:variant>
      <vt:variant>
        <vt:lpwstr>http://www.thegef.org/gef/sites/thegef.org/files/documents/Policies-TEguidelines7-31.pdf</vt:lpwstr>
      </vt:variant>
      <vt:variant>
        <vt:lpwstr/>
      </vt:variant>
      <vt:variant>
        <vt:i4>6094850</vt:i4>
      </vt:variant>
      <vt:variant>
        <vt:i4>270</vt:i4>
      </vt:variant>
      <vt:variant>
        <vt:i4>0</vt:i4>
      </vt:variant>
      <vt:variant>
        <vt:i4>5</vt:i4>
      </vt:variant>
      <vt:variant>
        <vt:lpwstr/>
      </vt:variant>
      <vt:variant>
        <vt:lpwstr>_8._Annexes_Annex</vt:lpwstr>
      </vt:variant>
      <vt:variant>
        <vt:i4>1310726</vt:i4>
      </vt:variant>
      <vt:variant>
        <vt:i4>267</vt:i4>
      </vt:variant>
      <vt:variant>
        <vt:i4>0</vt:i4>
      </vt:variant>
      <vt:variant>
        <vt:i4>5</vt:i4>
      </vt:variant>
      <vt:variant>
        <vt:lpwstr>http://www.undp.org/gef/evaluation.shtml</vt:lpwstr>
      </vt:variant>
      <vt:variant>
        <vt:lpwstr/>
      </vt:variant>
      <vt:variant>
        <vt:i4>6291472</vt:i4>
      </vt:variant>
      <vt:variant>
        <vt:i4>264</vt:i4>
      </vt:variant>
      <vt:variant>
        <vt:i4>0</vt:i4>
      </vt:variant>
      <vt:variant>
        <vt:i4>5</vt:i4>
      </vt:variant>
      <vt:variant>
        <vt:lpwstr>http://www.thegef.org/gef/node/4184</vt:lpwstr>
      </vt:variant>
      <vt:variant>
        <vt:lpwstr/>
      </vt:variant>
      <vt:variant>
        <vt:i4>7471150</vt:i4>
      </vt:variant>
      <vt:variant>
        <vt:i4>3</vt:i4>
      </vt:variant>
      <vt:variant>
        <vt:i4>0</vt:i4>
      </vt:variant>
      <vt:variant>
        <vt:i4>5</vt:i4>
      </vt:variant>
      <vt:variant>
        <vt:lpwstr>mailto:a.bardarov@pdm-services.eu</vt:lpwstr>
      </vt:variant>
      <vt:variant>
        <vt:lpwstr/>
      </vt:variant>
      <vt:variant>
        <vt:i4>6291552</vt:i4>
      </vt:variant>
      <vt:variant>
        <vt:i4>0</vt:i4>
      </vt:variant>
      <vt:variant>
        <vt:i4>0</vt:i4>
      </vt:variant>
      <vt:variant>
        <vt:i4>5</vt:i4>
      </vt:variant>
      <vt:variant>
        <vt:lpwstr>mailto:Brann.Evaluation@gmail.com</vt:lpwstr>
      </vt:variant>
      <vt:variant>
        <vt:lpwstr/>
      </vt:variant>
      <vt:variant>
        <vt:i4>5570639</vt:i4>
      </vt:variant>
      <vt:variant>
        <vt:i4>18</vt:i4>
      </vt:variant>
      <vt:variant>
        <vt:i4>0</vt:i4>
      </vt:variant>
      <vt:variant>
        <vt:i4>5</vt:i4>
      </vt:variant>
      <vt:variant>
        <vt:lpwstr>http://www.uneval.org/normsandstandards/index.jsp?doc_cat_source_id=4</vt:lpwstr>
      </vt:variant>
      <vt:variant>
        <vt:lpwstr/>
      </vt:variant>
      <vt:variant>
        <vt:i4>6946886</vt:i4>
      </vt:variant>
      <vt:variant>
        <vt:i4>15</vt:i4>
      </vt:variant>
      <vt:variant>
        <vt:i4>0</vt:i4>
      </vt:variant>
      <vt:variant>
        <vt:i4>5</vt:i4>
      </vt:variant>
      <vt:variant>
        <vt:lpwstr>http://www.gefcountrysupport.org/report_detail.cfm?projectId=232</vt:lpwstr>
      </vt:variant>
      <vt:variant>
        <vt:lpwstr/>
      </vt:variant>
      <vt:variant>
        <vt:i4>6881309</vt:i4>
      </vt:variant>
      <vt:variant>
        <vt:i4>12</vt:i4>
      </vt:variant>
      <vt:variant>
        <vt:i4>0</vt:i4>
      </vt:variant>
      <vt:variant>
        <vt:i4>5</vt:i4>
      </vt:variant>
      <vt:variant>
        <vt:lpwstr>http://www.elotisza.hu/</vt:lpwstr>
      </vt:variant>
      <vt:variant>
        <vt:lpwstr/>
      </vt:variant>
      <vt:variant>
        <vt:i4>1769599</vt:i4>
      </vt:variant>
      <vt:variant>
        <vt:i4>9</vt:i4>
      </vt:variant>
      <vt:variant>
        <vt:i4>0</vt:i4>
      </vt:variant>
      <vt:variant>
        <vt:i4>5</vt:i4>
      </vt:variant>
      <vt:variant>
        <vt:lpwstr>http://www.regional-products.eu/en/brands/detail/376/vyrobeno-v-beskydech</vt:lpwstr>
      </vt:variant>
      <vt:variant>
        <vt:lpwstr/>
      </vt:variant>
      <vt:variant>
        <vt:i4>5767172</vt:i4>
      </vt:variant>
      <vt:variant>
        <vt:i4>6</vt:i4>
      </vt:variant>
      <vt:variant>
        <vt:i4>0</vt:i4>
      </vt:variant>
      <vt:variant>
        <vt:i4>5</vt:i4>
      </vt:variant>
      <vt:variant>
        <vt:lpwstr>http://www.regional-products.eu/en/best-practise/detail/12/three-years-of-the-barycz-valley-recommends-brand</vt:lpwstr>
      </vt:variant>
      <vt:variant>
        <vt:lpwstr/>
      </vt:variant>
      <vt:variant>
        <vt:i4>2293864</vt:i4>
      </vt:variant>
      <vt:variant>
        <vt:i4>3</vt:i4>
      </vt:variant>
      <vt:variant>
        <vt:i4>0</vt:i4>
      </vt:variant>
      <vt:variant>
        <vt:i4>5</vt:i4>
      </vt:variant>
      <vt:variant>
        <vt:lpwstr>http://www.dbpoleca.barycz.pl/</vt:lpwstr>
      </vt:variant>
      <vt:variant>
        <vt:lpwstr/>
      </vt:variant>
      <vt:variant>
        <vt:i4>2359345</vt:i4>
      </vt:variant>
      <vt:variant>
        <vt:i4>0</vt:i4>
      </vt:variant>
      <vt:variant>
        <vt:i4>0</vt:i4>
      </vt:variant>
      <vt:variant>
        <vt:i4>5</vt:i4>
      </vt:variant>
      <vt:variant>
        <vt:lpwstr>http://www.cbd.int/sustainable/addis.shtml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 Brann</dc:creator>
  <cp:lastModifiedBy>Entela Lako</cp:lastModifiedBy>
  <cp:revision>2</cp:revision>
  <cp:lastPrinted>2012-11-27T13:22:00Z</cp:lastPrinted>
  <dcterms:created xsi:type="dcterms:W3CDTF">2013-12-20T15:07:00Z</dcterms:created>
  <dcterms:modified xsi:type="dcterms:W3CDTF">2013-12-20T15:07:00Z</dcterms:modified>
</cp:coreProperties>
</file>