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92436" w14:textId="77777777" w:rsidR="00E61BD7" w:rsidRPr="00D60D1F" w:rsidRDefault="00E61BD7" w:rsidP="00E61BD7">
      <w:pPr>
        <w:pStyle w:val="G-heading2"/>
        <w:numPr>
          <w:ilvl w:val="0"/>
          <w:numId w:val="0"/>
        </w:numPr>
      </w:pPr>
      <w:bookmarkStart w:id="0" w:name="_Toc533099722"/>
      <w:bookmarkStart w:id="1" w:name="_GoBack"/>
      <w:r w:rsidRPr="00D60D1F">
        <w:t>Management response</w:t>
      </w:r>
      <w:bookmarkEnd w:id="0"/>
    </w:p>
    <w:p w14:paraId="663EFCFD" w14:textId="77777777" w:rsidR="00E61BD7" w:rsidRPr="00BF5D14" w:rsidRDefault="00E61BD7" w:rsidP="00E61BD7">
      <w:pPr>
        <w:spacing w:after="0" w:line="240" w:lineRule="auto"/>
        <w:jc w:val="both"/>
        <w:rPr>
          <w:rFonts w:cstheme="minorHAnsi"/>
          <w:b/>
        </w:rPr>
      </w:pPr>
    </w:p>
    <w:p w14:paraId="197C59CB" w14:textId="77777777" w:rsidR="007D2069" w:rsidRPr="007D2069" w:rsidRDefault="007D2069" w:rsidP="007D2069">
      <w:pPr>
        <w:spacing w:after="0" w:line="240" w:lineRule="auto"/>
        <w:jc w:val="both"/>
        <w:rPr>
          <w:rFonts w:cstheme="minorHAnsi"/>
          <w:b/>
        </w:rPr>
      </w:pPr>
      <w:r w:rsidRPr="007D2069">
        <w:rPr>
          <w:rFonts w:cstheme="minorHAnsi"/>
          <w:b/>
        </w:rPr>
        <w:t xml:space="preserve">Electoral Support Project in Armenia </w:t>
      </w:r>
    </w:p>
    <w:p w14:paraId="528D7917" w14:textId="77777777" w:rsidR="007D2069" w:rsidRDefault="007D2069" w:rsidP="007D2069">
      <w:pPr>
        <w:spacing w:after="0" w:line="240" w:lineRule="auto"/>
        <w:jc w:val="both"/>
        <w:rPr>
          <w:rFonts w:cstheme="minorHAnsi"/>
          <w:b/>
        </w:rPr>
      </w:pPr>
      <w:r w:rsidRPr="007D2069">
        <w:rPr>
          <w:rFonts w:cstheme="minorHAnsi"/>
          <w:b/>
        </w:rPr>
        <w:t>Final Evaluation</w:t>
      </w:r>
      <w:r>
        <w:rPr>
          <w:rFonts w:cstheme="minorHAnsi"/>
          <w:b/>
        </w:rPr>
        <w:t xml:space="preserve"> Report</w:t>
      </w:r>
    </w:p>
    <w:p w14:paraId="186B57FA" w14:textId="77777777" w:rsidR="00E61BD7" w:rsidRPr="00BF5D14" w:rsidRDefault="00E61BD7" w:rsidP="007D2069">
      <w:pPr>
        <w:spacing w:after="0" w:line="240" w:lineRule="auto"/>
        <w:jc w:val="both"/>
        <w:rPr>
          <w:rFonts w:cstheme="minorHAnsi"/>
        </w:rPr>
      </w:pPr>
      <w:r w:rsidRPr="00BF5D14">
        <w:rPr>
          <w:rFonts w:cstheme="minorHAnsi"/>
        </w:rPr>
        <w:t>Date:</w:t>
      </w:r>
      <w:r w:rsidR="007D2069">
        <w:rPr>
          <w:rFonts w:cstheme="minorHAnsi"/>
        </w:rPr>
        <w:t xml:space="preserve"> </w:t>
      </w:r>
      <w:r w:rsidR="00C86FA5">
        <w:rPr>
          <w:rFonts w:cstheme="minorHAnsi"/>
        </w:rPr>
        <w:t>30</w:t>
      </w:r>
      <w:r w:rsidR="00201C84">
        <w:rPr>
          <w:rFonts w:cstheme="minorHAnsi"/>
        </w:rPr>
        <w:t xml:space="preserve"> </w:t>
      </w:r>
      <w:r w:rsidR="00F03AA8">
        <w:rPr>
          <w:rFonts w:cstheme="minorHAnsi"/>
        </w:rPr>
        <w:t>October</w:t>
      </w:r>
      <w:r w:rsidR="00201C84">
        <w:rPr>
          <w:rFonts w:cstheme="minorHAnsi"/>
        </w:rPr>
        <w:t xml:space="preserve"> 2020</w:t>
      </w:r>
    </w:p>
    <w:p w14:paraId="691AC585" w14:textId="77777777" w:rsidR="00E61BD7" w:rsidRPr="00BF5D14" w:rsidRDefault="00E61BD7" w:rsidP="00E61BD7">
      <w:pPr>
        <w:spacing w:after="0" w:line="240" w:lineRule="auto"/>
        <w:ind w:left="5040" w:firstLine="720"/>
        <w:jc w:val="both"/>
        <w:rPr>
          <w:rFonts w:cstheme="minorHAnsi"/>
        </w:rPr>
      </w:pPr>
    </w:p>
    <w:p w14:paraId="431865E5" w14:textId="77777777" w:rsidR="00E61BD7" w:rsidRPr="00BF5D14" w:rsidRDefault="00E61BD7" w:rsidP="00E61BD7">
      <w:pPr>
        <w:spacing w:after="0" w:line="240" w:lineRule="auto"/>
        <w:jc w:val="both"/>
        <w:rPr>
          <w:rFonts w:cstheme="minorHAnsi"/>
        </w:rPr>
      </w:pPr>
    </w:p>
    <w:tbl>
      <w:tblPr>
        <w:tblpPr w:leftFromText="180" w:rightFromText="180" w:vertAnchor="text" w:tblpY="31"/>
        <w:tblW w:w="5000" w:type="pct"/>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5065"/>
        <w:gridCol w:w="3344"/>
        <w:gridCol w:w="2997"/>
        <w:gridCol w:w="1439"/>
        <w:gridCol w:w="1373"/>
      </w:tblGrid>
      <w:tr w:rsidR="00E61BD7" w:rsidRPr="008711DF" w14:paraId="12E33516" w14:textId="77777777" w:rsidTr="00B024F1">
        <w:tc>
          <w:tcPr>
            <w:tcW w:w="5000" w:type="pct"/>
            <w:gridSpan w:val="5"/>
            <w:shd w:val="clear" w:color="auto" w:fill="EAF6F3"/>
          </w:tcPr>
          <w:p w14:paraId="1A09CF38" w14:textId="77777777" w:rsidR="00CB57B1" w:rsidRPr="00CB57B1" w:rsidRDefault="00E61BD7" w:rsidP="00436A64">
            <w:pPr>
              <w:pBdr>
                <w:top w:val="nil"/>
                <w:left w:val="nil"/>
                <w:bottom w:val="nil"/>
                <w:right w:val="nil"/>
                <w:between w:val="nil"/>
              </w:pBdr>
              <w:spacing w:after="0" w:line="276" w:lineRule="auto"/>
              <w:jc w:val="both"/>
              <w:rPr>
                <w:color w:val="000000"/>
              </w:rPr>
            </w:pPr>
            <w:r w:rsidRPr="008711DF">
              <w:rPr>
                <w:rFonts w:cstheme="minorHAnsi"/>
                <w:b/>
                <w:color w:val="185262"/>
              </w:rPr>
              <w:t>Evaluation recommendation 1.</w:t>
            </w:r>
            <w:r w:rsidR="00065D5E">
              <w:rPr>
                <w:rFonts w:cstheme="minorHAnsi"/>
                <w:b/>
                <w:color w:val="185262"/>
              </w:rPr>
              <w:t xml:space="preserve"> </w:t>
            </w:r>
            <w:r w:rsidR="00C0588D">
              <w:rPr>
                <w:rFonts w:cstheme="minorHAnsi"/>
                <w:b/>
                <w:color w:val="185262"/>
              </w:rPr>
              <w:t>RELEVANCE</w:t>
            </w:r>
            <w:r w:rsidR="00772BB7">
              <w:rPr>
                <w:rFonts w:cstheme="minorHAnsi"/>
                <w:b/>
                <w:color w:val="185262"/>
              </w:rPr>
              <w:t>:</w:t>
            </w:r>
            <w:r w:rsidR="00152147">
              <w:rPr>
                <w:rFonts w:cstheme="minorHAnsi"/>
                <w:b/>
                <w:color w:val="185262"/>
              </w:rPr>
              <w:t xml:space="preserve"> </w:t>
            </w:r>
          </w:p>
          <w:p w14:paraId="055F66B2" w14:textId="77777777" w:rsidR="00DA1142" w:rsidRDefault="000B0AE8" w:rsidP="00DA1142">
            <w:pPr>
              <w:pStyle w:val="ListParagraph"/>
              <w:numPr>
                <w:ilvl w:val="1"/>
                <w:numId w:val="25"/>
              </w:numPr>
              <w:pBdr>
                <w:top w:val="nil"/>
                <w:left w:val="nil"/>
                <w:bottom w:val="nil"/>
                <w:right w:val="nil"/>
                <w:between w:val="nil"/>
              </w:pBdr>
              <w:spacing w:after="0" w:line="276" w:lineRule="auto"/>
              <w:jc w:val="both"/>
              <w:rPr>
                <w:rFonts w:cstheme="minorHAnsi"/>
                <w:bCs/>
                <w:color w:val="185262"/>
              </w:rPr>
            </w:pPr>
            <w:r w:rsidRPr="00792912">
              <w:rPr>
                <w:rFonts w:cstheme="minorHAnsi"/>
                <w:bCs/>
                <w:color w:val="185262"/>
              </w:rPr>
              <w:t>A</w:t>
            </w:r>
            <w:r w:rsidR="00FC5D40" w:rsidRPr="00792912">
              <w:rPr>
                <w:rFonts w:cstheme="minorHAnsi"/>
                <w:bCs/>
                <w:color w:val="185262"/>
              </w:rPr>
              <w:t xml:space="preserve"> stronger focus on the gender equality theme and its mainstreaming into all components of the future projects</w:t>
            </w:r>
            <w:r w:rsidR="00BF45D9">
              <w:rPr>
                <w:rFonts w:cstheme="minorHAnsi"/>
                <w:bCs/>
                <w:color w:val="185262"/>
              </w:rPr>
              <w:t>;</w:t>
            </w:r>
          </w:p>
          <w:p w14:paraId="37F37BDA" w14:textId="77777777" w:rsidR="00CB57B1" w:rsidRPr="00DA1142" w:rsidRDefault="001424FE" w:rsidP="00DA1142">
            <w:pPr>
              <w:pStyle w:val="ListParagraph"/>
              <w:numPr>
                <w:ilvl w:val="1"/>
                <w:numId w:val="25"/>
              </w:numPr>
              <w:pBdr>
                <w:top w:val="nil"/>
                <w:left w:val="nil"/>
                <w:bottom w:val="nil"/>
                <w:right w:val="nil"/>
                <w:between w:val="nil"/>
              </w:pBdr>
              <w:spacing w:after="0" w:line="276" w:lineRule="auto"/>
              <w:jc w:val="both"/>
              <w:rPr>
                <w:rFonts w:cstheme="minorHAnsi"/>
                <w:bCs/>
                <w:color w:val="185262"/>
              </w:rPr>
            </w:pPr>
            <w:r w:rsidRPr="00DA1142">
              <w:rPr>
                <w:rFonts w:cstheme="minorHAnsi"/>
                <w:bCs/>
                <w:color w:val="185262"/>
              </w:rPr>
              <w:t>I</w:t>
            </w:r>
            <w:r w:rsidR="00CB57B1" w:rsidRPr="00DA1142">
              <w:rPr>
                <w:rFonts w:cstheme="minorHAnsi"/>
                <w:bCs/>
                <w:color w:val="185262"/>
              </w:rPr>
              <w:t>nclusion of indicators measuring actual change vs the results of key activities</w:t>
            </w:r>
            <w:r w:rsidR="00BF45D9">
              <w:rPr>
                <w:rFonts w:cstheme="minorHAnsi"/>
                <w:bCs/>
                <w:color w:val="185262"/>
              </w:rPr>
              <w:t>.</w:t>
            </w:r>
          </w:p>
        </w:tc>
      </w:tr>
      <w:tr w:rsidR="00E61BD7" w:rsidRPr="008711DF" w14:paraId="32DBAA9E" w14:textId="77777777" w:rsidTr="00B024F1">
        <w:tc>
          <w:tcPr>
            <w:tcW w:w="5000" w:type="pct"/>
            <w:gridSpan w:val="5"/>
            <w:shd w:val="clear" w:color="auto" w:fill="EAF6F3"/>
          </w:tcPr>
          <w:p w14:paraId="31784D22" w14:textId="1D0955E9" w:rsidR="00E61BD7" w:rsidRPr="00436A64" w:rsidRDefault="00E61BD7" w:rsidP="0027107B">
            <w:pPr>
              <w:tabs>
                <w:tab w:val="left" w:pos="1080"/>
              </w:tabs>
              <w:spacing w:after="0" w:line="240" w:lineRule="auto"/>
              <w:jc w:val="both"/>
              <w:rPr>
                <w:rFonts w:cstheme="minorHAnsi"/>
                <w:bCs/>
                <w:color w:val="185262"/>
              </w:rPr>
            </w:pPr>
            <w:r w:rsidRPr="008711DF">
              <w:rPr>
                <w:rFonts w:cstheme="minorHAnsi"/>
                <w:b/>
                <w:color w:val="185262"/>
              </w:rPr>
              <w:t>Management response:</w:t>
            </w:r>
            <w:r w:rsidR="000B0AE8">
              <w:rPr>
                <w:rFonts w:cstheme="minorHAnsi"/>
                <w:b/>
                <w:color w:val="185262"/>
              </w:rPr>
              <w:t xml:space="preserve"> </w:t>
            </w:r>
            <w:r w:rsidR="00973A0A" w:rsidRPr="00436A64">
              <w:rPr>
                <w:rFonts w:cstheme="minorHAnsi"/>
                <w:bCs/>
                <w:color w:val="185262"/>
              </w:rPr>
              <w:t>The r</w:t>
            </w:r>
            <w:r w:rsidR="000B0AE8" w:rsidRPr="00436A64">
              <w:rPr>
                <w:rFonts w:cstheme="minorHAnsi"/>
                <w:bCs/>
                <w:color w:val="185262"/>
              </w:rPr>
              <w:t>ecommendations a</w:t>
            </w:r>
            <w:r w:rsidR="000F3AB2">
              <w:rPr>
                <w:rFonts w:cstheme="minorHAnsi"/>
                <w:bCs/>
                <w:color w:val="185262"/>
              </w:rPr>
              <w:t xml:space="preserve">re partially </w:t>
            </w:r>
            <w:r w:rsidR="000B0AE8" w:rsidRPr="00436A64">
              <w:rPr>
                <w:rFonts w:cstheme="minorHAnsi"/>
                <w:bCs/>
                <w:color w:val="185262"/>
              </w:rPr>
              <w:t xml:space="preserve">accepted. </w:t>
            </w:r>
            <w:r w:rsidR="00267077">
              <w:rPr>
                <w:rFonts w:cstheme="minorHAnsi"/>
                <w:bCs/>
                <w:color w:val="185262"/>
              </w:rPr>
              <w:t xml:space="preserve">1.1. UNDP will </w:t>
            </w:r>
            <w:r w:rsidR="00F510C6">
              <w:rPr>
                <w:rFonts w:cstheme="minorHAnsi"/>
                <w:bCs/>
                <w:color w:val="185262"/>
              </w:rPr>
              <w:t xml:space="preserve">further </w:t>
            </w:r>
            <w:r w:rsidR="00267077">
              <w:rPr>
                <w:rFonts w:cstheme="minorHAnsi"/>
                <w:bCs/>
                <w:color w:val="185262"/>
              </w:rPr>
              <w:t xml:space="preserve">strengthen gender mainstreaming component in the next generation of electoral support programmes;  </w:t>
            </w:r>
            <w:r w:rsidR="00BD5118">
              <w:rPr>
                <w:rFonts w:cstheme="minorHAnsi"/>
                <w:bCs/>
                <w:color w:val="185262"/>
              </w:rPr>
              <w:t>1</w:t>
            </w:r>
            <w:r w:rsidR="00267077">
              <w:rPr>
                <w:rFonts w:cstheme="minorHAnsi"/>
                <w:bCs/>
                <w:color w:val="185262"/>
              </w:rPr>
              <w:t xml:space="preserve">.2 </w:t>
            </w:r>
            <w:r w:rsidR="00BD5118">
              <w:rPr>
                <w:rFonts w:cstheme="minorHAnsi"/>
                <w:bCs/>
                <w:color w:val="185262"/>
              </w:rPr>
              <w:t xml:space="preserve"> </w:t>
            </w:r>
            <w:r w:rsidR="004A7AD6">
              <w:rPr>
                <w:rFonts w:cstheme="minorHAnsi"/>
                <w:bCs/>
                <w:color w:val="185262"/>
              </w:rPr>
              <w:t>I</w:t>
            </w:r>
            <w:r w:rsidR="00267077">
              <w:rPr>
                <w:rFonts w:cstheme="minorHAnsi"/>
                <w:bCs/>
                <w:color w:val="185262"/>
              </w:rPr>
              <w:t xml:space="preserve">t is important to mention that </w:t>
            </w:r>
            <w:r w:rsidR="007D1377">
              <w:rPr>
                <w:rFonts w:cstheme="minorHAnsi"/>
                <w:bCs/>
                <w:color w:val="185262"/>
              </w:rPr>
              <w:t xml:space="preserve">all </w:t>
            </w:r>
            <w:r w:rsidR="00267077">
              <w:rPr>
                <w:rFonts w:cstheme="minorHAnsi"/>
                <w:bCs/>
                <w:color w:val="185262"/>
              </w:rPr>
              <w:t xml:space="preserve">UNDP projects contribute towards achieving </w:t>
            </w:r>
            <w:r w:rsidR="007D1377">
              <w:rPr>
                <w:rFonts w:cstheme="minorHAnsi"/>
                <w:bCs/>
                <w:color w:val="185262"/>
              </w:rPr>
              <w:t xml:space="preserve">the results and outcome level indicators which are </w:t>
            </w:r>
            <w:r w:rsidR="00267077">
              <w:rPr>
                <w:rFonts w:cstheme="minorHAnsi"/>
                <w:bCs/>
                <w:color w:val="185262"/>
              </w:rPr>
              <w:t>defined in UNDP Country Programme Document and its Results and Resources Framework</w:t>
            </w:r>
            <w:r w:rsidR="004A7AD6">
              <w:rPr>
                <w:rFonts w:cstheme="minorHAnsi"/>
                <w:bCs/>
                <w:color w:val="185262"/>
              </w:rPr>
              <w:t xml:space="preserve">. </w:t>
            </w:r>
            <w:r w:rsidR="007D1377">
              <w:rPr>
                <w:rFonts w:cstheme="minorHAnsi"/>
                <w:bCs/>
                <w:color w:val="185262"/>
              </w:rPr>
              <w:t>The elections management bodies</w:t>
            </w:r>
            <w:r w:rsidR="00D74263">
              <w:rPr>
                <w:rFonts w:cstheme="minorHAnsi"/>
                <w:bCs/>
                <w:color w:val="185262"/>
              </w:rPr>
              <w:t>’</w:t>
            </w:r>
            <w:r w:rsidR="007D1377">
              <w:rPr>
                <w:rFonts w:cstheme="minorHAnsi"/>
                <w:bCs/>
                <w:color w:val="185262"/>
              </w:rPr>
              <w:t xml:space="preserve"> related indicators </w:t>
            </w:r>
            <w:proofErr w:type="gramStart"/>
            <w:r w:rsidR="007D1377">
              <w:rPr>
                <w:rFonts w:cstheme="minorHAnsi"/>
                <w:bCs/>
                <w:color w:val="185262"/>
              </w:rPr>
              <w:t>are located in</w:t>
            </w:r>
            <w:proofErr w:type="gramEnd"/>
            <w:r w:rsidR="007D1377">
              <w:rPr>
                <w:rFonts w:cstheme="minorHAnsi"/>
                <w:bCs/>
                <w:color w:val="185262"/>
              </w:rPr>
              <w:t xml:space="preserve"> Outcome 2, Output 2.4, and UNDP reports vis-à-vis these indicators annually to capture the progress and actual change. </w:t>
            </w:r>
            <w:r w:rsidR="002B49CC">
              <w:rPr>
                <w:rFonts w:cstheme="minorHAnsi"/>
                <w:bCs/>
                <w:color w:val="185262"/>
              </w:rPr>
              <w:t xml:space="preserve"> </w:t>
            </w:r>
          </w:p>
          <w:p w14:paraId="6F33D768" w14:textId="77777777" w:rsidR="00C32762" w:rsidRPr="00436A64" w:rsidRDefault="00C32762" w:rsidP="00436A64">
            <w:pPr>
              <w:tabs>
                <w:tab w:val="left" w:pos="1080"/>
              </w:tabs>
              <w:spacing w:after="0" w:line="240" w:lineRule="auto"/>
              <w:jc w:val="both"/>
              <w:rPr>
                <w:rFonts w:cstheme="minorHAnsi"/>
                <w:color w:val="185262"/>
              </w:rPr>
            </w:pPr>
          </w:p>
        </w:tc>
      </w:tr>
      <w:tr w:rsidR="00E61BD7" w:rsidRPr="008711DF" w14:paraId="134D55FF" w14:textId="77777777" w:rsidTr="00B024F1">
        <w:trPr>
          <w:trHeight w:val="135"/>
        </w:trPr>
        <w:tc>
          <w:tcPr>
            <w:tcW w:w="1781" w:type="pct"/>
            <w:vMerge w:val="restart"/>
            <w:shd w:val="clear" w:color="auto" w:fill="EAF6F3"/>
          </w:tcPr>
          <w:p w14:paraId="302D305D" w14:textId="77777777" w:rsidR="00E61BD7" w:rsidRPr="008711DF" w:rsidRDefault="00E61BD7" w:rsidP="0027107B">
            <w:pPr>
              <w:tabs>
                <w:tab w:val="left" w:pos="1080"/>
              </w:tabs>
              <w:spacing w:after="0" w:line="240" w:lineRule="auto"/>
              <w:jc w:val="both"/>
              <w:rPr>
                <w:rFonts w:cstheme="minorHAnsi"/>
                <w:b/>
                <w:color w:val="185262"/>
              </w:rPr>
            </w:pPr>
            <w:r w:rsidRPr="008711DF">
              <w:rPr>
                <w:rFonts w:cstheme="minorHAnsi"/>
                <w:b/>
                <w:color w:val="185262"/>
              </w:rPr>
              <w:t>Key action(s)</w:t>
            </w:r>
          </w:p>
        </w:tc>
        <w:tc>
          <w:tcPr>
            <w:tcW w:w="1176" w:type="pct"/>
            <w:vMerge w:val="restart"/>
            <w:shd w:val="clear" w:color="auto" w:fill="EAF6F3"/>
          </w:tcPr>
          <w:p w14:paraId="50A525C4" w14:textId="77777777" w:rsidR="00E61BD7" w:rsidRPr="008711DF" w:rsidRDefault="00E61BD7" w:rsidP="0027107B">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054" w:type="pct"/>
            <w:vMerge w:val="restart"/>
            <w:shd w:val="clear" w:color="auto" w:fill="EAF6F3"/>
          </w:tcPr>
          <w:p w14:paraId="6AA6C311" w14:textId="77777777" w:rsidR="00E61BD7" w:rsidRPr="008711DF" w:rsidRDefault="00E61BD7" w:rsidP="0027107B">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989" w:type="pct"/>
            <w:gridSpan w:val="2"/>
            <w:shd w:val="clear" w:color="auto" w:fill="EAF6F3"/>
          </w:tcPr>
          <w:p w14:paraId="1A964E7A" w14:textId="77777777" w:rsidR="00E61BD7" w:rsidRPr="008711DF" w:rsidRDefault="00E61BD7" w:rsidP="0027107B">
            <w:pPr>
              <w:tabs>
                <w:tab w:val="left" w:pos="1080"/>
              </w:tabs>
              <w:spacing w:after="0" w:line="240" w:lineRule="auto"/>
              <w:jc w:val="both"/>
              <w:rPr>
                <w:rFonts w:cstheme="minorHAnsi"/>
                <w:b/>
                <w:color w:val="185262"/>
              </w:rPr>
            </w:pPr>
            <w:r w:rsidRPr="008711DF">
              <w:rPr>
                <w:rFonts w:cstheme="minorHAnsi"/>
                <w:b/>
                <w:color w:val="185262"/>
              </w:rPr>
              <w:t>Tracking*</w:t>
            </w:r>
          </w:p>
        </w:tc>
      </w:tr>
      <w:tr w:rsidR="00E61BD7" w:rsidRPr="008711DF" w14:paraId="48F3AAD5" w14:textId="77777777" w:rsidTr="00B024F1">
        <w:trPr>
          <w:trHeight w:val="135"/>
        </w:trPr>
        <w:tc>
          <w:tcPr>
            <w:tcW w:w="1781" w:type="pct"/>
            <w:vMerge/>
            <w:shd w:val="clear" w:color="auto" w:fill="F3F3F3"/>
          </w:tcPr>
          <w:p w14:paraId="18E8C98B" w14:textId="77777777" w:rsidR="00E61BD7" w:rsidRPr="008711DF" w:rsidRDefault="00E61BD7" w:rsidP="0027107B">
            <w:pPr>
              <w:tabs>
                <w:tab w:val="left" w:pos="1080"/>
              </w:tabs>
              <w:spacing w:after="0" w:line="240" w:lineRule="auto"/>
              <w:jc w:val="both"/>
              <w:rPr>
                <w:rFonts w:cstheme="minorHAnsi"/>
                <w:color w:val="185262"/>
              </w:rPr>
            </w:pPr>
          </w:p>
        </w:tc>
        <w:tc>
          <w:tcPr>
            <w:tcW w:w="1176" w:type="pct"/>
            <w:vMerge/>
            <w:shd w:val="clear" w:color="auto" w:fill="F3F3F3"/>
          </w:tcPr>
          <w:p w14:paraId="35888BEC" w14:textId="77777777" w:rsidR="00E61BD7" w:rsidRPr="008711DF" w:rsidRDefault="00E61BD7" w:rsidP="0027107B">
            <w:pPr>
              <w:tabs>
                <w:tab w:val="left" w:pos="1080"/>
              </w:tabs>
              <w:spacing w:after="0" w:line="240" w:lineRule="auto"/>
              <w:jc w:val="both"/>
              <w:rPr>
                <w:rFonts w:cstheme="minorHAnsi"/>
                <w:b/>
                <w:color w:val="185262"/>
              </w:rPr>
            </w:pPr>
          </w:p>
        </w:tc>
        <w:tc>
          <w:tcPr>
            <w:tcW w:w="1054" w:type="pct"/>
            <w:vMerge/>
            <w:shd w:val="clear" w:color="auto" w:fill="F3F3F3"/>
          </w:tcPr>
          <w:p w14:paraId="526CBFF0" w14:textId="77777777" w:rsidR="00E61BD7" w:rsidRPr="008711DF" w:rsidRDefault="00E61BD7" w:rsidP="0027107B">
            <w:pPr>
              <w:tabs>
                <w:tab w:val="left" w:pos="1080"/>
              </w:tabs>
              <w:spacing w:after="0" w:line="240" w:lineRule="auto"/>
              <w:jc w:val="both"/>
              <w:rPr>
                <w:rFonts w:cstheme="minorHAnsi"/>
                <w:b/>
                <w:color w:val="185262"/>
              </w:rPr>
            </w:pPr>
          </w:p>
        </w:tc>
        <w:tc>
          <w:tcPr>
            <w:tcW w:w="506" w:type="pct"/>
          </w:tcPr>
          <w:p w14:paraId="310C46E9" w14:textId="77777777" w:rsidR="00E61BD7" w:rsidRPr="008711DF" w:rsidRDefault="00E61BD7" w:rsidP="0027107B">
            <w:pPr>
              <w:tabs>
                <w:tab w:val="left" w:pos="1080"/>
              </w:tabs>
              <w:spacing w:after="0" w:line="240" w:lineRule="auto"/>
              <w:jc w:val="both"/>
              <w:rPr>
                <w:rFonts w:cstheme="minorHAnsi"/>
                <w:b/>
                <w:color w:val="185262"/>
              </w:rPr>
            </w:pPr>
            <w:r w:rsidRPr="008711DF">
              <w:rPr>
                <w:rFonts w:cstheme="minorHAnsi"/>
                <w:b/>
                <w:color w:val="185262"/>
              </w:rPr>
              <w:t>Comments</w:t>
            </w:r>
          </w:p>
        </w:tc>
        <w:tc>
          <w:tcPr>
            <w:tcW w:w="483" w:type="pct"/>
          </w:tcPr>
          <w:p w14:paraId="3F0921A0" w14:textId="77777777" w:rsidR="00E61BD7" w:rsidRPr="008711DF" w:rsidRDefault="00E61BD7" w:rsidP="0027107B">
            <w:pPr>
              <w:tabs>
                <w:tab w:val="left" w:pos="1080"/>
              </w:tabs>
              <w:spacing w:after="0" w:line="240" w:lineRule="auto"/>
              <w:jc w:val="both"/>
              <w:rPr>
                <w:rFonts w:asciiTheme="majorHAnsi" w:eastAsiaTheme="majorEastAsia" w:hAnsiTheme="majorHAnsi" w:cstheme="minorHAnsi"/>
                <w:b/>
                <w:color w:val="185262"/>
                <w:sz w:val="21"/>
                <w:szCs w:val="21"/>
              </w:rPr>
            </w:pPr>
            <w:r w:rsidRPr="008711DF">
              <w:rPr>
                <w:rFonts w:cstheme="minorHAnsi"/>
                <w:b/>
                <w:color w:val="185262"/>
              </w:rPr>
              <w:t>Status</w:t>
            </w:r>
          </w:p>
          <w:p w14:paraId="5C5BCDD1" w14:textId="77777777" w:rsidR="00E61BD7" w:rsidRPr="008711DF" w:rsidRDefault="00E61BD7" w:rsidP="0027107B">
            <w:pPr>
              <w:tabs>
                <w:tab w:val="left" w:pos="1080"/>
              </w:tabs>
              <w:spacing w:after="0" w:line="240" w:lineRule="auto"/>
              <w:jc w:val="both"/>
              <w:rPr>
                <w:rFonts w:cstheme="minorHAnsi"/>
                <w:b/>
                <w:color w:val="185262"/>
              </w:rPr>
            </w:pPr>
            <w:r w:rsidRPr="008711DF">
              <w:rPr>
                <w:rFonts w:cstheme="minorHAnsi"/>
                <w:b/>
                <w:color w:val="185262"/>
              </w:rPr>
              <w:t>(initiated, completed or no due date)</w:t>
            </w:r>
          </w:p>
        </w:tc>
      </w:tr>
      <w:tr w:rsidR="00E61BD7" w:rsidRPr="008711DF" w14:paraId="7CE22BE5" w14:textId="77777777" w:rsidTr="00B024F1">
        <w:tc>
          <w:tcPr>
            <w:tcW w:w="1781" w:type="pct"/>
          </w:tcPr>
          <w:p w14:paraId="46ED9A66" w14:textId="77777777" w:rsidR="00E61BD7" w:rsidRPr="008711DF" w:rsidRDefault="00E61BD7" w:rsidP="00F510C6">
            <w:pPr>
              <w:tabs>
                <w:tab w:val="left" w:pos="1080"/>
              </w:tabs>
              <w:spacing w:after="0" w:line="240" w:lineRule="auto"/>
              <w:jc w:val="both"/>
              <w:rPr>
                <w:rFonts w:cstheme="minorHAnsi"/>
                <w:color w:val="185262"/>
              </w:rPr>
            </w:pPr>
            <w:r w:rsidRPr="008711DF">
              <w:rPr>
                <w:rFonts w:cstheme="minorHAnsi"/>
                <w:color w:val="185262"/>
              </w:rPr>
              <w:t xml:space="preserve">1.1 </w:t>
            </w:r>
            <w:r w:rsidR="00AE0E18">
              <w:rPr>
                <w:rFonts w:cstheme="minorHAnsi"/>
                <w:color w:val="185262"/>
              </w:rPr>
              <w:t>Discussed</w:t>
            </w:r>
            <w:r w:rsidR="00CA4B71">
              <w:rPr>
                <w:rFonts w:cstheme="minorHAnsi"/>
                <w:color w:val="185262"/>
              </w:rPr>
              <w:t xml:space="preserve"> in the team</w:t>
            </w:r>
            <w:r w:rsidR="003810C2">
              <w:rPr>
                <w:rFonts w:cstheme="minorHAnsi"/>
                <w:color w:val="185262"/>
              </w:rPr>
              <w:t xml:space="preserve"> and will be </w:t>
            </w:r>
            <w:r w:rsidR="00424A01">
              <w:rPr>
                <w:rFonts w:cstheme="minorHAnsi"/>
                <w:color w:val="185262"/>
              </w:rPr>
              <w:t>considered</w:t>
            </w:r>
            <w:r w:rsidR="003810C2">
              <w:rPr>
                <w:rFonts w:cstheme="minorHAnsi"/>
                <w:color w:val="185262"/>
              </w:rPr>
              <w:t xml:space="preserve"> </w:t>
            </w:r>
            <w:r w:rsidR="00F510C6">
              <w:rPr>
                <w:rFonts w:cstheme="minorHAnsi"/>
                <w:color w:val="185262"/>
              </w:rPr>
              <w:t xml:space="preserve">for </w:t>
            </w:r>
            <w:r w:rsidR="007557B5">
              <w:rPr>
                <w:rFonts w:cstheme="minorHAnsi"/>
                <w:color w:val="185262"/>
              </w:rPr>
              <w:t>the</w:t>
            </w:r>
            <w:r w:rsidR="00FE2967">
              <w:rPr>
                <w:rFonts w:cstheme="minorHAnsi"/>
                <w:bCs/>
                <w:color w:val="185262"/>
              </w:rPr>
              <w:t xml:space="preserve"> next generation of electoral support programmes</w:t>
            </w:r>
          </w:p>
        </w:tc>
        <w:tc>
          <w:tcPr>
            <w:tcW w:w="1176" w:type="pct"/>
          </w:tcPr>
          <w:p w14:paraId="24491FE9" w14:textId="77777777" w:rsidR="00E61BD7" w:rsidRPr="008711DF" w:rsidRDefault="00C86FA5" w:rsidP="0027107B">
            <w:pPr>
              <w:tabs>
                <w:tab w:val="left" w:pos="1080"/>
              </w:tabs>
              <w:spacing w:after="0" w:line="240" w:lineRule="auto"/>
              <w:jc w:val="both"/>
              <w:rPr>
                <w:rFonts w:cstheme="minorHAnsi"/>
                <w:color w:val="185262"/>
              </w:rPr>
            </w:pPr>
            <w:r w:rsidRPr="00436A64">
              <w:rPr>
                <w:rFonts w:cstheme="minorHAnsi"/>
                <w:color w:val="185262"/>
              </w:rPr>
              <w:t>30 October 2020</w:t>
            </w:r>
          </w:p>
        </w:tc>
        <w:tc>
          <w:tcPr>
            <w:tcW w:w="1054" w:type="pct"/>
          </w:tcPr>
          <w:p w14:paraId="2459F3DB" w14:textId="77777777" w:rsidR="00E61BD7" w:rsidRPr="008711DF" w:rsidRDefault="00DF6B04" w:rsidP="0027107B">
            <w:pPr>
              <w:tabs>
                <w:tab w:val="left" w:pos="1080"/>
              </w:tabs>
              <w:spacing w:after="0" w:line="240" w:lineRule="auto"/>
              <w:jc w:val="both"/>
              <w:rPr>
                <w:rFonts w:cstheme="minorHAnsi"/>
                <w:color w:val="185262"/>
              </w:rPr>
            </w:pPr>
            <w:r>
              <w:rPr>
                <w:rFonts w:cstheme="minorHAnsi"/>
                <w:color w:val="185262"/>
              </w:rPr>
              <w:t>Democratic Governance Portfolio</w:t>
            </w:r>
            <w:r w:rsidR="00196ADB">
              <w:rPr>
                <w:rFonts w:cstheme="minorHAnsi"/>
                <w:color w:val="185262"/>
              </w:rPr>
              <w:t xml:space="preserve"> and P</w:t>
            </w:r>
            <w:r>
              <w:rPr>
                <w:rFonts w:cstheme="minorHAnsi"/>
                <w:color w:val="185262"/>
              </w:rPr>
              <w:t>roject team</w:t>
            </w:r>
          </w:p>
        </w:tc>
        <w:tc>
          <w:tcPr>
            <w:tcW w:w="506" w:type="pct"/>
          </w:tcPr>
          <w:p w14:paraId="29ECD39B" w14:textId="77777777" w:rsidR="00E61BD7" w:rsidRPr="008711DF" w:rsidRDefault="00E61BD7" w:rsidP="0027107B">
            <w:pPr>
              <w:tabs>
                <w:tab w:val="left" w:pos="1080"/>
              </w:tabs>
              <w:spacing w:after="0" w:line="240" w:lineRule="auto"/>
              <w:jc w:val="both"/>
              <w:rPr>
                <w:rFonts w:cstheme="minorHAnsi"/>
                <w:color w:val="185262"/>
              </w:rPr>
            </w:pPr>
          </w:p>
        </w:tc>
        <w:tc>
          <w:tcPr>
            <w:tcW w:w="483" w:type="pct"/>
          </w:tcPr>
          <w:p w14:paraId="7D7E99E0" w14:textId="77777777" w:rsidR="00E61BD7" w:rsidRPr="008711DF" w:rsidRDefault="008A19A7" w:rsidP="0027107B">
            <w:pPr>
              <w:tabs>
                <w:tab w:val="left" w:pos="1080"/>
              </w:tabs>
              <w:spacing w:after="0" w:line="240" w:lineRule="auto"/>
              <w:jc w:val="both"/>
              <w:rPr>
                <w:rFonts w:cstheme="minorHAnsi"/>
                <w:color w:val="185262"/>
              </w:rPr>
            </w:pPr>
            <w:r>
              <w:rPr>
                <w:rFonts w:cstheme="minorHAnsi"/>
                <w:color w:val="185262"/>
              </w:rPr>
              <w:t>Completed</w:t>
            </w:r>
          </w:p>
        </w:tc>
      </w:tr>
    </w:tbl>
    <w:p w14:paraId="0BBAE469" w14:textId="77777777" w:rsidR="00E61BD7" w:rsidRPr="008711DF" w:rsidRDefault="00E61BD7" w:rsidP="00E61BD7">
      <w:pPr>
        <w:spacing w:after="0" w:line="240" w:lineRule="auto"/>
        <w:jc w:val="both"/>
        <w:rPr>
          <w:rFonts w:cstheme="minorHAnsi"/>
          <w:vanish/>
          <w:color w:val="185262"/>
        </w:rPr>
      </w:pPr>
    </w:p>
    <w:tbl>
      <w:tblPr>
        <w:tblW w:w="5000" w:type="pct"/>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5090"/>
        <w:gridCol w:w="3310"/>
        <w:gridCol w:w="3000"/>
        <w:gridCol w:w="1447"/>
        <w:gridCol w:w="1371"/>
      </w:tblGrid>
      <w:tr w:rsidR="00E61BD7" w:rsidRPr="008711DF" w14:paraId="5E942631" w14:textId="77777777" w:rsidTr="00B024F1">
        <w:tc>
          <w:tcPr>
            <w:tcW w:w="5000" w:type="pct"/>
            <w:gridSpan w:val="5"/>
            <w:shd w:val="clear" w:color="auto" w:fill="EAF6F3"/>
          </w:tcPr>
          <w:p w14:paraId="1BD93922" w14:textId="77777777" w:rsidR="00E61BD7" w:rsidRPr="005011B9" w:rsidRDefault="00E61BD7" w:rsidP="00436A64">
            <w:pPr>
              <w:pBdr>
                <w:top w:val="nil"/>
                <w:left w:val="nil"/>
                <w:bottom w:val="nil"/>
                <w:right w:val="nil"/>
                <w:between w:val="nil"/>
              </w:pBdr>
              <w:tabs>
                <w:tab w:val="left" w:pos="90"/>
              </w:tabs>
              <w:spacing w:after="0"/>
              <w:jc w:val="both"/>
              <w:rPr>
                <w:color w:val="000000"/>
              </w:rPr>
            </w:pPr>
            <w:r w:rsidRPr="008711DF">
              <w:rPr>
                <w:rFonts w:cstheme="minorHAnsi"/>
                <w:b/>
                <w:color w:val="185262"/>
              </w:rPr>
              <w:t xml:space="preserve">Evaluation recommendation 2. </w:t>
            </w:r>
            <w:r w:rsidR="00F97DC0">
              <w:rPr>
                <w:rFonts w:cstheme="minorHAnsi"/>
                <w:b/>
                <w:color w:val="185262"/>
              </w:rPr>
              <w:t>EFFICIENCY:</w:t>
            </w:r>
          </w:p>
          <w:p w14:paraId="77718E89" w14:textId="0A318977" w:rsidR="00AC7311" w:rsidRPr="00282900" w:rsidRDefault="00AC7311" w:rsidP="00436A64">
            <w:pPr>
              <w:pStyle w:val="ListParagraph"/>
              <w:numPr>
                <w:ilvl w:val="1"/>
                <w:numId w:val="23"/>
              </w:numPr>
              <w:spacing w:after="0" w:line="276" w:lineRule="auto"/>
              <w:jc w:val="both"/>
              <w:rPr>
                <w:rFonts w:cstheme="minorHAnsi"/>
                <w:bCs/>
                <w:color w:val="185262"/>
              </w:rPr>
            </w:pPr>
            <w:r w:rsidRPr="00282900">
              <w:rPr>
                <w:rFonts w:cstheme="minorHAnsi"/>
                <w:bCs/>
                <w:color w:val="185262"/>
              </w:rPr>
              <w:t xml:space="preserve">The appropriateness of the project modality was ensured from the lens of pre-term elections. However, for future electoral support projects it is recommended to switch </w:t>
            </w:r>
            <w:r w:rsidR="0061473B" w:rsidRPr="00282900">
              <w:rPr>
                <w:rFonts w:cstheme="minorHAnsi"/>
                <w:bCs/>
                <w:color w:val="185262"/>
              </w:rPr>
              <w:t>from an “election event” to</w:t>
            </w:r>
            <w:r w:rsidR="00CF79ED" w:rsidRPr="00282900">
              <w:rPr>
                <w:rFonts w:cstheme="minorHAnsi"/>
                <w:bCs/>
                <w:color w:val="185262"/>
              </w:rPr>
              <w:t xml:space="preserve"> an </w:t>
            </w:r>
            <w:r w:rsidRPr="00282900">
              <w:rPr>
                <w:rFonts w:cstheme="minorHAnsi"/>
                <w:bCs/>
                <w:color w:val="185262"/>
              </w:rPr>
              <w:t xml:space="preserve">“election cycle” </w:t>
            </w:r>
            <w:r w:rsidR="00CF79ED" w:rsidRPr="00282900">
              <w:rPr>
                <w:rFonts w:cstheme="minorHAnsi"/>
                <w:bCs/>
                <w:color w:val="185262"/>
              </w:rPr>
              <w:t>support</w:t>
            </w:r>
            <w:r w:rsidR="00BF45D9">
              <w:rPr>
                <w:rFonts w:cstheme="minorHAnsi"/>
                <w:bCs/>
                <w:color w:val="185262"/>
              </w:rPr>
              <w:t>;</w:t>
            </w:r>
          </w:p>
          <w:p w14:paraId="5A761F05" w14:textId="36252B30" w:rsidR="00AC7311" w:rsidRPr="00282900" w:rsidRDefault="00AC7311" w:rsidP="00436A64">
            <w:pPr>
              <w:pStyle w:val="ListParagraph"/>
              <w:numPr>
                <w:ilvl w:val="1"/>
                <w:numId w:val="23"/>
              </w:numPr>
              <w:spacing w:after="0" w:line="276" w:lineRule="auto"/>
              <w:jc w:val="both"/>
              <w:rPr>
                <w:rFonts w:cstheme="minorHAnsi"/>
                <w:bCs/>
                <w:color w:val="185262"/>
              </w:rPr>
            </w:pPr>
            <w:r w:rsidRPr="00282900">
              <w:rPr>
                <w:rFonts w:cstheme="minorHAnsi"/>
                <w:bCs/>
                <w:color w:val="185262"/>
              </w:rPr>
              <w:t>Despite the challenges, the project demonstrated high level of implementation efficiency, however, it is recommended to allocate more time for preparation and implementation in the future to ensure a better work-life balance for the staff and partners engaged</w:t>
            </w:r>
            <w:r w:rsidR="00BF45D9">
              <w:rPr>
                <w:rFonts w:cstheme="minorHAnsi"/>
                <w:bCs/>
                <w:color w:val="185262"/>
              </w:rPr>
              <w:t>;</w:t>
            </w:r>
          </w:p>
          <w:p w14:paraId="0090E966" w14:textId="73BB79CA" w:rsidR="00AC7311" w:rsidRPr="00282900" w:rsidRDefault="00AC7311" w:rsidP="00AC7311">
            <w:pPr>
              <w:pStyle w:val="ListParagraph"/>
              <w:numPr>
                <w:ilvl w:val="1"/>
                <w:numId w:val="23"/>
              </w:numPr>
              <w:spacing w:after="0" w:line="276" w:lineRule="auto"/>
              <w:jc w:val="both"/>
              <w:rPr>
                <w:rFonts w:cstheme="minorHAnsi"/>
                <w:bCs/>
                <w:color w:val="185262"/>
              </w:rPr>
            </w:pPr>
            <w:r w:rsidRPr="00282900">
              <w:rPr>
                <w:rFonts w:cstheme="minorHAnsi"/>
                <w:bCs/>
                <w:color w:val="185262"/>
              </w:rPr>
              <w:t>ESPA managed to ensure high efficiency of the technological support component. However, for the better cost efficiency, it is recommended that future electoral support projects include a component aimed at supporting the G</w:t>
            </w:r>
            <w:r w:rsidR="004A7AD6">
              <w:rPr>
                <w:rFonts w:cstheme="minorHAnsi"/>
                <w:bCs/>
                <w:color w:val="185262"/>
              </w:rPr>
              <w:t xml:space="preserve">overnment of </w:t>
            </w:r>
            <w:r w:rsidRPr="00282900">
              <w:rPr>
                <w:rFonts w:cstheme="minorHAnsi"/>
                <w:bCs/>
                <w:color w:val="185262"/>
              </w:rPr>
              <w:t>A</w:t>
            </w:r>
            <w:r w:rsidR="004A7AD6">
              <w:rPr>
                <w:rFonts w:cstheme="minorHAnsi"/>
                <w:bCs/>
                <w:color w:val="185262"/>
              </w:rPr>
              <w:t>rmenia (GOA)</w:t>
            </w:r>
            <w:r w:rsidRPr="00282900">
              <w:rPr>
                <w:rFonts w:cstheme="minorHAnsi"/>
                <w:bCs/>
                <w:color w:val="185262"/>
              </w:rPr>
              <w:t xml:space="preserve"> and the C</w:t>
            </w:r>
            <w:r w:rsidR="004A7AD6">
              <w:rPr>
                <w:rFonts w:cstheme="minorHAnsi"/>
                <w:bCs/>
                <w:color w:val="185262"/>
              </w:rPr>
              <w:t xml:space="preserve">entral </w:t>
            </w:r>
            <w:r w:rsidRPr="00282900">
              <w:rPr>
                <w:rFonts w:cstheme="minorHAnsi"/>
                <w:bCs/>
                <w:color w:val="185262"/>
              </w:rPr>
              <w:t>E</w:t>
            </w:r>
            <w:r w:rsidR="004A7AD6">
              <w:rPr>
                <w:rFonts w:cstheme="minorHAnsi"/>
                <w:bCs/>
                <w:color w:val="185262"/>
              </w:rPr>
              <w:t xml:space="preserve">lectoral </w:t>
            </w:r>
            <w:r w:rsidRPr="00282900">
              <w:rPr>
                <w:rFonts w:cstheme="minorHAnsi"/>
                <w:bCs/>
                <w:color w:val="185262"/>
              </w:rPr>
              <w:t>C</w:t>
            </w:r>
            <w:r w:rsidR="004A7AD6">
              <w:rPr>
                <w:rFonts w:cstheme="minorHAnsi"/>
                <w:bCs/>
                <w:color w:val="185262"/>
              </w:rPr>
              <w:t>ommission (CEC)</w:t>
            </w:r>
            <w:r w:rsidRPr="00282900">
              <w:rPr>
                <w:rFonts w:cstheme="minorHAnsi"/>
                <w:bCs/>
                <w:color w:val="185262"/>
              </w:rPr>
              <w:t xml:space="preserve"> in conducting a feasibility study of future technological solutions prior to the application. Specifically, the cost efficiency and the overall need of the live </w:t>
            </w:r>
            <w:r w:rsidRPr="00282900">
              <w:rPr>
                <w:rFonts w:cstheme="minorHAnsi"/>
                <w:bCs/>
                <w:color w:val="185262"/>
              </w:rPr>
              <w:lastRenderedPageBreak/>
              <w:t xml:space="preserve">streaming </w:t>
            </w:r>
            <w:r w:rsidR="004459A5">
              <w:rPr>
                <w:rFonts w:cstheme="minorHAnsi"/>
                <w:bCs/>
                <w:color w:val="185262"/>
              </w:rPr>
              <w:t xml:space="preserve">process of the Camera </w:t>
            </w:r>
            <w:r w:rsidRPr="00282900">
              <w:rPr>
                <w:rFonts w:cstheme="minorHAnsi"/>
                <w:bCs/>
                <w:color w:val="185262"/>
              </w:rPr>
              <w:t xml:space="preserve">component </w:t>
            </w:r>
            <w:r w:rsidR="004459A5">
              <w:rPr>
                <w:rFonts w:cstheme="minorHAnsi"/>
                <w:bCs/>
                <w:color w:val="185262"/>
              </w:rPr>
              <w:t xml:space="preserve">(cameras installed at the polling stations on Election Day) </w:t>
            </w:r>
            <w:r w:rsidRPr="00282900">
              <w:rPr>
                <w:rFonts w:cstheme="minorHAnsi"/>
                <w:bCs/>
                <w:color w:val="185262"/>
              </w:rPr>
              <w:t>should be assessed further for more sustainable solutions</w:t>
            </w:r>
            <w:r w:rsidR="00BF45D9">
              <w:rPr>
                <w:rFonts w:cstheme="minorHAnsi"/>
                <w:bCs/>
                <w:color w:val="185262"/>
              </w:rPr>
              <w:t>;</w:t>
            </w:r>
          </w:p>
          <w:p w14:paraId="525694B8" w14:textId="77777777" w:rsidR="005011B9" w:rsidRPr="00FD1741" w:rsidRDefault="0087382D" w:rsidP="00436A64">
            <w:pPr>
              <w:ind w:left="337" w:hanging="360"/>
            </w:pPr>
            <w:r w:rsidRPr="00282900">
              <w:rPr>
                <w:rFonts w:cstheme="minorHAnsi"/>
                <w:bCs/>
                <w:color w:val="185262"/>
              </w:rPr>
              <w:t xml:space="preserve">2.4 </w:t>
            </w:r>
            <w:r w:rsidR="00AC7311" w:rsidRPr="00282900">
              <w:rPr>
                <w:rFonts w:cstheme="minorHAnsi"/>
                <w:bCs/>
                <w:color w:val="185262"/>
              </w:rPr>
              <w:t>There was limited participation of the civil society in the ESPA project design, implementation and monitoring. Thus, it is recommended to strengthen the civil society engagement in the future.</w:t>
            </w:r>
            <w:r w:rsidR="00AC7311" w:rsidRPr="00436A64">
              <w:rPr>
                <w:color w:val="000000"/>
              </w:rPr>
              <w:t xml:space="preserve">   </w:t>
            </w:r>
            <w:r w:rsidR="00767640" w:rsidRPr="00767640">
              <w:t xml:space="preserve"> </w:t>
            </w:r>
          </w:p>
        </w:tc>
      </w:tr>
      <w:tr w:rsidR="00E61BD7" w:rsidRPr="008711DF" w14:paraId="70E6DCCB" w14:textId="77777777" w:rsidTr="00785DC4">
        <w:trPr>
          <w:trHeight w:val="45"/>
        </w:trPr>
        <w:tc>
          <w:tcPr>
            <w:tcW w:w="5000" w:type="pct"/>
            <w:gridSpan w:val="5"/>
            <w:shd w:val="clear" w:color="auto" w:fill="EAF6F3"/>
          </w:tcPr>
          <w:p w14:paraId="748A18D0" w14:textId="77777777" w:rsidR="00E61BD7" w:rsidRPr="008711DF" w:rsidRDefault="00E61BD7" w:rsidP="00F313CB">
            <w:pPr>
              <w:tabs>
                <w:tab w:val="left" w:pos="1080"/>
              </w:tabs>
              <w:spacing w:after="0" w:line="240" w:lineRule="auto"/>
              <w:jc w:val="both"/>
              <w:rPr>
                <w:rFonts w:cstheme="minorHAnsi"/>
                <w:color w:val="185262"/>
              </w:rPr>
            </w:pPr>
            <w:r w:rsidRPr="00436A64">
              <w:rPr>
                <w:rFonts w:cstheme="minorHAnsi"/>
                <w:b/>
                <w:color w:val="185262"/>
              </w:rPr>
              <w:lastRenderedPageBreak/>
              <w:t>Management response:</w:t>
            </w:r>
            <w:r w:rsidR="00554F3E">
              <w:rPr>
                <w:rFonts w:cstheme="minorHAnsi"/>
                <w:b/>
                <w:color w:val="185262"/>
              </w:rPr>
              <w:t xml:space="preserve"> </w:t>
            </w:r>
            <w:r w:rsidR="00436A64" w:rsidRPr="00436A64">
              <w:rPr>
                <w:rFonts w:cstheme="minorHAnsi"/>
                <w:bCs/>
                <w:color w:val="185262"/>
              </w:rPr>
              <w:t xml:space="preserve">The recommendations are accepted. </w:t>
            </w:r>
            <w:r w:rsidR="00436A64">
              <w:rPr>
                <w:rFonts w:cstheme="minorHAnsi"/>
                <w:bCs/>
                <w:color w:val="185262"/>
              </w:rPr>
              <w:t xml:space="preserve">ESPA </w:t>
            </w:r>
            <w:r w:rsidR="00436A64">
              <w:rPr>
                <w:rFonts w:cstheme="minorHAnsi"/>
                <w:color w:val="185262"/>
              </w:rPr>
              <w:t>was d</w:t>
            </w:r>
            <w:r w:rsidR="008758F4">
              <w:rPr>
                <w:rFonts w:cstheme="minorHAnsi"/>
                <w:color w:val="185262"/>
              </w:rPr>
              <w:t>esigned</w:t>
            </w:r>
            <w:r w:rsidR="000D7BC0">
              <w:rPr>
                <w:rFonts w:cstheme="minorHAnsi"/>
                <w:color w:val="185262"/>
              </w:rPr>
              <w:t xml:space="preserve"> in a record time</w:t>
            </w:r>
            <w:r w:rsidR="008758F4">
              <w:rPr>
                <w:rFonts w:cstheme="minorHAnsi"/>
                <w:color w:val="185262"/>
              </w:rPr>
              <w:t xml:space="preserve"> </w:t>
            </w:r>
            <w:r w:rsidR="00436A64">
              <w:rPr>
                <w:rFonts w:cstheme="minorHAnsi"/>
                <w:color w:val="185262"/>
              </w:rPr>
              <w:t xml:space="preserve">as a </w:t>
            </w:r>
            <w:r w:rsidR="00436A64" w:rsidRPr="00DB2C47">
              <w:rPr>
                <w:rFonts w:cstheme="minorHAnsi"/>
                <w:i/>
                <w:iCs/>
                <w:color w:val="185262"/>
              </w:rPr>
              <w:t>rapid response</w:t>
            </w:r>
            <w:r w:rsidR="00436A64">
              <w:rPr>
                <w:rFonts w:cstheme="minorHAnsi"/>
                <w:color w:val="185262"/>
              </w:rPr>
              <w:t xml:space="preserve"> to a changed political </w:t>
            </w:r>
            <w:r w:rsidR="009E38BD">
              <w:rPr>
                <w:rFonts w:cstheme="minorHAnsi"/>
                <w:color w:val="185262"/>
              </w:rPr>
              <w:t>landscape</w:t>
            </w:r>
            <w:r w:rsidR="000D7BC0">
              <w:rPr>
                <w:rFonts w:cstheme="minorHAnsi"/>
                <w:color w:val="185262"/>
              </w:rPr>
              <w:t xml:space="preserve">. </w:t>
            </w:r>
            <w:r w:rsidR="00FB48D6">
              <w:rPr>
                <w:rFonts w:cstheme="minorHAnsi"/>
                <w:color w:val="185262"/>
              </w:rPr>
              <w:t xml:space="preserve">The </w:t>
            </w:r>
            <w:r w:rsidR="0034040E">
              <w:rPr>
                <w:rFonts w:cstheme="minorHAnsi"/>
                <w:color w:val="185262"/>
              </w:rPr>
              <w:t xml:space="preserve">project provided substantive support to the national counterparts in meeting tight deadlines of the electoral calendar in the context of pre-term elections which implied extra efforts from the staff. </w:t>
            </w:r>
            <w:r w:rsidR="0001201D">
              <w:rPr>
                <w:rFonts w:cstheme="minorHAnsi"/>
                <w:color w:val="185262"/>
              </w:rPr>
              <w:t>The work</w:t>
            </w:r>
            <w:r w:rsidR="00215701">
              <w:rPr>
                <w:rFonts w:cstheme="minorHAnsi"/>
                <w:color w:val="185262"/>
              </w:rPr>
              <w:t>-</w:t>
            </w:r>
            <w:r w:rsidR="0001201D">
              <w:rPr>
                <w:rFonts w:cstheme="minorHAnsi"/>
                <w:color w:val="185262"/>
              </w:rPr>
              <w:t>and</w:t>
            </w:r>
            <w:r w:rsidR="00215701">
              <w:rPr>
                <w:rFonts w:cstheme="minorHAnsi"/>
                <w:color w:val="185262"/>
              </w:rPr>
              <w:t xml:space="preserve">-life balance was </w:t>
            </w:r>
            <w:r w:rsidR="00EE0B3A">
              <w:rPr>
                <w:rFonts w:cstheme="minorHAnsi"/>
                <w:color w:val="185262"/>
              </w:rPr>
              <w:t xml:space="preserve">later </w:t>
            </w:r>
            <w:r w:rsidR="00215701">
              <w:rPr>
                <w:rFonts w:cstheme="minorHAnsi"/>
                <w:color w:val="185262"/>
              </w:rPr>
              <w:t xml:space="preserve">compensated </w:t>
            </w:r>
            <w:r w:rsidR="005819E2">
              <w:rPr>
                <w:rFonts w:cstheme="minorHAnsi"/>
                <w:color w:val="185262"/>
              </w:rPr>
              <w:t>with time</w:t>
            </w:r>
            <w:r w:rsidR="00617B38">
              <w:rPr>
                <w:rFonts w:cstheme="minorHAnsi"/>
                <w:color w:val="185262"/>
              </w:rPr>
              <w:t>-</w:t>
            </w:r>
            <w:r w:rsidR="005819E2">
              <w:rPr>
                <w:rFonts w:cstheme="minorHAnsi"/>
                <w:color w:val="185262"/>
              </w:rPr>
              <w:t>off</w:t>
            </w:r>
            <w:r w:rsidR="00215701">
              <w:rPr>
                <w:rFonts w:cstheme="minorHAnsi"/>
                <w:color w:val="185262"/>
              </w:rPr>
              <w:t xml:space="preserve"> </w:t>
            </w:r>
            <w:r w:rsidR="0041789F">
              <w:rPr>
                <w:rFonts w:cstheme="minorHAnsi"/>
                <w:color w:val="185262"/>
              </w:rPr>
              <w:t xml:space="preserve">and </w:t>
            </w:r>
            <w:r w:rsidR="00600876">
              <w:rPr>
                <w:rFonts w:cstheme="minorHAnsi"/>
                <w:color w:val="185262"/>
              </w:rPr>
              <w:t xml:space="preserve">was </w:t>
            </w:r>
            <w:r w:rsidR="00E05CA3">
              <w:rPr>
                <w:rFonts w:cstheme="minorHAnsi"/>
                <w:color w:val="185262"/>
              </w:rPr>
              <w:t xml:space="preserve">observed </w:t>
            </w:r>
            <w:r w:rsidR="00600876">
              <w:rPr>
                <w:rFonts w:cstheme="minorHAnsi"/>
                <w:color w:val="185262"/>
              </w:rPr>
              <w:t xml:space="preserve">accurately </w:t>
            </w:r>
            <w:r w:rsidR="00E05CA3">
              <w:rPr>
                <w:rFonts w:cstheme="minorHAnsi"/>
                <w:color w:val="185262"/>
              </w:rPr>
              <w:t xml:space="preserve">within the framework of </w:t>
            </w:r>
            <w:r w:rsidR="001E58C7">
              <w:rPr>
                <w:rFonts w:cstheme="minorHAnsi"/>
                <w:color w:val="185262"/>
              </w:rPr>
              <w:t xml:space="preserve">the next </w:t>
            </w:r>
            <w:r w:rsidR="00E05CA3">
              <w:rPr>
                <w:rFonts w:cstheme="minorHAnsi"/>
                <w:color w:val="185262"/>
              </w:rPr>
              <w:t>ESPA2</w:t>
            </w:r>
            <w:r w:rsidR="001E58C7">
              <w:rPr>
                <w:rFonts w:cstheme="minorHAnsi"/>
                <w:color w:val="185262"/>
              </w:rPr>
              <w:t xml:space="preserve"> project</w:t>
            </w:r>
            <w:r w:rsidR="00E05CA3">
              <w:rPr>
                <w:rFonts w:cstheme="minorHAnsi"/>
                <w:color w:val="185262"/>
              </w:rPr>
              <w:t xml:space="preserve">. </w:t>
            </w:r>
            <w:r w:rsidR="0034040E">
              <w:rPr>
                <w:rFonts w:cstheme="minorHAnsi"/>
                <w:color w:val="185262"/>
              </w:rPr>
              <w:t xml:space="preserve">As for </w:t>
            </w:r>
            <w:r w:rsidR="00726764">
              <w:rPr>
                <w:rFonts w:cstheme="minorHAnsi"/>
                <w:color w:val="185262"/>
              </w:rPr>
              <w:t>the recommendation o</w:t>
            </w:r>
            <w:r w:rsidR="0034040E">
              <w:rPr>
                <w:rFonts w:cstheme="minorHAnsi"/>
                <w:color w:val="185262"/>
              </w:rPr>
              <w:t>n</w:t>
            </w:r>
            <w:r w:rsidR="00726764">
              <w:rPr>
                <w:rFonts w:cstheme="minorHAnsi"/>
                <w:color w:val="185262"/>
              </w:rPr>
              <w:t xml:space="preserve"> </w:t>
            </w:r>
            <w:r w:rsidR="00436A64">
              <w:rPr>
                <w:rFonts w:cstheme="minorHAnsi"/>
                <w:color w:val="185262"/>
              </w:rPr>
              <w:t>switch</w:t>
            </w:r>
            <w:r w:rsidR="00DB2C47">
              <w:rPr>
                <w:rFonts w:cstheme="minorHAnsi"/>
                <w:color w:val="185262"/>
              </w:rPr>
              <w:t>ing</w:t>
            </w:r>
            <w:r w:rsidR="00436A64">
              <w:rPr>
                <w:rFonts w:cstheme="minorHAnsi"/>
                <w:color w:val="185262"/>
              </w:rPr>
              <w:t xml:space="preserve"> to </w:t>
            </w:r>
            <w:r w:rsidR="00DB2C47">
              <w:rPr>
                <w:rFonts w:cstheme="minorHAnsi"/>
                <w:color w:val="185262"/>
              </w:rPr>
              <w:t xml:space="preserve">the </w:t>
            </w:r>
            <w:r w:rsidR="00436A64">
              <w:rPr>
                <w:rFonts w:cstheme="minorHAnsi"/>
                <w:color w:val="185262"/>
              </w:rPr>
              <w:t xml:space="preserve">“electoral cycle support” approach, </w:t>
            </w:r>
            <w:r w:rsidR="0034040E">
              <w:rPr>
                <w:rFonts w:cstheme="minorHAnsi"/>
                <w:color w:val="185262"/>
              </w:rPr>
              <w:t xml:space="preserve">it should be noted that UNDP applied this approach for the second stage of its electoral support in the frame of the </w:t>
            </w:r>
            <w:r w:rsidR="00726764">
              <w:rPr>
                <w:rFonts w:cstheme="minorHAnsi"/>
                <w:color w:val="185262"/>
              </w:rPr>
              <w:t>ESPA</w:t>
            </w:r>
            <w:r w:rsidR="0034040E">
              <w:rPr>
                <w:rFonts w:cstheme="minorHAnsi"/>
                <w:color w:val="185262"/>
              </w:rPr>
              <w:t xml:space="preserve"> </w:t>
            </w:r>
            <w:r w:rsidR="00726764">
              <w:rPr>
                <w:rFonts w:cstheme="minorHAnsi"/>
                <w:color w:val="185262"/>
              </w:rPr>
              <w:t xml:space="preserve">2 </w:t>
            </w:r>
            <w:r w:rsidR="00436A64">
              <w:rPr>
                <w:rFonts w:cstheme="minorHAnsi"/>
                <w:color w:val="185262"/>
              </w:rPr>
              <w:t>project</w:t>
            </w:r>
            <w:r w:rsidR="004A7AD6">
              <w:rPr>
                <w:rFonts w:cstheme="minorHAnsi"/>
                <w:color w:val="185262"/>
              </w:rPr>
              <w:t>,</w:t>
            </w:r>
            <w:r w:rsidR="00DB2C47">
              <w:rPr>
                <w:rFonts w:cstheme="minorHAnsi"/>
                <w:color w:val="185262"/>
              </w:rPr>
              <w:t xml:space="preserve"> </w:t>
            </w:r>
            <w:r w:rsidR="00F313CB">
              <w:rPr>
                <w:rFonts w:cstheme="minorHAnsi"/>
                <w:color w:val="185262"/>
              </w:rPr>
              <w:t xml:space="preserve">which covers the period of April 2019-December 2020. </w:t>
            </w:r>
          </w:p>
        </w:tc>
      </w:tr>
      <w:tr w:rsidR="00E61BD7" w:rsidRPr="008711DF" w14:paraId="312620BE" w14:textId="77777777" w:rsidTr="00DF2B7F">
        <w:trPr>
          <w:trHeight w:val="135"/>
        </w:trPr>
        <w:tc>
          <w:tcPr>
            <w:tcW w:w="1790" w:type="pct"/>
            <w:vMerge w:val="restart"/>
            <w:shd w:val="clear" w:color="auto" w:fill="EAF6F3"/>
          </w:tcPr>
          <w:p w14:paraId="63B1540D" w14:textId="77777777" w:rsidR="00E61BD7" w:rsidRDefault="00E61BD7" w:rsidP="0027107B">
            <w:pPr>
              <w:tabs>
                <w:tab w:val="left" w:pos="1080"/>
              </w:tabs>
              <w:spacing w:after="0" w:line="240" w:lineRule="auto"/>
              <w:jc w:val="both"/>
              <w:rPr>
                <w:rFonts w:cstheme="minorHAnsi"/>
                <w:b/>
                <w:color w:val="185262"/>
              </w:rPr>
            </w:pPr>
            <w:r w:rsidRPr="008711DF">
              <w:rPr>
                <w:rFonts w:cstheme="minorHAnsi"/>
                <w:b/>
                <w:color w:val="185262"/>
              </w:rPr>
              <w:t>Key action(s)</w:t>
            </w:r>
          </w:p>
          <w:p w14:paraId="24F25DC0" w14:textId="77777777" w:rsidR="008010B4" w:rsidRPr="008711DF" w:rsidRDefault="008010B4" w:rsidP="00792912">
            <w:pPr>
              <w:tabs>
                <w:tab w:val="left" w:pos="1080"/>
              </w:tabs>
              <w:spacing w:after="0" w:line="240" w:lineRule="auto"/>
              <w:jc w:val="both"/>
              <w:rPr>
                <w:rFonts w:cstheme="minorHAnsi"/>
                <w:b/>
                <w:color w:val="185262"/>
              </w:rPr>
            </w:pPr>
          </w:p>
        </w:tc>
        <w:tc>
          <w:tcPr>
            <w:tcW w:w="1164" w:type="pct"/>
            <w:vMerge w:val="restart"/>
            <w:shd w:val="clear" w:color="auto" w:fill="EAF6F3"/>
          </w:tcPr>
          <w:p w14:paraId="01035F3A" w14:textId="77777777" w:rsidR="00E61BD7" w:rsidRPr="008711DF" w:rsidRDefault="00E61BD7" w:rsidP="0027107B">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055" w:type="pct"/>
            <w:vMerge w:val="restart"/>
            <w:shd w:val="clear" w:color="auto" w:fill="EAF6F3"/>
          </w:tcPr>
          <w:p w14:paraId="7968EAB1" w14:textId="77777777" w:rsidR="00E61BD7" w:rsidRPr="008711DF" w:rsidRDefault="00E61BD7" w:rsidP="0027107B">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991" w:type="pct"/>
            <w:gridSpan w:val="2"/>
            <w:shd w:val="clear" w:color="auto" w:fill="EAF6F3"/>
          </w:tcPr>
          <w:p w14:paraId="4900721A" w14:textId="77777777" w:rsidR="00E61BD7" w:rsidRPr="008711DF" w:rsidRDefault="00E61BD7" w:rsidP="0027107B">
            <w:pPr>
              <w:tabs>
                <w:tab w:val="left" w:pos="1080"/>
              </w:tabs>
              <w:spacing w:after="0" w:line="240" w:lineRule="auto"/>
              <w:jc w:val="both"/>
              <w:rPr>
                <w:rFonts w:cstheme="minorHAnsi"/>
                <w:b/>
                <w:color w:val="185262"/>
              </w:rPr>
            </w:pPr>
            <w:r w:rsidRPr="008711DF">
              <w:rPr>
                <w:rFonts w:cstheme="minorHAnsi"/>
                <w:b/>
                <w:color w:val="185262"/>
              </w:rPr>
              <w:t>Tracking</w:t>
            </w:r>
          </w:p>
        </w:tc>
      </w:tr>
      <w:tr w:rsidR="00E61BD7" w:rsidRPr="008711DF" w14:paraId="49C7CEC4" w14:textId="77777777" w:rsidTr="00DF2B7F">
        <w:trPr>
          <w:trHeight w:val="135"/>
        </w:trPr>
        <w:tc>
          <w:tcPr>
            <w:tcW w:w="1790" w:type="pct"/>
            <w:vMerge/>
            <w:shd w:val="clear" w:color="auto" w:fill="F3F3F3"/>
          </w:tcPr>
          <w:p w14:paraId="1EC2F5F0" w14:textId="77777777" w:rsidR="00E61BD7" w:rsidRPr="008711DF" w:rsidRDefault="00E61BD7" w:rsidP="0027107B">
            <w:pPr>
              <w:tabs>
                <w:tab w:val="left" w:pos="1080"/>
              </w:tabs>
              <w:spacing w:after="0" w:line="240" w:lineRule="auto"/>
              <w:jc w:val="both"/>
              <w:rPr>
                <w:rFonts w:cstheme="minorHAnsi"/>
                <w:color w:val="185262"/>
              </w:rPr>
            </w:pPr>
          </w:p>
        </w:tc>
        <w:tc>
          <w:tcPr>
            <w:tcW w:w="1164" w:type="pct"/>
            <w:vMerge/>
            <w:shd w:val="clear" w:color="auto" w:fill="F3F3F3"/>
          </w:tcPr>
          <w:p w14:paraId="3861B4A8" w14:textId="77777777" w:rsidR="00E61BD7" w:rsidRPr="008711DF" w:rsidRDefault="00E61BD7" w:rsidP="0027107B">
            <w:pPr>
              <w:tabs>
                <w:tab w:val="left" w:pos="1080"/>
              </w:tabs>
              <w:spacing w:after="0" w:line="240" w:lineRule="auto"/>
              <w:jc w:val="both"/>
              <w:rPr>
                <w:rFonts w:cstheme="minorHAnsi"/>
                <w:b/>
                <w:color w:val="185262"/>
              </w:rPr>
            </w:pPr>
          </w:p>
        </w:tc>
        <w:tc>
          <w:tcPr>
            <w:tcW w:w="1055" w:type="pct"/>
            <w:vMerge/>
            <w:shd w:val="clear" w:color="auto" w:fill="F3F3F3"/>
          </w:tcPr>
          <w:p w14:paraId="175C5AEA" w14:textId="77777777" w:rsidR="00E61BD7" w:rsidRPr="008711DF" w:rsidRDefault="00E61BD7" w:rsidP="0027107B">
            <w:pPr>
              <w:tabs>
                <w:tab w:val="left" w:pos="1080"/>
              </w:tabs>
              <w:spacing w:after="0" w:line="240" w:lineRule="auto"/>
              <w:jc w:val="both"/>
              <w:rPr>
                <w:rFonts w:cstheme="minorHAnsi"/>
                <w:b/>
                <w:color w:val="185262"/>
              </w:rPr>
            </w:pPr>
          </w:p>
        </w:tc>
        <w:tc>
          <w:tcPr>
            <w:tcW w:w="509" w:type="pct"/>
          </w:tcPr>
          <w:p w14:paraId="4D187A3B" w14:textId="77777777" w:rsidR="00E61BD7" w:rsidRPr="008711DF" w:rsidRDefault="00E61BD7" w:rsidP="0027107B">
            <w:pPr>
              <w:tabs>
                <w:tab w:val="left" w:pos="1080"/>
              </w:tabs>
              <w:spacing w:after="0" w:line="240" w:lineRule="auto"/>
              <w:jc w:val="both"/>
              <w:rPr>
                <w:rFonts w:cstheme="minorHAnsi"/>
                <w:b/>
                <w:color w:val="185262"/>
              </w:rPr>
            </w:pPr>
            <w:r w:rsidRPr="008711DF">
              <w:rPr>
                <w:rFonts w:cstheme="minorHAnsi"/>
                <w:b/>
                <w:color w:val="185262"/>
              </w:rPr>
              <w:t>Comments</w:t>
            </w:r>
          </w:p>
        </w:tc>
        <w:tc>
          <w:tcPr>
            <w:tcW w:w="482" w:type="pct"/>
          </w:tcPr>
          <w:p w14:paraId="3F15FE41" w14:textId="77777777" w:rsidR="00E61BD7" w:rsidRPr="008711DF" w:rsidRDefault="00E61BD7" w:rsidP="0027107B">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DF2B7F" w:rsidRPr="008711DF" w14:paraId="05A6CA74" w14:textId="77777777" w:rsidTr="00DF2B7F">
        <w:tc>
          <w:tcPr>
            <w:tcW w:w="1790" w:type="pct"/>
          </w:tcPr>
          <w:p w14:paraId="1154162A" w14:textId="77777777" w:rsidR="00DF2B7F" w:rsidRPr="008711DF" w:rsidRDefault="00DF2B7F" w:rsidP="00DF2B7F">
            <w:pPr>
              <w:tabs>
                <w:tab w:val="left" w:pos="1080"/>
              </w:tabs>
              <w:spacing w:after="0" w:line="240" w:lineRule="auto"/>
              <w:jc w:val="both"/>
              <w:rPr>
                <w:rFonts w:cstheme="minorHAnsi"/>
                <w:color w:val="185262"/>
              </w:rPr>
            </w:pPr>
            <w:r>
              <w:rPr>
                <w:rFonts w:cstheme="minorHAnsi"/>
                <w:color w:val="185262"/>
              </w:rPr>
              <w:t xml:space="preserve">2.1 </w:t>
            </w:r>
            <w:r w:rsidR="00D64D13">
              <w:rPr>
                <w:rFonts w:cstheme="minorHAnsi"/>
                <w:color w:val="185262"/>
              </w:rPr>
              <w:t xml:space="preserve">Discussed and noted. </w:t>
            </w:r>
            <w:r w:rsidR="00DB3050">
              <w:rPr>
                <w:rFonts w:cstheme="minorHAnsi"/>
                <w:color w:val="185262"/>
              </w:rPr>
              <w:t xml:space="preserve">UNDP </w:t>
            </w:r>
            <w:r>
              <w:rPr>
                <w:rFonts w:cstheme="minorHAnsi"/>
                <w:color w:val="185262"/>
              </w:rPr>
              <w:t>ESPA2</w:t>
            </w:r>
            <w:r w:rsidR="00DB3050">
              <w:rPr>
                <w:rFonts w:cstheme="minorHAnsi"/>
                <w:color w:val="185262"/>
              </w:rPr>
              <w:t xml:space="preserve"> project is designed based </w:t>
            </w:r>
            <w:r w:rsidR="00D304B2">
              <w:rPr>
                <w:rFonts w:cstheme="minorHAnsi"/>
                <w:color w:val="185262"/>
              </w:rPr>
              <w:t xml:space="preserve">on the mentioned </w:t>
            </w:r>
            <w:r w:rsidR="00DB3050">
              <w:rPr>
                <w:rFonts w:cstheme="minorHAnsi"/>
                <w:color w:val="185262"/>
              </w:rPr>
              <w:t xml:space="preserve">“electoral cycle support” approach. </w:t>
            </w:r>
            <w:r>
              <w:rPr>
                <w:rFonts w:cstheme="minorHAnsi"/>
                <w:color w:val="185262"/>
              </w:rPr>
              <w:t xml:space="preserve">UNDP will </w:t>
            </w:r>
            <w:r w:rsidR="003C1A12">
              <w:rPr>
                <w:rFonts w:cstheme="minorHAnsi"/>
                <w:color w:val="185262"/>
              </w:rPr>
              <w:t>explore opportunity in the future to develop a full-fledged p</w:t>
            </w:r>
            <w:r w:rsidR="007933A1">
              <w:rPr>
                <w:rFonts w:cstheme="minorHAnsi"/>
                <w:color w:val="185262"/>
              </w:rPr>
              <w:t xml:space="preserve">roject proposal based on </w:t>
            </w:r>
            <w:r w:rsidR="002D38AC">
              <w:rPr>
                <w:rFonts w:cstheme="minorHAnsi"/>
                <w:color w:val="185262"/>
              </w:rPr>
              <w:t xml:space="preserve">“electoral cycle support” </w:t>
            </w:r>
            <w:r w:rsidR="007933A1">
              <w:rPr>
                <w:rFonts w:cstheme="minorHAnsi"/>
                <w:color w:val="185262"/>
              </w:rPr>
              <w:t>approach</w:t>
            </w:r>
            <w:r w:rsidR="000E6EB1">
              <w:rPr>
                <w:rFonts w:cstheme="minorHAnsi"/>
                <w:color w:val="185262"/>
              </w:rPr>
              <w:t>.</w:t>
            </w:r>
          </w:p>
        </w:tc>
        <w:tc>
          <w:tcPr>
            <w:tcW w:w="1164" w:type="pct"/>
          </w:tcPr>
          <w:p w14:paraId="61E2FE61" w14:textId="77777777" w:rsidR="00DF2B7F" w:rsidRPr="008711DF" w:rsidRDefault="00DF2B7F" w:rsidP="00DF2B7F">
            <w:pPr>
              <w:tabs>
                <w:tab w:val="left" w:pos="1080"/>
              </w:tabs>
              <w:spacing w:after="0" w:line="240" w:lineRule="auto"/>
              <w:jc w:val="both"/>
              <w:rPr>
                <w:rFonts w:cstheme="minorHAnsi"/>
                <w:color w:val="185262"/>
              </w:rPr>
            </w:pPr>
            <w:r w:rsidRPr="00436A64">
              <w:rPr>
                <w:rFonts w:cstheme="minorHAnsi"/>
                <w:color w:val="185262"/>
              </w:rPr>
              <w:t>30 October 2020</w:t>
            </w:r>
          </w:p>
        </w:tc>
        <w:tc>
          <w:tcPr>
            <w:tcW w:w="1055" w:type="pct"/>
          </w:tcPr>
          <w:p w14:paraId="5C45C71F" w14:textId="77777777" w:rsidR="00DF2B7F" w:rsidRPr="008711DF" w:rsidRDefault="006124A2" w:rsidP="00DF2B7F">
            <w:pPr>
              <w:tabs>
                <w:tab w:val="left" w:pos="1080"/>
              </w:tabs>
              <w:spacing w:after="0" w:line="240" w:lineRule="auto"/>
              <w:jc w:val="both"/>
              <w:rPr>
                <w:rFonts w:cstheme="minorHAnsi"/>
                <w:color w:val="185262"/>
              </w:rPr>
            </w:pPr>
            <w:r>
              <w:rPr>
                <w:rFonts w:cstheme="minorHAnsi"/>
                <w:color w:val="185262"/>
              </w:rPr>
              <w:t xml:space="preserve">UNDP Democratic Governance Portfolio and </w:t>
            </w:r>
            <w:r w:rsidR="00747047">
              <w:rPr>
                <w:rFonts w:cstheme="minorHAnsi"/>
                <w:color w:val="185262"/>
              </w:rPr>
              <w:t>P</w:t>
            </w:r>
            <w:r>
              <w:rPr>
                <w:rFonts w:cstheme="minorHAnsi"/>
                <w:color w:val="185262"/>
              </w:rPr>
              <w:t>roject team</w:t>
            </w:r>
          </w:p>
        </w:tc>
        <w:tc>
          <w:tcPr>
            <w:tcW w:w="509" w:type="pct"/>
          </w:tcPr>
          <w:p w14:paraId="7BF4E213" w14:textId="77777777" w:rsidR="00DF2B7F" w:rsidRPr="008711DF" w:rsidRDefault="00DF2B7F" w:rsidP="00DF2B7F">
            <w:pPr>
              <w:tabs>
                <w:tab w:val="left" w:pos="1080"/>
              </w:tabs>
              <w:spacing w:after="0" w:line="240" w:lineRule="auto"/>
              <w:jc w:val="both"/>
              <w:rPr>
                <w:rFonts w:cstheme="minorHAnsi"/>
                <w:color w:val="185262"/>
              </w:rPr>
            </w:pPr>
          </w:p>
        </w:tc>
        <w:tc>
          <w:tcPr>
            <w:tcW w:w="482" w:type="pct"/>
          </w:tcPr>
          <w:p w14:paraId="7C91EFBB" w14:textId="77777777" w:rsidR="00DF2B7F" w:rsidRPr="008711DF" w:rsidRDefault="007813FC" w:rsidP="00DF2B7F">
            <w:pPr>
              <w:tabs>
                <w:tab w:val="left" w:pos="1080"/>
              </w:tabs>
              <w:spacing w:after="0" w:line="240" w:lineRule="auto"/>
              <w:jc w:val="both"/>
              <w:rPr>
                <w:rFonts w:cstheme="minorHAnsi"/>
                <w:color w:val="185262"/>
              </w:rPr>
            </w:pPr>
            <w:r>
              <w:rPr>
                <w:rFonts w:cstheme="minorHAnsi"/>
                <w:color w:val="185262"/>
              </w:rPr>
              <w:t>Completed</w:t>
            </w:r>
          </w:p>
        </w:tc>
      </w:tr>
      <w:tr w:rsidR="00DF2B7F" w:rsidRPr="008711DF" w14:paraId="093CD14D" w14:textId="77777777" w:rsidTr="00DF2B7F">
        <w:tc>
          <w:tcPr>
            <w:tcW w:w="1790" w:type="pct"/>
          </w:tcPr>
          <w:p w14:paraId="6AB17ECF" w14:textId="77777777" w:rsidR="00DF2B7F" w:rsidRPr="008711DF" w:rsidRDefault="00DF2B7F" w:rsidP="00DF2B7F">
            <w:pPr>
              <w:tabs>
                <w:tab w:val="left" w:pos="1080"/>
              </w:tabs>
              <w:spacing w:after="0" w:line="240" w:lineRule="auto"/>
              <w:jc w:val="both"/>
              <w:rPr>
                <w:rFonts w:cstheme="minorHAnsi"/>
                <w:color w:val="185262"/>
              </w:rPr>
            </w:pPr>
            <w:r w:rsidRPr="008711DF">
              <w:rPr>
                <w:rFonts w:cstheme="minorHAnsi"/>
                <w:color w:val="185262"/>
              </w:rPr>
              <w:t>2.2</w:t>
            </w:r>
            <w:r w:rsidR="00D64D13">
              <w:rPr>
                <w:rFonts w:cstheme="minorHAnsi"/>
                <w:color w:val="185262"/>
              </w:rPr>
              <w:t xml:space="preserve"> Discussed and noted. </w:t>
            </w:r>
            <w:r w:rsidR="002D38AC">
              <w:rPr>
                <w:rFonts w:cstheme="minorHAnsi"/>
                <w:color w:val="185262"/>
              </w:rPr>
              <w:t xml:space="preserve"> </w:t>
            </w:r>
            <w:r w:rsidR="000E6EB1">
              <w:rPr>
                <w:rFonts w:cstheme="minorHAnsi"/>
                <w:color w:val="185262"/>
              </w:rPr>
              <w:t>A b</w:t>
            </w:r>
            <w:r w:rsidR="00A349E9" w:rsidRPr="00282900">
              <w:rPr>
                <w:rFonts w:cstheme="minorHAnsi"/>
                <w:bCs/>
                <w:color w:val="185262"/>
              </w:rPr>
              <w:t xml:space="preserve">etter work-life balance for the staff and partners </w:t>
            </w:r>
            <w:r w:rsidR="00FB3834">
              <w:rPr>
                <w:rFonts w:cstheme="minorHAnsi"/>
                <w:bCs/>
                <w:color w:val="185262"/>
              </w:rPr>
              <w:t>is observed within the framework of the current</w:t>
            </w:r>
            <w:r w:rsidR="007415AF">
              <w:rPr>
                <w:rFonts w:cstheme="minorHAnsi"/>
                <w:bCs/>
                <w:color w:val="185262"/>
              </w:rPr>
              <w:t>ly implemented ESPA</w:t>
            </w:r>
            <w:r w:rsidR="004A7AD6">
              <w:rPr>
                <w:rFonts w:cstheme="minorHAnsi"/>
                <w:bCs/>
                <w:color w:val="185262"/>
              </w:rPr>
              <w:t xml:space="preserve"> </w:t>
            </w:r>
            <w:r w:rsidR="007415AF">
              <w:rPr>
                <w:rFonts w:cstheme="minorHAnsi"/>
                <w:bCs/>
                <w:color w:val="185262"/>
              </w:rPr>
              <w:t>2 project</w:t>
            </w:r>
            <w:r w:rsidR="00171FC6">
              <w:rPr>
                <w:rFonts w:cstheme="minorHAnsi"/>
                <w:bCs/>
                <w:color w:val="185262"/>
              </w:rPr>
              <w:t>.</w:t>
            </w:r>
          </w:p>
        </w:tc>
        <w:tc>
          <w:tcPr>
            <w:tcW w:w="1164" w:type="pct"/>
          </w:tcPr>
          <w:p w14:paraId="365AADA8" w14:textId="77777777" w:rsidR="00DF2B7F" w:rsidRPr="008711DF" w:rsidRDefault="002D38AC" w:rsidP="00DF2B7F">
            <w:pPr>
              <w:tabs>
                <w:tab w:val="left" w:pos="1080"/>
              </w:tabs>
              <w:spacing w:after="0" w:line="240" w:lineRule="auto"/>
              <w:jc w:val="both"/>
              <w:rPr>
                <w:rFonts w:cstheme="minorHAnsi"/>
                <w:color w:val="185262"/>
              </w:rPr>
            </w:pPr>
            <w:r w:rsidRPr="00436A64">
              <w:rPr>
                <w:rFonts w:cstheme="minorHAnsi"/>
                <w:color w:val="185262"/>
              </w:rPr>
              <w:t>30 October 2020</w:t>
            </w:r>
          </w:p>
        </w:tc>
        <w:tc>
          <w:tcPr>
            <w:tcW w:w="1055" w:type="pct"/>
          </w:tcPr>
          <w:p w14:paraId="4FC4D36E" w14:textId="77777777" w:rsidR="00DF2B7F" w:rsidRPr="008711DF" w:rsidRDefault="00C36482" w:rsidP="00DF2B7F">
            <w:pPr>
              <w:tabs>
                <w:tab w:val="left" w:pos="1080"/>
              </w:tabs>
              <w:spacing w:after="0" w:line="240" w:lineRule="auto"/>
              <w:jc w:val="both"/>
              <w:rPr>
                <w:rFonts w:cstheme="minorHAnsi"/>
                <w:color w:val="185262"/>
              </w:rPr>
            </w:pPr>
            <w:r>
              <w:rPr>
                <w:rFonts w:cstheme="minorHAnsi"/>
                <w:color w:val="185262"/>
              </w:rPr>
              <w:t xml:space="preserve">Project </w:t>
            </w:r>
            <w:r w:rsidR="006124A2">
              <w:rPr>
                <w:rFonts w:cstheme="minorHAnsi"/>
                <w:color w:val="185262"/>
              </w:rPr>
              <w:t>team</w:t>
            </w:r>
          </w:p>
        </w:tc>
        <w:tc>
          <w:tcPr>
            <w:tcW w:w="509" w:type="pct"/>
          </w:tcPr>
          <w:p w14:paraId="4CF01527" w14:textId="77777777" w:rsidR="00DF2B7F" w:rsidRPr="008711DF" w:rsidRDefault="00DF2B7F" w:rsidP="00DF2B7F">
            <w:pPr>
              <w:tabs>
                <w:tab w:val="left" w:pos="1080"/>
              </w:tabs>
              <w:spacing w:after="0" w:line="240" w:lineRule="auto"/>
              <w:jc w:val="both"/>
              <w:rPr>
                <w:rFonts w:cstheme="minorHAnsi"/>
                <w:color w:val="185262"/>
              </w:rPr>
            </w:pPr>
          </w:p>
        </w:tc>
        <w:tc>
          <w:tcPr>
            <w:tcW w:w="482" w:type="pct"/>
          </w:tcPr>
          <w:p w14:paraId="31684C1D" w14:textId="77777777" w:rsidR="00DF2B7F" w:rsidRPr="008711DF" w:rsidRDefault="00DF2B7F" w:rsidP="00DF2B7F">
            <w:pPr>
              <w:tabs>
                <w:tab w:val="left" w:pos="1080"/>
              </w:tabs>
              <w:spacing w:after="0" w:line="240" w:lineRule="auto"/>
              <w:jc w:val="both"/>
              <w:rPr>
                <w:rFonts w:cstheme="minorHAnsi"/>
                <w:color w:val="185262"/>
              </w:rPr>
            </w:pPr>
            <w:r>
              <w:rPr>
                <w:rFonts w:cstheme="minorHAnsi"/>
                <w:color w:val="185262"/>
              </w:rPr>
              <w:t>Completed</w:t>
            </w:r>
          </w:p>
        </w:tc>
      </w:tr>
      <w:tr w:rsidR="00E61BD7" w:rsidRPr="008711DF" w14:paraId="727A75A4" w14:textId="77777777" w:rsidTr="00DF2B7F">
        <w:tc>
          <w:tcPr>
            <w:tcW w:w="1790" w:type="pct"/>
          </w:tcPr>
          <w:p w14:paraId="7D362580" w14:textId="7A3C3796" w:rsidR="00E61BD7" w:rsidRPr="008711DF" w:rsidRDefault="00E61BD7" w:rsidP="0027107B">
            <w:pPr>
              <w:tabs>
                <w:tab w:val="left" w:pos="1080"/>
              </w:tabs>
              <w:spacing w:after="0" w:line="240" w:lineRule="auto"/>
              <w:jc w:val="both"/>
              <w:rPr>
                <w:rFonts w:cstheme="minorHAnsi"/>
                <w:color w:val="185262"/>
              </w:rPr>
            </w:pPr>
            <w:r w:rsidRPr="008711DF">
              <w:rPr>
                <w:rFonts w:cstheme="minorHAnsi"/>
                <w:color w:val="185262"/>
              </w:rPr>
              <w:t>2.3</w:t>
            </w:r>
            <w:r w:rsidR="00D212FA" w:rsidRPr="00447731">
              <w:rPr>
                <w:rFonts w:cstheme="minorHAnsi"/>
                <w:color w:val="FF0000"/>
              </w:rPr>
              <w:t xml:space="preserve"> </w:t>
            </w:r>
            <w:r w:rsidR="00D64D13">
              <w:rPr>
                <w:rFonts w:cstheme="minorHAnsi"/>
                <w:color w:val="185262"/>
              </w:rPr>
              <w:t xml:space="preserve">Discussed and noted. </w:t>
            </w:r>
            <w:r w:rsidR="00D212FA" w:rsidRPr="00493D1B">
              <w:rPr>
                <w:rFonts w:cstheme="minorHAnsi"/>
                <w:color w:val="185262"/>
              </w:rPr>
              <w:t xml:space="preserve">UNDP and the </w:t>
            </w:r>
            <w:r w:rsidR="00E36D04">
              <w:rPr>
                <w:rFonts w:cstheme="minorHAnsi"/>
                <w:color w:val="185262"/>
              </w:rPr>
              <w:t>ESPA</w:t>
            </w:r>
            <w:r w:rsidR="004A7AD6">
              <w:rPr>
                <w:rFonts w:cstheme="minorHAnsi"/>
                <w:color w:val="185262"/>
              </w:rPr>
              <w:t xml:space="preserve"> </w:t>
            </w:r>
            <w:r w:rsidR="00E36D04">
              <w:rPr>
                <w:rFonts w:cstheme="minorHAnsi"/>
                <w:color w:val="185262"/>
              </w:rPr>
              <w:t>2</w:t>
            </w:r>
            <w:r w:rsidR="00D212FA" w:rsidRPr="00493D1B">
              <w:rPr>
                <w:rFonts w:cstheme="minorHAnsi"/>
                <w:color w:val="185262"/>
              </w:rPr>
              <w:t xml:space="preserve"> have initiated </w:t>
            </w:r>
            <w:r w:rsidR="00512504">
              <w:rPr>
                <w:rFonts w:cstheme="minorHAnsi"/>
                <w:color w:val="185262"/>
              </w:rPr>
              <w:t xml:space="preserve">a </w:t>
            </w:r>
            <w:r w:rsidR="00D212FA" w:rsidRPr="00493D1B">
              <w:rPr>
                <w:rFonts w:cstheme="minorHAnsi"/>
                <w:color w:val="185262"/>
              </w:rPr>
              <w:t xml:space="preserve">feasibility study to examine sustainable </w:t>
            </w:r>
            <w:r w:rsidR="00CE5B70">
              <w:rPr>
                <w:rFonts w:cstheme="minorHAnsi"/>
                <w:color w:val="185262"/>
              </w:rPr>
              <w:t>tech</w:t>
            </w:r>
            <w:r w:rsidR="00F53A2C">
              <w:rPr>
                <w:rFonts w:cstheme="minorHAnsi"/>
                <w:color w:val="185262"/>
              </w:rPr>
              <w:t>nological</w:t>
            </w:r>
            <w:r w:rsidR="00CE5B70">
              <w:rPr>
                <w:rFonts w:cstheme="minorHAnsi"/>
                <w:color w:val="185262"/>
              </w:rPr>
              <w:t xml:space="preserve"> </w:t>
            </w:r>
            <w:r w:rsidR="00D212FA" w:rsidRPr="00493D1B">
              <w:rPr>
                <w:rFonts w:cstheme="minorHAnsi"/>
                <w:color w:val="185262"/>
              </w:rPr>
              <w:t>solutions</w:t>
            </w:r>
            <w:r w:rsidR="003B0AA1">
              <w:rPr>
                <w:rFonts w:cstheme="minorHAnsi"/>
                <w:color w:val="185262"/>
              </w:rPr>
              <w:t xml:space="preserve"> </w:t>
            </w:r>
            <w:r w:rsidR="00CE5B70">
              <w:rPr>
                <w:rFonts w:cstheme="minorHAnsi"/>
                <w:color w:val="185262"/>
              </w:rPr>
              <w:t xml:space="preserve">for more effective electoral support </w:t>
            </w:r>
            <w:r w:rsidR="00CD299D">
              <w:rPr>
                <w:rFonts w:cstheme="minorHAnsi"/>
                <w:color w:val="185262"/>
              </w:rPr>
              <w:t>(</w:t>
            </w:r>
            <w:r w:rsidR="00CE5B70">
              <w:rPr>
                <w:rFonts w:cstheme="minorHAnsi"/>
                <w:color w:val="185262"/>
              </w:rPr>
              <w:t xml:space="preserve">e.g., </w:t>
            </w:r>
            <w:r w:rsidR="00D212FA" w:rsidRPr="00493D1B">
              <w:rPr>
                <w:rFonts w:cstheme="minorHAnsi"/>
                <w:color w:val="185262"/>
              </w:rPr>
              <w:t>e</w:t>
            </w:r>
            <w:r w:rsidR="00D61278">
              <w:rPr>
                <w:rFonts w:cstheme="minorHAnsi"/>
                <w:color w:val="185262"/>
              </w:rPr>
              <w:t>le</w:t>
            </w:r>
            <w:r w:rsidR="00D212FA" w:rsidRPr="00493D1B">
              <w:rPr>
                <w:rFonts w:cstheme="minorHAnsi"/>
                <w:color w:val="185262"/>
              </w:rPr>
              <w:t>c</w:t>
            </w:r>
            <w:r w:rsidR="00D61278">
              <w:rPr>
                <w:rFonts w:cstheme="minorHAnsi"/>
                <w:color w:val="185262"/>
              </w:rPr>
              <w:t>tr</w:t>
            </w:r>
            <w:r w:rsidR="00D212FA" w:rsidRPr="00493D1B">
              <w:rPr>
                <w:rFonts w:cstheme="minorHAnsi"/>
                <w:color w:val="185262"/>
              </w:rPr>
              <w:t>onic voting</w:t>
            </w:r>
            <w:r w:rsidR="00CD299D">
              <w:rPr>
                <w:rFonts w:cstheme="minorHAnsi"/>
                <w:color w:val="185262"/>
              </w:rPr>
              <w:t>)</w:t>
            </w:r>
            <w:r w:rsidR="00171FC6">
              <w:rPr>
                <w:rFonts w:cstheme="minorHAnsi"/>
                <w:color w:val="185262"/>
              </w:rPr>
              <w:t>.</w:t>
            </w:r>
          </w:p>
        </w:tc>
        <w:tc>
          <w:tcPr>
            <w:tcW w:w="1164" w:type="pct"/>
          </w:tcPr>
          <w:p w14:paraId="214997FD" w14:textId="77777777" w:rsidR="00E61BD7" w:rsidRPr="008711DF" w:rsidDel="00BA6647" w:rsidRDefault="00F5159F" w:rsidP="0027107B">
            <w:pPr>
              <w:tabs>
                <w:tab w:val="left" w:pos="1080"/>
              </w:tabs>
              <w:spacing w:after="0" w:line="240" w:lineRule="auto"/>
              <w:jc w:val="both"/>
              <w:rPr>
                <w:rFonts w:cstheme="minorHAnsi"/>
                <w:color w:val="185262"/>
              </w:rPr>
            </w:pPr>
            <w:r>
              <w:rPr>
                <w:rFonts w:cstheme="minorHAnsi"/>
                <w:color w:val="185262"/>
              </w:rPr>
              <w:t>30 June 2021</w:t>
            </w:r>
          </w:p>
        </w:tc>
        <w:tc>
          <w:tcPr>
            <w:tcW w:w="1055" w:type="pct"/>
          </w:tcPr>
          <w:p w14:paraId="1F587B63" w14:textId="77777777" w:rsidR="00E61BD7" w:rsidRPr="008711DF" w:rsidDel="00BA6647" w:rsidRDefault="00C36482" w:rsidP="0027107B">
            <w:pPr>
              <w:tabs>
                <w:tab w:val="left" w:pos="1080"/>
              </w:tabs>
              <w:spacing w:after="0" w:line="240" w:lineRule="auto"/>
              <w:jc w:val="both"/>
              <w:rPr>
                <w:rFonts w:cstheme="minorHAnsi"/>
                <w:color w:val="185262"/>
              </w:rPr>
            </w:pPr>
            <w:r>
              <w:rPr>
                <w:rFonts w:cstheme="minorHAnsi"/>
                <w:color w:val="185262"/>
              </w:rPr>
              <w:t xml:space="preserve">Project </w:t>
            </w:r>
            <w:r w:rsidR="00F5159F">
              <w:rPr>
                <w:rFonts w:cstheme="minorHAnsi"/>
                <w:color w:val="185262"/>
              </w:rPr>
              <w:t>team</w:t>
            </w:r>
          </w:p>
        </w:tc>
        <w:tc>
          <w:tcPr>
            <w:tcW w:w="509" w:type="pct"/>
          </w:tcPr>
          <w:p w14:paraId="20823A77" w14:textId="77777777" w:rsidR="00E61BD7" w:rsidRPr="008711DF" w:rsidRDefault="00E61BD7" w:rsidP="0027107B">
            <w:pPr>
              <w:tabs>
                <w:tab w:val="left" w:pos="1080"/>
              </w:tabs>
              <w:spacing w:after="0" w:line="240" w:lineRule="auto"/>
              <w:jc w:val="both"/>
              <w:rPr>
                <w:rFonts w:cstheme="minorHAnsi"/>
                <w:color w:val="185262"/>
              </w:rPr>
            </w:pPr>
          </w:p>
        </w:tc>
        <w:tc>
          <w:tcPr>
            <w:tcW w:w="482" w:type="pct"/>
          </w:tcPr>
          <w:p w14:paraId="3F09B53B" w14:textId="77777777" w:rsidR="00E61BD7" w:rsidRPr="008711DF" w:rsidRDefault="00B30856" w:rsidP="0027107B">
            <w:pPr>
              <w:tabs>
                <w:tab w:val="left" w:pos="1080"/>
              </w:tabs>
              <w:spacing w:after="0" w:line="240" w:lineRule="auto"/>
              <w:jc w:val="both"/>
              <w:rPr>
                <w:rFonts w:cstheme="minorHAnsi"/>
                <w:color w:val="185262"/>
              </w:rPr>
            </w:pPr>
            <w:r>
              <w:rPr>
                <w:rFonts w:cstheme="minorHAnsi"/>
                <w:color w:val="185262"/>
              </w:rPr>
              <w:t>initiated</w:t>
            </w:r>
          </w:p>
        </w:tc>
      </w:tr>
      <w:tr w:rsidR="00DF2B7F" w:rsidRPr="008711DF" w14:paraId="2645AF67" w14:textId="77777777" w:rsidTr="00DF2B7F">
        <w:tc>
          <w:tcPr>
            <w:tcW w:w="1790" w:type="pct"/>
          </w:tcPr>
          <w:p w14:paraId="5F001348" w14:textId="732D6369" w:rsidR="00DF2B7F" w:rsidRPr="008711DF" w:rsidRDefault="00D61278" w:rsidP="00DF2B7F">
            <w:pPr>
              <w:tabs>
                <w:tab w:val="left" w:pos="1080"/>
              </w:tabs>
              <w:spacing w:after="0" w:line="240" w:lineRule="auto"/>
              <w:jc w:val="both"/>
              <w:rPr>
                <w:rFonts w:cstheme="minorHAnsi"/>
                <w:color w:val="185262"/>
              </w:rPr>
            </w:pPr>
            <w:r>
              <w:rPr>
                <w:rFonts w:cstheme="minorHAnsi"/>
                <w:color w:val="185262"/>
              </w:rPr>
              <w:t xml:space="preserve">2.4 Discussed </w:t>
            </w:r>
            <w:r w:rsidR="00E25B5F">
              <w:rPr>
                <w:rFonts w:cstheme="minorHAnsi"/>
                <w:color w:val="185262"/>
              </w:rPr>
              <w:t xml:space="preserve">and noted. </w:t>
            </w:r>
            <w:r w:rsidR="003671EB">
              <w:rPr>
                <w:rFonts w:cstheme="minorHAnsi"/>
                <w:color w:val="185262"/>
              </w:rPr>
              <w:t>More inclusive p</w:t>
            </w:r>
            <w:r w:rsidR="00A22DAA" w:rsidRPr="00282900">
              <w:rPr>
                <w:rFonts w:cstheme="minorHAnsi"/>
                <w:bCs/>
                <w:color w:val="185262"/>
              </w:rPr>
              <w:t xml:space="preserve">articipation of the civil society </w:t>
            </w:r>
            <w:r w:rsidR="00A22DAA">
              <w:rPr>
                <w:rFonts w:cstheme="minorHAnsi"/>
                <w:bCs/>
                <w:color w:val="185262"/>
              </w:rPr>
              <w:t xml:space="preserve">in </w:t>
            </w:r>
            <w:r>
              <w:rPr>
                <w:rFonts w:cstheme="minorHAnsi"/>
                <w:color w:val="185262"/>
              </w:rPr>
              <w:t xml:space="preserve">design of next generation of electoral support </w:t>
            </w:r>
            <w:r w:rsidR="00BF45D9">
              <w:rPr>
                <w:rFonts w:cstheme="minorHAnsi"/>
                <w:color w:val="185262"/>
              </w:rPr>
              <w:t>programme</w:t>
            </w:r>
            <w:r>
              <w:rPr>
                <w:rFonts w:cstheme="minorHAnsi"/>
                <w:color w:val="185262"/>
              </w:rPr>
              <w:t xml:space="preserve"> in Armenia </w:t>
            </w:r>
            <w:r w:rsidR="00BE3536">
              <w:rPr>
                <w:rFonts w:cstheme="minorHAnsi"/>
                <w:color w:val="185262"/>
              </w:rPr>
              <w:t>will be ensured</w:t>
            </w:r>
            <w:r w:rsidR="003671EB">
              <w:rPr>
                <w:rFonts w:cstheme="minorHAnsi"/>
                <w:color w:val="185262"/>
              </w:rPr>
              <w:t>.</w:t>
            </w:r>
          </w:p>
        </w:tc>
        <w:tc>
          <w:tcPr>
            <w:tcW w:w="1164" w:type="pct"/>
          </w:tcPr>
          <w:p w14:paraId="20F090FE" w14:textId="77777777" w:rsidR="00DF2B7F" w:rsidRPr="008711DF" w:rsidDel="00BA6647" w:rsidRDefault="00D61278" w:rsidP="00DF2B7F">
            <w:pPr>
              <w:tabs>
                <w:tab w:val="left" w:pos="1080"/>
              </w:tabs>
              <w:spacing w:after="0" w:line="240" w:lineRule="auto"/>
              <w:jc w:val="both"/>
              <w:rPr>
                <w:rFonts w:cstheme="minorHAnsi"/>
                <w:color w:val="185262"/>
              </w:rPr>
            </w:pPr>
            <w:r w:rsidRPr="00436A64">
              <w:rPr>
                <w:rFonts w:cstheme="minorHAnsi"/>
                <w:color w:val="185262"/>
              </w:rPr>
              <w:t>30 October 2020</w:t>
            </w:r>
          </w:p>
        </w:tc>
        <w:tc>
          <w:tcPr>
            <w:tcW w:w="1055" w:type="pct"/>
          </w:tcPr>
          <w:p w14:paraId="47F71FF6" w14:textId="77777777" w:rsidR="00DF2B7F" w:rsidRDefault="009413DF" w:rsidP="00DF2B7F">
            <w:pPr>
              <w:tabs>
                <w:tab w:val="left" w:pos="1080"/>
              </w:tabs>
              <w:spacing w:after="0" w:line="240" w:lineRule="auto"/>
              <w:jc w:val="both"/>
              <w:rPr>
                <w:rFonts w:cstheme="minorHAnsi"/>
                <w:color w:val="185262"/>
              </w:rPr>
            </w:pPr>
            <w:r>
              <w:rPr>
                <w:rFonts w:cstheme="minorHAnsi"/>
                <w:color w:val="185262"/>
              </w:rPr>
              <w:t xml:space="preserve">UNDP Democratic Governance Portfolio and </w:t>
            </w:r>
            <w:r w:rsidR="00747047">
              <w:rPr>
                <w:rFonts w:cstheme="minorHAnsi"/>
                <w:color w:val="185262"/>
              </w:rPr>
              <w:t>P</w:t>
            </w:r>
            <w:r>
              <w:rPr>
                <w:rFonts w:cstheme="minorHAnsi"/>
                <w:color w:val="185262"/>
              </w:rPr>
              <w:t>roject team</w:t>
            </w:r>
          </w:p>
        </w:tc>
        <w:tc>
          <w:tcPr>
            <w:tcW w:w="509" w:type="pct"/>
          </w:tcPr>
          <w:p w14:paraId="6E920957" w14:textId="77777777" w:rsidR="00DF2B7F" w:rsidRPr="008711DF" w:rsidRDefault="00DF2B7F" w:rsidP="00DF2B7F">
            <w:pPr>
              <w:tabs>
                <w:tab w:val="left" w:pos="1080"/>
              </w:tabs>
              <w:spacing w:after="0" w:line="240" w:lineRule="auto"/>
              <w:jc w:val="both"/>
              <w:rPr>
                <w:rFonts w:cstheme="minorHAnsi"/>
                <w:color w:val="185262"/>
              </w:rPr>
            </w:pPr>
          </w:p>
        </w:tc>
        <w:tc>
          <w:tcPr>
            <w:tcW w:w="482" w:type="pct"/>
          </w:tcPr>
          <w:p w14:paraId="737D3ACD" w14:textId="77777777" w:rsidR="00DF2B7F" w:rsidRDefault="00DF2B7F" w:rsidP="00DF2B7F">
            <w:pPr>
              <w:tabs>
                <w:tab w:val="left" w:pos="1080"/>
              </w:tabs>
              <w:spacing w:after="0" w:line="240" w:lineRule="auto"/>
              <w:jc w:val="both"/>
              <w:rPr>
                <w:rFonts w:cstheme="minorHAnsi"/>
                <w:color w:val="185262"/>
              </w:rPr>
            </w:pPr>
            <w:r>
              <w:rPr>
                <w:rFonts w:cstheme="minorHAnsi"/>
                <w:color w:val="185262"/>
              </w:rPr>
              <w:t>Completed</w:t>
            </w:r>
          </w:p>
        </w:tc>
      </w:tr>
    </w:tbl>
    <w:tbl>
      <w:tblPr>
        <w:tblpPr w:leftFromText="180" w:rightFromText="180" w:vertAnchor="text" w:tblpY="31"/>
        <w:tblW w:w="5000" w:type="pct"/>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5065"/>
        <w:gridCol w:w="3344"/>
        <w:gridCol w:w="2997"/>
        <w:gridCol w:w="1439"/>
        <w:gridCol w:w="1373"/>
      </w:tblGrid>
      <w:tr w:rsidR="009C57D5" w:rsidRPr="00436A64" w14:paraId="56F2890A" w14:textId="77777777" w:rsidTr="0027107B">
        <w:tc>
          <w:tcPr>
            <w:tcW w:w="5000" w:type="pct"/>
            <w:gridSpan w:val="5"/>
            <w:shd w:val="clear" w:color="auto" w:fill="EAF6F3"/>
          </w:tcPr>
          <w:p w14:paraId="5A66CFAB" w14:textId="77777777" w:rsidR="009C57D5" w:rsidRDefault="009C57D5" w:rsidP="00C77A34">
            <w:pPr>
              <w:pBdr>
                <w:top w:val="nil"/>
                <w:left w:val="nil"/>
                <w:bottom w:val="nil"/>
                <w:right w:val="nil"/>
                <w:between w:val="nil"/>
              </w:pBdr>
              <w:spacing w:after="0" w:line="276" w:lineRule="auto"/>
              <w:jc w:val="both"/>
              <w:rPr>
                <w:rFonts w:cstheme="minorHAnsi"/>
                <w:bCs/>
                <w:color w:val="185262"/>
              </w:rPr>
            </w:pPr>
            <w:r w:rsidRPr="009C57D5">
              <w:rPr>
                <w:rFonts w:cstheme="minorHAnsi"/>
                <w:b/>
                <w:color w:val="185262"/>
              </w:rPr>
              <w:lastRenderedPageBreak/>
              <w:t>Evaluation recommendation 3. EFFECTIVENES</w:t>
            </w:r>
            <w:r>
              <w:rPr>
                <w:rFonts w:cstheme="minorHAnsi"/>
                <w:b/>
                <w:color w:val="185262"/>
              </w:rPr>
              <w:t>S</w:t>
            </w:r>
            <w:r w:rsidR="00C77A34">
              <w:rPr>
                <w:rFonts w:cstheme="minorHAnsi"/>
                <w:b/>
                <w:color w:val="185262"/>
              </w:rPr>
              <w:t xml:space="preserve"> in relation to </w:t>
            </w:r>
            <w:r w:rsidRPr="009C57D5">
              <w:rPr>
                <w:rFonts w:cstheme="minorHAnsi"/>
                <w:b/>
                <w:color w:val="185262"/>
              </w:rPr>
              <w:t>Project Objective 1 on Credibility of the electoral process improved</w:t>
            </w:r>
            <w:r w:rsidRPr="009C57D5">
              <w:rPr>
                <w:rFonts w:cstheme="minorHAnsi"/>
                <w:bCs/>
                <w:color w:val="185262"/>
              </w:rPr>
              <w:t xml:space="preserve"> </w:t>
            </w:r>
          </w:p>
          <w:p w14:paraId="3539B760" w14:textId="2F4B9EF8" w:rsidR="0027107B" w:rsidRPr="00DD4121" w:rsidRDefault="004C66FD" w:rsidP="00DD4121">
            <w:pPr>
              <w:pStyle w:val="ListParagraph"/>
              <w:numPr>
                <w:ilvl w:val="1"/>
                <w:numId w:val="35"/>
              </w:numPr>
              <w:spacing w:after="0" w:line="256" w:lineRule="auto"/>
              <w:jc w:val="both"/>
              <w:rPr>
                <w:rFonts w:cstheme="minorHAnsi"/>
                <w:bCs/>
                <w:color w:val="185262"/>
              </w:rPr>
            </w:pPr>
            <w:r w:rsidRPr="00DD4121">
              <w:rPr>
                <w:rFonts w:cstheme="minorHAnsi"/>
                <w:bCs/>
                <w:color w:val="185262"/>
              </w:rPr>
              <w:t>Conduct a feasibility study to explore possibilities for further upgrade of digital solutions for voting system</w:t>
            </w:r>
            <w:r w:rsidR="00BF45D9">
              <w:rPr>
                <w:rFonts w:cstheme="minorHAnsi"/>
                <w:bCs/>
                <w:color w:val="185262"/>
              </w:rPr>
              <w:t>;</w:t>
            </w:r>
          </w:p>
          <w:p w14:paraId="023CB911" w14:textId="031E5242" w:rsidR="00A7186B" w:rsidRPr="00DD4121" w:rsidRDefault="004C66FD" w:rsidP="00DD4121">
            <w:pPr>
              <w:pStyle w:val="ListParagraph"/>
              <w:numPr>
                <w:ilvl w:val="1"/>
                <w:numId w:val="35"/>
              </w:numPr>
              <w:spacing w:after="0" w:line="256" w:lineRule="auto"/>
              <w:jc w:val="both"/>
              <w:rPr>
                <w:rFonts w:cstheme="minorHAnsi"/>
                <w:bCs/>
                <w:color w:val="185262"/>
              </w:rPr>
            </w:pPr>
            <w:r w:rsidRPr="00DD4121">
              <w:rPr>
                <w:rFonts w:cstheme="minorHAnsi"/>
                <w:bCs/>
                <w:color w:val="185262"/>
              </w:rPr>
              <w:t>Ensure one unified database for Voter Authentication Devices (VADs)</w:t>
            </w:r>
            <w:r w:rsidR="00BF45D9">
              <w:rPr>
                <w:rFonts w:cstheme="minorHAnsi"/>
                <w:bCs/>
                <w:color w:val="185262"/>
              </w:rPr>
              <w:t>;</w:t>
            </w:r>
          </w:p>
          <w:p w14:paraId="6E9476D2" w14:textId="3D46705D" w:rsidR="00A7186B" w:rsidRPr="00DD4121" w:rsidRDefault="004C66FD" w:rsidP="00DD4121">
            <w:pPr>
              <w:pStyle w:val="ListParagraph"/>
              <w:numPr>
                <w:ilvl w:val="1"/>
                <w:numId w:val="35"/>
              </w:numPr>
              <w:spacing w:after="0" w:line="256" w:lineRule="auto"/>
              <w:jc w:val="both"/>
              <w:rPr>
                <w:rFonts w:cstheme="minorHAnsi"/>
                <w:bCs/>
                <w:color w:val="185262"/>
              </w:rPr>
            </w:pPr>
            <w:r w:rsidRPr="00DD4121">
              <w:rPr>
                <w:rFonts w:cstheme="minorHAnsi"/>
                <w:bCs/>
                <w:color w:val="185262"/>
              </w:rPr>
              <w:t>Increase the level of accountability of the PEC and the TEC for the violations identified, as part of the structural and institutional changes</w:t>
            </w:r>
            <w:r w:rsidR="00BF45D9">
              <w:rPr>
                <w:rFonts w:cstheme="minorHAnsi"/>
                <w:bCs/>
                <w:color w:val="185262"/>
              </w:rPr>
              <w:t>;</w:t>
            </w:r>
          </w:p>
          <w:p w14:paraId="509F5897" w14:textId="52517714" w:rsidR="00A7186B" w:rsidRPr="00DD4121" w:rsidRDefault="004C66FD" w:rsidP="00DD4121">
            <w:pPr>
              <w:pStyle w:val="ListParagraph"/>
              <w:numPr>
                <w:ilvl w:val="1"/>
                <w:numId w:val="35"/>
              </w:numPr>
              <w:spacing w:after="0" w:line="256" w:lineRule="auto"/>
              <w:jc w:val="both"/>
              <w:rPr>
                <w:rFonts w:cstheme="minorHAnsi"/>
                <w:bCs/>
                <w:color w:val="185262"/>
              </w:rPr>
            </w:pPr>
            <w:r w:rsidRPr="00DD4121">
              <w:rPr>
                <w:rFonts w:cstheme="minorHAnsi"/>
                <w:bCs/>
                <w:color w:val="185262"/>
              </w:rPr>
              <w:t>Revisit the formation principle for the PEC to enhance their professional capacity and reduce political affiliations</w:t>
            </w:r>
            <w:r w:rsidR="00BF45D9">
              <w:rPr>
                <w:rFonts w:cstheme="minorHAnsi"/>
                <w:bCs/>
                <w:color w:val="185262"/>
              </w:rPr>
              <w:t>;</w:t>
            </w:r>
          </w:p>
          <w:p w14:paraId="0C1684D5" w14:textId="77777777" w:rsidR="004C66FD" w:rsidRPr="00DD4121" w:rsidRDefault="004C66FD" w:rsidP="00DD4121">
            <w:pPr>
              <w:pStyle w:val="ListParagraph"/>
              <w:numPr>
                <w:ilvl w:val="1"/>
                <w:numId w:val="35"/>
              </w:numPr>
              <w:spacing w:after="0" w:line="256" w:lineRule="auto"/>
              <w:jc w:val="both"/>
              <w:rPr>
                <w:rFonts w:cstheme="minorHAnsi"/>
                <w:bCs/>
                <w:color w:val="185262"/>
              </w:rPr>
            </w:pPr>
            <w:r w:rsidRPr="00DD4121">
              <w:rPr>
                <w:rFonts w:cstheme="minorHAnsi"/>
                <w:bCs/>
                <w:color w:val="185262"/>
              </w:rPr>
              <w:t>Ensure that at least 6 months are allocated for proper preparation to any election and/or referendum.</w:t>
            </w:r>
            <w:r w:rsidRPr="00DD4121">
              <w:rPr>
                <w:color w:val="000000"/>
              </w:rPr>
              <w:t xml:space="preserve"> </w:t>
            </w:r>
          </w:p>
        </w:tc>
      </w:tr>
      <w:tr w:rsidR="009C57D5" w:rsidRPr="00436A64" w14:paraId="1B125A26" w14:textId="77777777" w:rsidTr="0027107B">
        <w:tc>
          <w:tcPr>
            <w:tcW w:w="5000" w:type="pct"/>
            <w:gridSpan w:val="5"/>
            <w:shd w:val="clear" w:color="auto" w:fill="EAF6F3"/>
          </w:tcPr>
          <w:p w14:paraId="31801E2C" w14:textId="129A9FE6" w:rsidR="009C57D5" w:rsidRPr="00413C7E" w:rsidRDefault="009C57D5" w:rsidP="00F510C6">
            <w:pPr>
              <w:tabs>
                <w:tab w:val="left" w:pos="1080"/>
              </w:tabs>
              <w:spacing w:after="0" w:line="240" w:lineRule="auto"/>
              <w:jc w:val="both"/>
              <w:rPr>
                <w:rFonts w:cstheme="minorHAnsi"/>
                <w:bCs/>
                <w:color w:val="185262"/>
              </w:rPr>
            </w:pPr>
            <w:r w:rsidRPr="008711DF">
              <w:rPr>
                <w:rFonts w:cstheme="minorHAnsi"/>
                <w:b/>
                <w:color w:val="185262"/>
              </w:rPr>
              <w:t>Management response:</w:t>
            </w:r>
            <w:r>
              <w:rPr>
                <w:rFonts w:cstheme="minorHAnsi"/>
                <w:b/>
                <w:color w:val="185262"/>
              </w:rPr>
              <w:t xml:space="preserve"> </w:t>
            </w:r>
            <w:r w:rsidR="00F313CB" w:rsidRPr="0034426C">
              <w:rPr>
                <w:rFonts w:cstheme="minorHAnsi"/>
                <w:bCs/>
                <w:color w:val="185262"/>
              </w:rPr>
              <w:t>Accepted partially:</w:t>
            </w:r>
            <w:r w:rsidR="00F313CB">
              <w:rPr>
                <w:rFonts w:cstheme="minorHAnsi"/>
                <w:b/>
                <w:color w:val="185262"/>
              </w:rPr>
              <w:t xml:space="preserve"> </w:t>
            </w:r>
            <w:r w:rsidR="00F313CB">
              <w:rPr>
                <w:rFonts w:cstheme="minorHAnsi"/>
                <w:bCs/>
                <w:color w:val="185262"/>
              </w:rPr>
              <w:t xml:space="preserve">3.1. and 3.2 </w:t>
            </w:r>
            <w:r w:rsidR="00A87204">
              <w:rPr>
                <w:rFonts w:cstheme="minorHAnsi"/>
                <w:bCs/>
                <w:color w:val="185262"/>
              </w:rPr>
              <w:t xml:space="preserve">are already being </w:t>
            </w:r>
            <w:r w:rsidR="00C76435">
              <w:rPr>
                <w:rFonts w:cstheme="minorHAnsi"/>
                <w:bCs/>
                <w:color w:val="185262"/>
              </w:rPr>
              <w:t>implemented</w:t>
            </w:r>
            <w:r w:rsidR="00EC2173">
              <w:rPr>
                <w:rFonts w:cstheme="minorHAnsi"/>
                <w:bCs/>
                <w:color w:val="185262"/>
              </w:rPr>
              <w:t xml:space="preserve"> </w:t>
            </w:r>
            <w:r w:rsidR="00F313CB">
              <w:rPr>
                <w:rFonts w:cstheme="minorHAnsi"/>
                <w:bCs/>
                <w:color w:val="185262"/>
              </w:rPr>
              <w:t xml:space="preserve">in </w:t>
            </w:r>
            <w:r w:rsidR="00EC2173">
              <w:rPr>
                <w:rFonts w:cstheme="minorHAnsi"/>
                <w:bCs/>
                <w:color w:val="185262"/>
              </w:rPr>
              <w:t>the framework of E</w:t>
            </w:r>
            <w:r w:rsidR="00080DE6">
              <w:rPr>
                <w:rFonts w:cstheme="minorHAnsi"/>
                <w:bCs/>
                <w:color w:val="185262"/>
              </w:rPr>
              <w:t xml:space="preserve">SPA 2 </w:t>
            </w:r>
            <w:r w:rsidR="002A54E6">
              <w:rPr>
                <w:rFonts w:cstheme="minorHAnsi"/>
                <w:bCs/>
                <w:color w:val="185262"/>
              </w:rPr>
              <w:t>project</w:t>
            </w:r>
            <w:r w:rsidR="00F510C6">
              <w:rPr>
                <w:rFonts w:cstheme="minorHAnsi"/>
                <w:bCs/>
                <w:color w:val="185262"/>
              </w:rPr>
              <w:t xml:space="preserve"> </w:t>
            </w:r>
            <w:r w:rsidR="00413C7E">
              <w:rPr>
                <w:rFonts w:cstheme="minorHAnsi"/>
                <w:bCs/>
                <w:color w:val="185262"/>
              </w:rPr>
              <w:t xml:space="preserve"> (see </w:t>
            </w:r>
            <w:r w:rsidR="001031AB">
              <w:rPr>
                <w:rFonts w:cstheme="minorHAnsi"/>
                <w:bCs/>
                <w:color w:val="185262"/>
              </w:rPr>
              <w:t xml:space="preserve">also </w:t>
            </w:r>
            <w:r w:rsidR="00413C7E">
              <w:rPr>
                <w:rFonts w:cstheme="minorHAnsi"/>
                <w:bCs/>
                <w:color w:val="185262"/>
              </w:rPr>
              <w:t>Action 2.3</w:t>
            </w:r>
            <w:r w:rsidR="00DD4121">
              <w:rPr>
                <w:rFonts w:cstheme="minorHAnsi"/>
                <w:bCs/>
                <w:color w:val="185262"/>
              </w:rPr>
              <w:t xml:space="preserve"> above</w:t>
            </w:r>
            <w:r w:rsidR="00413C7E">
              <w:rPr>
                <w:rFonts w:cstheme="minorHAnsi"/>
                <w:bCs/>
                <w:color w:val="185262"/>
              </w:rPr>
              <w:t>)</w:t>
            </w:r>
            <w:r w:rsidR="00BF45D9">
              <w:rPr>
                <w:rFonts w:cstheme="minorHAnsi"/>
                <w:bCs/>
                <w:color w:val="185262"/>
              </w:rPr>
              <w:t xml:space="preserve">. </w:t>
            </w:r>
            <w:proofErr w:type="gramStart"/>
            <w:r w:rsidR="00BF45D9">
              <w:rPr>
                <w:rFonts w:cstheme="minorHAnsi"/>
                <w:bCs/>
                <w:color w:val="185262"/>
              </w:rPr>
              <w:t>The</w:t>
            </w:r>
            <w:r w:rsidR="00F313CB">
              <w:rPr>
                <w:rFonts w:cstheme="minorHAnsi"/>
                <w:bCs/>
                <w:color w:val="185262"/>
              </w:rPr>
              <w:t xml:space="preserve"> </w:t>
            </w:r>
            <w:r w:rsidR="002A54E6">
              <w:rPr>
                <w:rFonts w:cstheme="minorHAnsi"/>
                <w:bCs/>
                <w:color w:val="185262"/>
              </w:rPr>
              <w:t xml:space="preserve"> </w:t>
            </w:r>
            <w:r w:rsidR="00C76435">
              <w:rPr>
                <w:rFonts w:cstheme="minorHAnsi"/>
                <w:bCs/>
                <w:color w:val="185262"/>
              </w:rPr>
              <w:t>recommendation</w:t>
            </w:r>
            <w:r w:rsidR="00BF45D9">
              <w:rPr>
                <w:rFonts w:cstheme="minorHAnsi"/>
                <w:bCs/>
                <w:color w:val="185262"/>
              </w:rPr>
              <w:t>s</w:t>
            </w:r>
            <w:proofErr w:type="gramEnd"/>
            <w:r w:rsidR="00C76435">
              <w:rPr>
                <w:rFonts w:cstheme="minorHAnsi"/>
                <w:bCs/>
                <w:color w:val="185262"/>
              </w:rPr>
              <w:t xml:space="preserve"> </w:t>
            </w:r>
            <w:r w:rsidR="000231EC">
              <w:rPr>
                <w:rFonts w:cstheme="minorHAnsi"/>
                <w:bCs/>
                <w:color w:val="185262"/>
              </w:rPr>
              <w:t xml:space="preserve">3.3 and </w:t>
            </w:r>
            <w:r w:rsidR="00C76435">
              <w:rPr>
                <w:rFonts w:cstheme="minorHAnsi"/>
                <w:bCs/>
                <w:color w:val="185262"/>
              </w:rPr>
              <w:t>3.4</w:t>
            </w:r>
            <w:r w:rsidR="00F313CB">
              <w:rPr>
                <w:rFonts w:cstheme="minorHAnsi"/>
                <w:bCs/>
                <w:color w:val="185262"/>
              </w:rPr>
              <w:t xml:space="preserve"> should be addressed in the frame of the ongoing process of the </w:t>
            </w:r>
            <w:r w:rsidR="00C76435">
              <w:rPr>
                <w:rFonts w:cstheme="minorHAnsi"/>
                <w:color w:val="185262"/>
              </w:rPr>
              <w:t>legislative amendments</w:t>
            </w:r>
            <w:r w:rsidR="00E65D78">
              <w:rPr>
                <w:rFonts w:cstheme="minorHAnsi"/>
                <w:color w:val="185262"/>
              </w:rPr>
              <w:t xml:space="preserve"> </w:t>
            </w:r>
            <w:r w:rsidR="00F313CB">
              <w:rPr>
                <w:rFonts w:cstheme="minorHAnsi"/>
                <w:color w:val="185262"/>
              </w:rPr>
              <w:t>to the Electoral Code of Armenia</w:t>
            </w:r>
            <w:r w:rsidR="00624DB3">
              <w:rPr>
                <w:rFonts w:cstheme="minorHAnsi"/>
                <w:color w:val="185262"/>
              </w:rPr>
              <w:t xml:space="preserve">; UNDP </w:t>
            </w:r>
            <w:r w:rsidR="00F14219">
              <w:rPr>
                <w:rFonts w:cstheme="minorHAnsi"/>
                <w:color w:val="185262"/>
              </w:rPr>
              <w:t xml:space="preserve">may </w:t>
            </w:r>
            <w:r w:rsidR="00624DB3">
              <w:rPr>
                <w:rFonts w:cstheme="minorHAnsi"/>
                <w:color w:val="185262"/>
              </w:rPr>
              <w:t xml:space="preserve">consider </w:t>
            </w:r>
            <w:r w:rsidR="00F14219">
              <w:rPr>
                <w:rFonts w:cstheme="minorHAnsi"/>
                <w:color w:val="185262"/>
              </w:rPr>
              <w:t>possible</w:t>
            </w:r>
            <w:r w:rsidR="00624DB3">
              <w:rPr>
                <w:rFonts w:cstheme="minorHAnsi"/>
                <w:color w:val="185262"/>
              </w:rPr>
              <w:t xml:space="preserve"> </w:t>
            </w:r>
            <w:r w:rsidR="00170D2F">
              <w:rPr>
                <w:rFonts w:cstheme="minorHAnsi"/>
                <w:color w:val="185262"/>
              </w:rPr>
              <w:t xml:space="preserve">support </w:t>
            </w:r>
            <w:r w:rsidR="00624DB3">
              <w:rPr>
                <w:rFonts w:cstheme="minorHAnsi"/>
                <w:color w:val="185262"/>
              </w:rPr>
              <w:t>to this process should there be a next generation of electoral supp</w:t>
            </w:r>
            <w:r w:rsidR="00F510C6">
              <w:rPr>
                <w:rFonts w:cstheme="minorHAnsi"/>
                <w:color w:val="185262"/>
              </w:rPr>
              <w:t>ort programme. 3.5. Accepted, it is</w:t>
            </w:r>
            <w:r w:rsidR="00624DB3">
              <w:rPr>
                <w:rFonts w:cstheme="minorHAnsi"/>
                <w:color w:val="185262"/>
              </w:rPr>
              <w:t xml:space="preserve"> fully in line with UNDP approach</w:t>
            </w:r>
            <w:r w:rsidR="00BF45D9">
              <w:rPr>
                <w:rFonts w:cstheme="minorHAnsi"/>
                <w:color w:val="185262"/>
              </w:rPr>
              <w:t xml:space="preserve">, </w:t>
            </w:r>
            <w:r w:rsidR="00624DB3">
              <w:rPr>
                <w:rFonts w:cstheme="minorHAnsi"/>
                <w:color w:val="185262"/>
              </w:rPr>
              <w:t xml:space="preserve">with </w:t>
            </w:r>
            <w:proofErr w:type="gramStart"/>
            <w:r w:rsidR="00624DB3">
              <w:rPr>
                <w:rFonts w:cstheme="minorHAnsi"/>
                <w:color w:val="185262"/>
              </w:rPr>
              <w:t>a  caveat</w:t>
            </w:r>
            <w:proofErr w:type="gramEnd"/>
            <w:r w:rsidR="00624DB3">
              <w:rPr>
                <w:rFonts w:cstheme="minorHAnsi"/>
                <w:color w:val="185262"/>
              </w:rPr>
              <w:t xml:space="preserve"> of rapid response to emerging need of the </w:t>
            </w:r>
            <w:r w:rsidR="00BF45D9">
              <w:rPr>
                <w:rFonts w:cstheme="minorHAnsi"/>
                <w:color w:val="185262"/>
              </w:rPr>
              <w:t>G</w:t>
            </w:r>
            <w:r w:rsidR="00624DB3">
              <w:rPr>
                <w:rFonts w:cstheme="minorHAnsi"/>
                <w:color w:val="185262"/>
              </w:rPr>
              <w:t>overnment</w:t>
            </w:r>
            <w:r w:rsidR="00624DB3">
              <w:rPr>
                <w:rFonts w:cstheme="minorHAnsi"/>
                <w:bCs/>
                <w:color w:val="185262"/>
              </w:rPr>
              <w:t>.</w:t>
            </w:r>
          </w:p>
        </w:tc>
      </w:tr>
      <w:tr w:rsidR="009C57D5" w:rsidRPr="008711DF" w14:paraId="6EA25171" w14:textId="77777777" w:rsidTr="0027107B">
        <w:trPr>
          <w:trHeight w:val="135"/>
        </w:trPr>
        <w:tc>
          <w:tcPr>
            <w:tcW w:w="1781" w:type="pct"/>
            <w:vMerge w:val="restart"/>
            <w:shd w:val="clear" w:color="auto" w:fill="EAF6F3"/>
          </w:tcPr>
          <w:p w14:paraId="2A192751" w14:textId="77777777" w:rsidR="009C57D5" w:rsidRPr="008711DF" w:rsidRDefault="009C57D5" w:rsidP="0027107B">
            <w:pPr>
              <w:tabs>
                <w:tab w:val="left" w:pos="1080"/>
              </w:tabs>
              <w:spacing w:after="0" w:line="240" w:lineRule="auto"/>
              <w:jc w:val="both"/>
              <w:rPr>
                <w:rFonts w:cstheme="minorHAnsi"/>
                <w:b/>
                <w:color w:val="185262"/>
              </w:rPr>
            </w:pPr>
            <w:r w:rsidRPr="008711DF">
              <w:rPr>
                <w:rFonts w:cstheme="minorHAnsi"/>
                <w:b/>
                <w:color w:val="185262"/>
              </w:rPr>
              <w:t>Key action(s)</w:t>
            </w:r>
          </w:p>
        </w:tc>
        <w:tc>
          <w:tcPr>
            <w:tcW w:w="1176" w:type="pct"/>
            <w:vMerge w:val="restart"/>
            <w:shd w:val="clear" w:color="auto" w:fill="EAF6F3"/>
          </w:tcPr>
          <w:p w14:paraId="22061B28" w14:textId="77777777" w:rsidR="009C57D5" w:rsidRPr="008711DF" w:rsidRDefault="009C57D5" w:rsidP="0027107B">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054" w:type="pct"/>
            <w:vMerge w:val="restart"/>
            <w:shd w:val="clear" w:color="auto" w:fill="EAF6F3"/>
          </w:tcPr>
          <w:p w14:paraId="5F4C8101" w14:textId="77777777" w:rsidR="009C57D5" w:rsidRPr="008711DF" w:rsidRDefault="009C57D5" w:rsidP="0027107B">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989" w:type="pct"/>
            <w:gridSpan w:val="2"/>
            <w:shd w:val="clear" w:color="auto" w:fill="EAF6F3"/>
          </w:tcPr>
          <w:p w14:paraId="14FDFB67" w14:textId="77777777" w:rsidR="009C57D5" w:rsidRPr="008711DF" w:rsidRDefault="009C57D5" w:rsidP="0027107B">
            <w:pPr>
              <w:tabs>
                <w:tab w:val="left" w:pos="1080"/>
              </w:tabs>
              <w:spacing w:after="0" w:line="240" w:lineRule="auto"/>
              <w:jc w:val="both"/>
              <w:rPr>
                <w:rFonts w:cstheme="minorHAnsi"/>
                <w:b/>
                <w:color w:val="185262"/>
              </w:rPr>
            </w:pPr>
            <w:r w:rsidRPr="008711DF">
              <w:rPr>
                <w:rFonts w:cstheme="minorHAnsi"/>
                <w:b/>
                <w:color w:val="185262"/>
              </w:rPr>
              <w:t>Tracking*</w:t>
            </w:r>
          </w:p>
        </w:tc>
      </w:tr>
      <w:tr w:rsidR="009C57D5" w:rsidRPr="008711DF" w14:paraId="4FEEEC8B" w14:textId="77777777" w:rsidTr="0027107B">
        <w:trPr>
          <w:trHeight w:val="135"/>
        </w:trPr>
        <w:tc>
          <w:tcPr>
            <w:tcW w:w="1781" w:type="pct"/>
            <w:vMerge/>
            <w:shd w:val="clear" w:color="auto" w:fill="F3F3F3"/>
          </w:tcPr>
          <w:p w14:paraId="641B50A3" w14:textId="77777777" w:rsidR="009C57D5" w:rsidRPr="008711DF" w:rsidRDefault="009C57D5" w:rsidP="0027107B">
            <w:pPr>
              <w:tabs>
                <w:tab w:val="left" w:pos="1080"/>
              </w:tabs>
              <w:spacing w:after="0" w:line="240" w:lineRule="auto"/>
              <w:jc w:val="both"/>
              <w:rPr>
                <w:rFonts w:cstheme="minorHAnsi"/>
                <w:color w:val="185262"/>
              </w:rPr>
            </w:pPr>
          </w:p>
        </w:tc>
        <w:tc>
          <w:tcPr>
            <w:tcW w:w="1176" w:type="pct"/>
            <w:vMerge/>
            <w:shd w:val="clear" w:color="auto" w:fill="F3F3F3"/>
          </w:tcPr>
          <w:p w14:paraId="06F16F56" w14:textId="77777777" w:rsidR="009C57D5" w:rsidRPr="008711DF" w:rsidRDefault="009C57D5" w:rsidP="0027107B">
            <w:pPr>
              <w:tabs>
                <w:tab w:val="left" w:pos="1080"/>
              </w:tabs>
              <w:spacing w:after="0" w:line="240" w:lineRule="auto"/>
              <w:jc w:val="both"/>
              <w:rPr>
                <w:rFonts w:cstheme="minorHAnsi"/>
                <w:b/>
                <w:color w:val="185262"/>
              </w:rPr>
            </w:pPr>
          </w:p>
        </w:tc>
        <w:tc>
          <w:tcPr>
            <w:tcW w:w="1054" w:type="pct"/>
            <w:vMerge/>
            <w:shd w:val="clear" w:color="auto" w:fill="F3F3F3"/>
          </w:tcPr>
          <w:p w14:paraId="7748DBDA" w14:textId="77777777" w:rsidR="009C57D5" w:rsidRPr="008711DF" w:rsidRDefault="009C57D5" w:rsidP="0027107B">
            <w:pPr>
              <w:tabs>
                <w:tab w:val="left" w:pos="1080"/>
              </w:tabs>
              <w:spacing w:after="0" w:line="240" w:lineRule="auto"/>
              <w:jc w:val="both"/>
              <w:rPr>
                <w:rFonts w:cstheme="minorHAnsi"/>
                <w:b/>
                <w:color w:val="185262"/>
              </w:rPr>
            </w:pPr>
          </w:p>
        </w:tc>
        <w:tc>
          <w:tcPr>
            <w:tcW w:w="506" w:type="pct"/>
          </w:tcPr>
          <w:p w14:paraId="41274171" w14:textId="77777777" w:rsidR="009C57D5" w:rsidRPr="008711DF" w:rsidRDefault="009C57D5" w:rsidP="0027107B">
            <w:pPr>
              <w:tabs>
                <w:tab w:val="left" w:pos="1080"/>
              </w:tabs>
              <w:spacing w:after="0" w:line="240" w:lineRule="auto"/>
              <w:jc w:val="both"/>
              <w:rPr>
                <w:rFonts w:cstheme="minorHAnsi"/>
                <w:b/>
                <w:color w:val="185262"/>
              </w:rPr>
            </w:pPr>
            <w:r w:rsidRPr="008711DF">
              <w:rPr>
                <w:rFonts w:cstheme="minorHAnsi"/>
                <w:b/>
                <w:color w:val="185262"/>
              </w:rPr>
              <w:t>Comments</w:t>
            </w:r>
          </w:p>
        </w:tc>
        <w:tc>
          <w:tcPr>
            <w:tcW w:w="483" w:type="pct"/>
          </w:tcPr>
          <w:p w14:paraId="1A0660A6" w14:textId="77777777" w:rsidR="009C57D5" w:rsidRPr="008711DF" w:rsidRDefault="009C57D5" w:rsidP="0027107B">
            <w:pPr>
              <w:tabs>
                <w:tab w:val="left" w:pos="1080"/>
              </w:tabs>
              <w:spacing w:after="0" w:line="240" w:lineRule="auto"/>
              <w:jc w:val="both"/>
              <w:rPr>
                <w:rFonts w:asciiTheme="majorHAnsi" w:eastAsiaTheme="majorEastAsia" w:hAnsiTheme="majorHAnsi" w:cstheme="minorHAnsi"/>
                <w:b/>
                <w:color w:val="185262"/>
                <w:sz w:val="21"/>
                <w:szCs w:val="21"/>
              </w:rPr>
            </w:pPr>
            <w:r w:rsidRPr="008711DF">
              <w:rPr>
                <w:rFonts w:cstheme="minorHAnsi"/>
                <w:b/>
                <w:color w:val="185262"/>
              </w:rPr>
              <w:t>Status</w:t>
            </w:r>
          </w:p>
          <w:p w14:paraId="01B6768F" w14:textId="77777777" w:rsidR="009C57D5" w:rsidRPr="008711DF" w:rsidRDefault="009C57D5" w:rsidP="0027107B">
            <w:pPr>
              <w:tabs>
                <w:tab w:val="left" w:pos="1080"/>
              </w:tabs>
              <w:spacing w:after="0" w:line="240" w:lineRule="auto"/>
              <w:jc w:val="both"/>
              <w:rPr>
                <w:rFonts w:cstheme="minorHAnsi"/>
                <w:b/>
                <w:color w:val="185262"/>
              </w:rPr>
            </w:pPr>
            <w:r w:rsidRPr="008711DF">
              <w:rPr>
                <w:rFonts w:cstheme="minorHAnsi"/>
                <w:b/>
                <w:color w:val="185262"/>
              </w:rPr>
              <w:t>(initiated, completed or no due date)</w:t>
            </w:r>
          </w:p>
        </w:tc>
      </w:tr>
      <w:tr w:rsidR="009C57D5" w:rsidRPr="008711DF" w14:paraId="03C8A941" w14:textId="77777777" w:rsidTr="0027107B">
        <w:tc>
          <w:tcPr>
            <w:tcW w:w="1781" w:type="pct"/>
          </w:tcPr>
          <w:p w14:paraId="1BF56ADD" w14:textId="50F4FF90" w:rsidR="009C57D5" w:rsidRPr="008711DF" w:rsidRDefault="00F14219" w:rsidP="0027107B">
            <w:pPr>
              <w:tabs>
                <w:tab w:val="left" w:pos="1080"/>
              </w:tabs>
              <w:spacing w:after="0" w:line="240" w:lineRule="auto"/>
              <w:jc w:val="both"/>
              <w:rPr>
                <w:rFonts w:cstheme="minorHAnsi"/>
                <w:color w:val="185262"/>
              </w:rPr>
            </w:pPr>
            <w:r>
              <w:rPr>
                <w:rFonts w:cstheme="minorHAnsi"/>
                <w:color w:val="185262"/>
              </w:rPr>
              <w:t>Discussed</w:t>
            </w:r>
            <w:r w:rsidR="00E41A18">
              <w:rPr>
                <w:rFonts w:cstheme="minorHAnsi"/>
                <w:color w:val="185262"/>
              </w:rPr>
              <w:t xml:space="preserve"> and noted. P</w:t>
            </w:r>
            <w:r>
              <w:rPr>
                <w:rFonts w:cstheme="minorHAnsi"/>
                <w:color w:val="185262"/>
              </w:rPr>
              <w:t xml:space="preserve">art of the recommendations are already </w:t>
            </w:r>
            <w:r w:rsidR="00E41A18">
              <w:rPr>
                <w:rFonts w:cstheme="minorHAnsi"/>
                <w:color w:val="185262"/>
              </w:rPr>
              <w:t xml:space="preserve">being </w:t>
            </w:r>
            <w:r>
              <w:rPr>
                <w:rFonts w:cstheme="minorHAnsi"/>
                <w:color w:val="185262"/>
              </w:rPr>
              <w:t>implemented within the framewor</w:t>
            </w:r>
            <w:r w:rsidR="00E41A18">
              <w:rPr>
                <w:rFonts w:cstheme="minorHAnsi"/>
                <w:color w:val="185262"/>
              </w:rPr>
              <w:t>k</w:t>
            </w:r>
            <w:r>
              <w:rPr>
                <w:rFonts w:cstheme="minorHAnsi"/>
                <w:color w:val="185262"/>
              </w:rPr>
              <w:t xml:space="preserve"> of ESPA</w:t>
            </w:r>
            <w:r w:rsidR="00BF45D9">
              <w:rPr>
                <w:rFonts w:cstheme="minorHAnsi"/>
                <w:color w:val="185262"/>
              </w:rPr>
              <w:t xml:space="preserve"> </w:t>
            </w:r>
            <w:r>
              <w:rPr>
                <w:rFonts w:cstheme="minorHAnsi"/>
                <w:color w:val="185262"/>
              </w:rPr>
              <w:t>2</w:t>
            </w:r>
            <w:r w:rsidR="00AD0921">
              <w:rPr>
                <w:rFonts w:cstheme="minorHAnsi"/>
                <w:color w:val="185262"/>
              </w:rPr>
              <w:t xml:space="preserve">. The other part will be considered as part of </w:t>
            </w:r>
            <w:r w:rsidR="00C31300">
              <w:rPr>
                <w:rFonts w:cstheme="minorHAnsi"/>
                <w:color w:val="185262"/>
              </w:rPr>
              <w:t xml:space="preserve">a potential </w:t>
            </w:r>
            <w:proofErr w:type="gramStart"/>
            <w:r w:rsidR="00C31300">
              <w:rPr>
                <w:rFonts w:cstheme="minorHAnsi"/>
                <w:color w:val="185262"/>
              </w:rPr>
              <w:t xml:space="preserve">future </w:t>
            </w:r>
            <w:r w:rsidR="009C57D5">
              <w:rPr>
                <w:rFonts w:cstheme="minorHAnsi"/>
                <w:color w:val="185262"/>
              </w:rPr>
              <w:t>.</w:t>
            </w:r>
            <w:proofErr w:type="gramEnd"/>
          </w:p>
        </w:tc>
        <w:tc>
          <w:tcPr>
            <w:tcW w:w="1176" w:type="pct"/>
          </w:tcPr>
          <w:p w14:paraId="31116D03" w14:textId="77777777" w:rsidR="009C57D5" w:rsidRPr="008711DF" w:rsidRDefault="009C57D5" w:rsidP="0027107B">
            <w:pPr>
              <w:tabs>
                <w:tab w:val="left" w:pos="1080"/>
              </w:tabs>
              <w:spacing w:after="0" w:line="240" w:lineRule="auto"/>
              <w:jc w:val="both"/>
              <w:rPr>
                <w:rFonts w:cstheme="minorHAnsi"/>
                <w:color w:val="185262"/>
              </w:rPr>
            </w:pPr>
            <w:r w:rsidRPr="00436A64">
              <w:rPr>
                <w:rFonts w:cstheme="minorHAnsi"/>
                <w:color w:val="185262"/>
              </w:rPr>
              <w:t>30 October 2020</w:t>
            </w:r>
          </w:p>
        </w:tc>
        <w:tc>
          <w:tcPr>
            <w:tcW w:w="1054" w:type="pct"/>
          </w:tcPr>
          <w:p w14:paraId="048FE5EF" w14:textId="77777777" w:rsidR="009C57D5" w:rsidRPr="008711DF" w:rsidRDefault="009C57D5" w:rsidP="0027107B">
            <w:pPr>
              <w:tabs>
                <w:tab w:val="left" w:pos="1080"/>
              </w:tabs>
              <w:spacing w:after="0" w:line="240" w:lineRule="auto"/>
              <w:jc w:val="both"/>
              <w:rPr>
                <w:rFonts w:cstheme="minorHAnsi"/>
                <w:color w:val="185262"/>
              </w:rPr>
            </w:pPr>
            <w:r>
              <w:rPr>
                <w:rFonts w:cstheme="minorHAnsi"/>
                <w:color w:val="185262"/>
              </w:rPr>
              <w:t xml:space="preserve">UNDP Democratic Governance Portfolio and </w:t>
            </w:r>
            <w:r w:rsidR="00E41A18">
              <w:rPr>
                <w:rFonts w:cstheme="minorHAnsi"/>
                <w:color w:val="185262"/>
              </w:rPr>
              <w:t>P</w:t>
            </w:r>
            <w:r>
              <w:rPr>
                <w:rFonts w:cstheme="minorHAnsi"/>
                <w:color w:val="185262"/>
              </w:rPr>
              <w:t>roject team</w:t>
            </w:r>
          </w:p>
        </w:tc>
        <w:tc>
          <w:tcPr>
            <w:tcW w:w="506" w:type="pct"/>
          </w:tcPr>
          <w:p w14:paraId="1F74AD23" w14:textId="77777777" w:rsidR="009C57D5" w:rsidRPr="008711DF" w:rsidRDefault="009C57D5" w:rsidP="0027107B">
            <w:pPr>
              <w:tabs>
                <w:tab w:val="left" w:pos="1080"/>
              </w:tabs>
              <w:spacing w:after="0" w:line="240" w:lineRule="auto"/>
              <w:jc w:val="both"/>
              <w:rPr>
                <w:rFonts w:cstheme="minorHAnsi"/>
                <w:color w:val="185262"/>
              </w:rPr>
            </w:pPr>
          </w:p>
        </w:tc>
        <w:tc>
          <w:tcPr>
            <w:tcW w:w="483" w:type="pct"/>
          </w:tcPr>
          <w:p w14:paraId="5A22CABD" w14:textId="77777777" w:rsidR="009C57D5" w:rsidRPr="008711DF" w:rsidRDefault="009C57D5" w:rsidP="0027107B">
            <w:pPr>
              <w:tabs>
                <w:tab w:val="left" w:pos="1080"/>
              </w:tabs>
              <w:spacing w:after="0" w:line="240" w:lineRule="auto"/>
              <w:jc w:val="both"/>
              <w:rPr>
                <w:rFonts w:cstheme="minorHAnsi"/>
                <w:color w:val="185262"/>
              </w:rPr>
            </w:pPr>
            <w:r>
              <w:rPr>
                <w:rFonts w:cstheme="minorHAnsi"/>
                <w:color w:val="185262"/>
              </w:rPr>
              <w:t>Completed</w:t>
            </w:r>
          </w:p>
        </w:tc>
      </w:tr>
      <w:tr w:rsidR="009F59F2" w:rsidRPr="004C66FD" w14:paraId="12188FFE" w14:textId="77777777" w:rsidTr="0027107B">
        <w:tc>
          <w:tcPr>
            <w:tcW w:w="5000" w:type="pct"/>
            <w:gridSpan w:val="5"/>
            <w:shd w:val="clear" w:color="auto" w:fill="EAF6F3"/>
          </w:tcPr>
          <w:p w14:paraId="4411C801" w14:textId="77777777" w:rsidR="009F59F2" w:rsidRPr="009F59F2" w:rsidRDefault="009F59F2" w:rsidP="009F59F2">
            <w:pPr>
              <w:pBdr>
                <w:top w:val="nil"/>
                <w:left w:val="nil"/>
                <w:bottom w:val="nil"/>
                <w:right w:val="nil"/>
                <w:between w:val="nil"/>
              </w:pBdr>
              <w:spacing w:line="276" w:lineRule="auto"/>
              <w:jc w:val="both"/>
              <w:rPr>
                <w:rFonts w:cstheme="minorHAnsi"/>
                <w:b/>
                <w:color w:val="185262"/>
              </w:rPr>
            </w:pPr>
            <w:r w:rsidRPr="009C57D5">
              <w:rPr>
                <w:rFonts w:cstheme="minorHAnsi"/>
                <w:b/>
                <w:color w:val="185262"/>
              </w:rPr>
              <w:t xml:space="preserve">Evaluation recommendation </w:t>
            </w:r>
            <w:r w:rsidR="00DA1142">
              <w:rPr>
                <w:rFonts w:cstheme="minorHAnsi"/>
                <w:b/>
                <w:color w:val="185262"/>
              </w:rPr>
              <w:t>4</w:t>
            </w:r>
            <w:r w:rsidRPr="009C57D5">
              <w:rPr>
                <w:rFonts w:cstheme="minorHAnsi"/>
                <w:b/>
                <w:color w:val="185262"/>
              </w:rPr>
              <w:t>. EFFECTIVENES</w:t>
            </w:r>
            <w:r>
              <w:rPr>
                <w:rFonts w:cstheme="minorHAnsi"/>
                <w:b/>
                <w:color w:val="185262"/>
              </w:rPr>
              <w:t xml:space="preserve">S in relation to </w:t>
            </w:r>
            <w:r w:rsidRPr="009C57D5">
              <w:rPr>
                <w:rFonts w:cstheme="minorHAnsi"/>
                <w:b/>
                <w:color w:val="185262"/>
              </w:rPr>
              <w:t xml:space="preserve">Project Objective </w:t>
            </w:r>
            <w:r>
              <w:rPr>
                <w:rFonts w:cstheme="minorHAnsi"/>
                <w:b/>
                <w:color w:val="185262"/>
              </w:rPr>
              <w:t>2</w:t>
            </w:r>
            <w:r w:rsidRPr="009C57D5">
              <w:rPr>
                <w:rFonts w:cstheme="minorHAnsi"/>
                <w:b/>
                <w:color w:val="185262"/>
              </w:rPr>
              <w:t xml:space="preserve"> on </w:t>
            </w:r>
            <w:r w:rsidRPr="009F59F2">
              <w:rPr>
                <w:rFonts w:cstheme="minorHAnsi"/>
                <w:b/>
                <w:bCs/>
                <w:color w:val="185262"/>
                <w:lang w:val="en-US"/>
              </w:rPr>
              <w:t>Inclusiveness and participation in the elections is increased</w:t>
            </w:r>
          </w:p>
          <w:p w14:paraId="79329A56" w14:textId="77777777" w:rsidR="00DD4121" w:rsidRDefault="007414AE" w:rsidP="00DD4121">
            <w:pPr>
              <w:pStyle w:val="ListParagraph"/>
              <w:numPr>
                <w:ilvl w:val="1"/>
                <w:numId w:val="37"/>
              </w:numPr>
              <w:spacing w:after="0" w:line="240" w:lineRule="auto"/>
              <w:jc w:val="both"/>
              <w:rPr>
                <w:rFonts w:cstheme="minorHAnsi"/>
                <w:bCs/>
                <w:color w:val="185262"/>
              </w:rPr>
            </w:pPr>
            <w:r w:rsidRPr="00DD4121">
              <w:rPr>
                <w:rFonts w:cstheme="minorHAnsi"/>
                <w:bCs/>
                <w:color w:val="185262"/>
              </w:rPr>
              <w:t xml:space="preserve">Ensuring better protection of voters’ personal information while making them publicly available; </w:t>
            </w:r>
          </w:p>
          <w:p w14:paraId="2557DC7D" w14:textId="77777777" w:rsidR="0027107B" w:rsidRPr="00DD4121" w:rsidRDefault="007414AE" w:rsidP="00DD4121">
            <w:pPr>
              <w:pStyle w:val="ListParagraph"/>
              <w:numPr>
                <w:ilvl w:val="1"/>
                <w:numId w:val="37"/>
              </w:numPr>
              <w:spacing w:after="0" w:line="240" w:lineRule="auto"/>
              <w:jc w:val="both"/>
              <w:rPr>
                <w:rFonts w:cstheme="minorHAnsi"/>
                <w:bCs/>
                <w:color w:val="185262"/>
              </w:rPr>
            </w:pPr>
            <w:r w:rsidRPr="00DD4121">
              <w:rPr>
                <w:rFonts w:cstheme="minorHAnsi"/>
                <w:bCs/>
                <w:color w:val="185262"/>
              </w:rPr>
              <w:t xml:space="preserve">Making the polling stations more accessible and educational materials more inclusive; </w:t>
            </w:r>
          </w:p>
          <w:p w14:paraId="36B27C01" w14:textId="77777777" w:rsidR="0027107B" w:rsidRPr="00DD4121" w:rsidRDefault="007414AE" w:rsidP="00DD4121">
            <w:pPr>
              <w:pStyle w:val="ListParagraph"/>
              <w:numPr>
                <w:ilvl w:val="1"/>
                <w:numId w:val="37"/>
              </w:numPr>
              <w:spacing w:after="0" w:line="240" w:lineRule="auto"/>
              <w:jc w:val="both"/>
              <w:rPr>
                <w:rFonts w:cstheme="minorHAnsi"/>
                <w:bCs/>
                <w:color w:val="185262"/>
              </w:rPr>
            </w:pPr>
            <w:proofErr w:type="spellStart"/>
            <w:r w:rsidRPr="00DD4121">
              <w:rPr>
                <w:rFonts w:cstheme="minorHAnsi"/>
                <w:bCs/>
                <w:color w:val="185262"/>
              </w:rPr>
              <w:t>Analyzing</w:t>
            </w:r>
            <w:proofErr w:type="spellEnd"/>
            <w:r w:rsidRPr="00DD4121">
              <w:rPr>
                <w:rFonts w:cstheme="minorHAnsi"/>
                <w:bCs/>
                <w:color w:val="185262"/>
              </w:rPr>
              <w:t xml:space="preserve"> voter participation statistics to better understand the trends and make future election campaigns more targeted;</w:t>
            </w:r>
          </w:p>
          <w:p w14:paraId="784C0EF9" w14:textId="77777777" w:rsidR="0027107B" w:rsidRPr="00DD4121" w:rsidRDefault="007414AE" w:rsidP="00DD4121">
            <w:pPr>
              <w:pStyle w:val="ListParagraph"/>
              <w:numPr>
                <w:ilvl w:val="1"/>
                <w:numId w:val="37"/>
              </w:numPr>
              <w:spacing w:after="0" w:line="240" w:lineRule="auto"/>
              <w:jc w:val="both"/>
              <w:rPr>
                <w:rFonts w:cstheme="minorHAnsi"/>
                <w:bCs/>
                <w:color w:val="185262"/>
              </w:rPr>
            </w:pPr>
            <w:r w:rsidRPr="00DD4121">
              <w:rPr>
                <w:rFonts w:cstheme="minorHAnsi"/>
                <w:bCs/>
                <w:color w:val="185262"/>
              </w:rPr>
              <w:t xml:space="preserve">Enhancing participation of women through economic and political empowerment initiatives, specifically in rural and remote areas; </w:t>
            </w:r>
          </w:p>
          <w:p w14:paraId="18E753C8" w14:textId="61FD1C50" w:rsidR="0027107B" w:rsidRPr="00DD4121" w:rsidRDefault="007414AE" w:rsidP="00DD4121">
            <w:pPr>
              <w:pStyle w:val="ListParagraph"/>
              <w:numPr>
                <w:ilvl w:val="1"/>
                <w:numId w:val="37"/>
              </w:numPr>
              <w:spacing w:after="0" w:line="240" w:lineRule="auto"/>
              <w:jc w:val="both"/>
              <w:rPr>
                <w:rFonts w:cstheme="minorHAnsi"/>
                <w:bCs/>
                <w:color w:val="185262"/>
              </w:rPr>
            </w:pPr>
            <w:r w:rsidRPr="00DD4121">
              <w:rPr>
                <w:rFonts w:cstheme="minorHAnsi"/>
                <w:bCs/>
                <w:color w:val="185262"/>
              </w:rPr>
              <w:t>Developing a mechanism for streamlining voter lists to ensure that it includes RA citizens residing in the country in order to have a more realistic picture of voter turnout</w:t>
            </w:r>
            <w:r w:rsidR="00BF45D9">
              <w:rPr>
                <w:rFonts w:cstheme="minorHAnsi"/>
                <w:bCs/>
                <w:color w:val="185262"/>
              </w:rPr>
              <w:t>;</w:t>
            </w:r>
          </w:p>
          <w:p w14:paraId="7D85D3BA" w14:textId="77777777" w:rsidR="009F59F2" w:rsidRPr="00DD4121" w:rsidRDefault="007414AE" w:rsidP="00DD4121">
            <w:pPr>
              <w:pStyle w:val="ListParagraph"/>
              <w:numPr>
                <w:ilvl w:val="1"/>
                <w:numId w:val="37"/>
              </w:numPr>
              <w:spacing w:after="0" w:line="240" w:lineRule="auto"/>
              <w:jc w:val="both"/>
              <w:rPr>
                <w:rFonts w:cstheme="minorHAnsi"/>
                <w:bCs/>
                <w:color w:val="185262"/>
              </w:rPr>
            </w:pPr>
            <w:r w:rsidRPr="00DD4121">
              <w:rPr>
                <w:rFonts w:cstheme="minorHAnsi"/>
                <w:bCs/>
                <w:color w:val="185262"/>
              </w:rPr>
              <w:t>Consider strengthening the “future voter’s education” component of the school curriculum within the scope of the education sector reforms in Armenia.</w:t>
            </w:r>
            <w:r w:rsidRPr="00DD4121">
              <w:rPr>
                <w:color w:val="000000"/>
              </w:rPr>
              <w:t xml:space="preserve"> </w:t>
            </w:r>
          </w:p>
        </w:tc>
      </w:tr>
      <w:tr w:rsidR="009F59F2" w:rsidRPr="00436A64" w14:paraId="0E2B2CA2" w14:textId="77777777" w:rsidTr="0027107B">
        <w:tc>
          <w:tcPr>
            <w:tcW w:w="5000" w:type="pct"/>
            <w:gridSpan w:val="5"/>
            <w:shd w:val="clear" w:color="auto" w:fill="EAF6F3"/>
          </w:tcPr>
          <w:p w14:paraId="5358BBD8" w14:textId="7E9D4425" w:rsidR="009F59F2" w:rsidRPr="00436A64" w:rsidRDefault="009F59F2" w:rsidP="00540083">
            <w:pPr>
              <w:tabs>
                <w:tab w:val="left" w:pos="1080"/>
              </w:tabs>
              <w:spacing w:after="0" w:line="240" w:lineRule="auto"/>
              <w:jc w:val="both"/>
              <w:rPr>
                <w:rFonts w:cstheme="minorHAnsi"/>
                <w:color w:val="185262"/>
              </w:rPr>
            </w:pPr>
            <w:r w:rsidRPr="004930FC">
              <w:rPr>
                <w:rFonts w:cstheme="minorHAnsi"/>
                <w:b/>
                <w:color w:val="185262"/>
              </w:rPr>
              <w:t xml:space="preserve">Management response: </w:t>
            </w:r>
            <w:r w:rsidR="00FF76EB">
              <w:rPr>
                <w:rFonts w:cstheme="minorHAnsi"/>
                <w:bCs/>
                <w:color w:val="185262"/>
              </w:rPr>
              <w:t>P</w:t>
            </w:r>
            <w:r w:rsidR="00987357" w:rsidRPr="00CC08EE">
              <w:rPr>
                <w:rFonts w:cstheme="minorHAnsi"/>
                <w:bCs/>
                <w:color w:val="185262"/>
              </w:rPr>
              <w:t xml:space="preserve">artially accepted. </w:t>
            </w:r>
            <w:r w:rsidR="00FF76EB">
              <w:rPr>
                <w:rFonts w:cstheme="minorHAnsi"/>
                <w:bCs/>
                <w:color w:val="185262"/>
              </w:rPr>
              <w:t>4</w:t>
            </w:r>
            <w:r w:rsidR="00FF76EB">
              <w:rPr>
                <w:rFonts w:cstheme="minorHAnsi"/>
                <w:color w:val="185262"/>
              </w:rPr>
              <w:t xml:space="preserve">.1 </w:t>
            </w:r>
            <w:r w:rsidR="00BF45D9">
              <w:rPr>
                <w:rFonts w:cstheme="minorHAnsi"/>
                <w:color w:val="185262"/>
              </w:rPr>
              <w:t>V</w:t>
            </w:r>
            <w:r w:rsidR="00FF76EB">
              <w:rPr>
                <w:rFonts w:cstheme="minorHAnsi"/>
                <w:color w:val="185262"/>
              </w:rPr>
              <w:t>oters’ list is prepared and managed by the Passport and Visa Department of the Police of Armenia. Publishing voters’ list on the CEC website, as well as signed voters’ list after elections, is required by law. As part of its potential future project, UNDP will explore opportunities to cooperate with the Police and the National Assembly of Armenia on strengthened protection of voters’ personal data</w:t>
            </w:r>
            <w:r w:rsidR="00BF45D9">
              <w:rPr>
                <w:rFonts w:cstheme="minorHAnsi"/>
                <w:color w:val="185262"/>
              </w:rPr>
              <w:t>.</w:t>
            </w:r>
            <w:r w:rsidR="00FF76EB">
              <w:rPr>
                <w:rFonts w:cstheme="minorHAnsi"/>
                <w:bCs/>
                <w:color w:val="185262"/>
              </w:rPr>
              <w:t xml:space="preserve">  4.2 Accessibility of </w:t>
            </w:r>
            <w:r w:rsidR="00FF76EB">
              <w:rPr>
                <w:rFonts w:cstheme="minorHAnsi"/>
                <w:bCs/>
                <w:color w:val="185262"/>
              </w:rPr>
              <w:lastRenderedPageBreak/>
              <w:t>polling stations requires a comprehensive assessment followed by  rehabilitation of infrastructure</w:t>
            </w:r>
            <w:r w:rsidR="00540083">
              <w:rPr>
                <w:rFonts w:cstheme="minorHAnsi"/>
                <w:bCs/>
                <w:color w:val="185262"/>
              </w:rPr>
              <w:t xml:space="preserve">; this is a long-term programme to be led by the Government in partnership with other international organizations. </w:t>
            </w:r>
            <w:r w:rsidR="005F169A">
              <w:rPr>
                <w:rFonts w:cstheme="minorHAnsi"/>
                <w:bCs/>
                <w:color w:val="185262"/>
              </w:rPr>
              <w:t>The r</w:t>
            </w:r>
            <w:r w:rsidR="00376EFD">
              <w:rPr>
                <w:rFonts w:cstheme="minorHAnsi"/>
                <w:bCs/>
                <w:color w:val="185262"/>
              </w:rPr>
              <w:t xml:space="preserve">ecommendations </w:t>
            </w:r>
            <w:r w:rsidR="000D15DC">
              <w:rPr>
                <w:rFonts w:cstheme="minorHAnsi"/>
                <w:bCs/>
                <w:color w:val="185262"/>
              </w:rPr>
              <w:t>4</w:t>
            </w:r>
            <w:r w:rsidR="00376EFD">
              <w:rPr>
                <w:rFonts w:cstheme="minorHAnsi"/>
                <w:bCs/>
                <w:color w:val="185262"/>
              </w:rPr>
              <w:t>.3</w:t>
            </w:r>
            <w:r w:rsidR="00BF45D9">
              <w:rPr>
                <w:rFonts w:cstheme="minorHAnsi"/>
                <w:bCs/>
                <w:color w:val="185262"/>
              </w:rPr>
              <w:t xml:space="preserve"> and</w:t>
            </w:r>
            <w:r w:rsidR="000D15DC">
              <w:rPr>
                <w:rFonts w:cstheme="minorHAnsi"/>
                <w:bCs/>
                <w:color w:val="185262"/>
              </w:rPr>
              <w:t xml:space="preserve"> 4</w:t>
            </w:r>
            <w:r w:rsidR="00376EFD">
              <w:rPr>
                <w:rFonts w:cstheme="minorHAnsi"/>
                <w:bCs/>
                <w:color w:val="185262"/>
              </w:rPr>
              <w:t xml:space="preserve">.6 are noted and will be </w:t>
            </w:r>
            <w:r w:rsidR="00540083">
              <w:rPr>
                <w:rFonts w:cstheme="minorHAnsi"/>
                <w:bCs/>
                <w:color w:val="185262"/>
              </w:rPr>
              <w:t xml:space="preserve">considered in future programmes </w:t>
            </w:r>
            <w:r w:rsidR="00376EFD">
              <w:rPr>
                <w:rFonts w:cstheme="minorHAnsi"/>
                <w:bCs/>
                <w:color w:val="185262"/>
              </w:rPr>
              <w:t>(see respective actions</w:t>
            </w:r>
            <w:r w:rsidR="00C7762C">
              <w:rPr>
                <w:rFonts w:cstheme="minorHAnsi"/>
                <w:bCs/>
                <w:color w:val="185262"/>
              </w:rPr>
              <w:t xml:space="preserve"> below</w:t>
            </w:r>
            <w:r w:rsidR="00376EFD">
              <w:rPr>
                <w:rFonts w:cstheme="minorHAnsi"/>
                <w:bCs/>
                <w:color w:val="185262"/>
              </w:rPr>
              <w:t xml:space="preserve">). </w:t>
            </w:r>
            <w:r w:rsidR="00540083">
              <w:rPr>
                <w:rFonts w:cstheme="minorHAnsi"/>
                <w:bCs/>
                <w:color w:val="185262"/>
              </w:rPr>
              <w:t xml:space="preserve">As for 4.4: it is currently addressed by ongoing UNDP programmes on political and economic empowerment of women at local level. </w:t>
            </w:r>
            <w:r w:rsidR="00540083">
              <w:rPr>
                <w:rFonts w:cstheme="minorHAnsi"/>
                <w:color w:val="185262"/>
              </w:rPr>
              <w:t>Reg</w:t>
            </w:r>
            <w:r w:rsidR="00376EFD">
              <w:rPr>
                <w:rFonts w:cstheme="minorHAnsi"/>
                <w:color w:val="185262"/>
              </w:rPr>
              <w:t xml:space="preserve">arding the recommendation </w:t>
            </w:r>
            <w:r w:rsidR="000D15DC">
              <w:rPr>
                <w:rFonts w:cstheme="minorHAnsi"/>
                <w:color w:val="185262"/>
              </w:rPr>
              <w:t>4</w:t>
            </w:r>
            <w:r w:rsidR="00987357">
              <w:rPr>
                <w:rFonts w:cstheme="minorHAnsi"/>
                <w:color w:val="185262"/>
              </w:rPr>
              <w:t>.5</w:t>
            </w:r>
            <w:r w:rsidR="00376EFD">
              <w:rPr>
                <w:rFonts w:cstheme="minorHAnsi"/>
                <w:color w:val="185262"/>
              </w:rPr>
              <w:t xml:space="preserve"> </w:t>
            </w:r>
            <w:r w:rsidR="00E47E57">
              <w:rPr>
                <w:rFonts w:cstheme="minorHAnsi"/>
                <w:color w:val="185262"/>
              </w:rPr>
              <w:t>–</w:t>
            </w:r>
            <w:r w:rsidR="00376EFD">
              <w:rPr>
                <w:rFonts w:cstheme="minorHAnsi"/>
                <w:color w:val="185262"/>
              </w:rPr>
              <w:t xml:space="preserve"> </w:t>
            </w:r>
            <w:r w:rsidR="00BF45D9">
              <w:rPr>
                <w:rFonts w:cstheme="minorHAnsi"/>
                <w:color w:val="185262"/>
              </w:rPr>
              <w:t>a</w:t>
            </w:r>
            <w:r w:rsidR="00E47E57">
              <w:rPr>
                <w:rFonts w:cstheme="minorHAnsi"/>
                <w:color w:val="185262"/>
              </w:rPr>
              <w:t xml:space="preserve">ccording to </w:t>
            </w:r>
            <w:r w:rsidR="0065627C">
              <w:rPr>
                <w:rFonts w:cstheme="minorHAnsi"/>
                <w:color w:val="185262"/>
              </w:rPr>
              <w:t xml:space="preserve">the </w:t>
            </w:r>
            <w:r w:rsidR="00E47E57">
              <w:rPr>
                <w:rFonts w:cstheme="minorHAnsi"/>
                <w:color w:val="185262"/>
              </w:rPr>
              <w:t>legislatio</w:t>
            </w:r>
            <w:r w:rsidR="0065627C">
              <w:rPr>
                <w:rFonts w:cstheme="minorHAnsi"/>
                <w:color w:val="185262"/>
              </w:rPr>
              <w:t>n</w:t>
            </w:r>
            <w:r w:rsidR="00A742FE">
              <w:rPr>
                <w:rFonts w:cstheme="minorHAnsi"/>
                <w:color w:val="185262"/>
              </w:rPr>
              <w:t xml:space="preserve">, </w:t>
            </w:r>
            <w:r w:rsidR="0065627C">
              <w:rPr>
                <w:rFonts w:cstheme="minorHAnsi"/>
                <w:color w:val="185262"/>
              </w:rPr>
              <w:t>Armenia</w:t>
            </w:r>
            <w:r w:rsidR="00A742FE">
              <w:rPr>
                <w:rFonts w:cstheme="minorHAnsi"/>
                <w:color w:val="185262"/>
              </w:rPr>
              <w:t xml:space="preserve"> applies </w:t>
            </w:r>
            <w:r w:rsidR="00987357">
              <w:rPr>
                <w:rFonts w:cstheme="minorHAnsi"/>
                <w:color w:val="185262"/>
              </w:rPr>
              <w:t>passive voters list</w:t>
            </w:r>
            <w:r w:rsidR="00376EFD">
              <w:rPr>
                <w:rFonts w:cstheme="minorHAnsi"/>
                <w:color w:val="185262"/>
              </w:rPr>
              <w:t xml:space="preserve"> i.e., </w:t>
            </w:r>
            <w:r w:rsidR="00987357">
              <w:rPr>
                <w:rFonts w:cstheme="minorHAnsi"/>
                <w:color w:val="185262"/>
              </w:rPr>
              <w:t xml:space="preserve">citizens of </w:t>
            </w:r>
            <w:r w:rsidR="00376EFD">
              <w:rPr>
                <w:rFonts w:cstheme="minorHAnsi"/>
                <w:color w:val="185262"/>
              </w:rPr>
              <w:t xml:space="preserve">Armenia </w:t>
            </w:r>
            <w:r w:rsidR="00987357">
              <w:rPr>
                <w:rFonts w:cstheme="minorHAnsi"/>
                <w:color w:val="185262"/>
              </w:rPr>
              <w:t>above 18 years old</w:t>
            </w:r>
            <w:r w:rsidR="00011037">
              <w:rPr>
                <w:rFonts w:cstheme="minorHAnsi"/>
                <w:color w:val="185262"/>
              </w:rPr>
              <w:t xml:space="preserve"> are </w:t>
            </w:r>
            <w:r w:rsidR="00987357">
              <w:rPr>
                <w:rFonts w:cstheme="minorHAnsi"/>
                <w:color w:val="185262"/>
              </w:rPr>
              <w:t>eligible voters</w:t>
            </w:r>
            <w:r w:rsidR="00011037">
              <w:rPr>
                <w:rFonts w:cstheme="minorHAnsi"/>
                <w:color w:val="185262"/>
              </w:rPr>
              <w:t xml:space="preserve"> and </w:t>
            </w:r>
            <w:r w:rsidR="00987357">
              <w:rPr>
                <w:rFonts w:cstheme="minorHAnsi"/>
                <w:color w:val="185262"/>
              </w:rPr>
              <w:t>are included in the voters list</w:t>
            </w:r>
            <w:r w:rsidR="007903C2">
              <w:rPr>
                <w:rFonts w:cstheme="minorHAnsi"/>
                <w:color w:val="185262"/>
              </w:rPr>
              <w:t>. To fu</w:t>
            </w:r>
            <w:r w:rsidR="00987357">
              <w:rPr>
                <w:rFonts w:cstheme="minorHAnsi"/>
                <w:color w:val="185262"/>
              </w:rPr>
              <w:t xml:space="preserve">lfil this recommendation, </w:t>
            </w:r>
            <w:r w:rsidR="00376EFD">
              <w:rPr>
                <w:rFonts w:cstheme="minorHAnsi"/>
                <w:color w:val="185262"/>
              </w:rPr>
              <w:t xml:space="preserve">the </w:t>
            </w:r>
            <w:r w:rsidR="00987357">
              <w:rPr>
                <w:rFonts w:cstheme="minorHAnsi"/>
                <w:color w:val="185262"/>
              </w:rPr>
              <w:t>legislative change</w:t>
            </w:r>
            <w:r w:rsidR="00376EFD">
              <w:rPr>
                <w:rFonts w:cstheme="minorHAnsi"/>
                <w:color w:val="185262"/>
              </w:rPr>
              <w:t>s are</w:t>
            </w:r>
            <w:r w:rsidR="00987357">
              <w:rPr>
                <w:rFonts w:cstheme="minorHAnsi"/>
                <w:color w:val="185262"/>
              </w:rPr>
              <w:t xml:space="preserve"> needed</w:t>
            </w:r>
            <w:r w:rsidR="00540083">
              <w:rPr>
                <w:rFonts w:cstheme="minorHAnsi"/>
                <w:color w:val="185262"/>
              </w:rPr>
              <w:t xml:space="preserve">; this process is </w:t>
            </w:r>
            <w:r w:rsidR="00BF45D9">
              <w:rPr>
                <w:rFonts w:cstheme="minorHAnsi"/>
                <w:color w:val="185262"/>
              </w:rPr>
              <w:t>led by</w:t>
            </w:r>
            <w:r w:rsidR="00540083">
              <w:rPr>
                <w:rFonts w:cstheme="minorHAnsi"/>
                <w:color w:val="185262"/>
              </w:rPr>
              <w:t xml:space="preserve"> the </w:t>
            </w:r>
            <w:r w:rsidR="0079061D">
              <w:rPr>
                <w:rFonts w:cstheme="minorHAnsi"/>
                <w:color w:val="185262"/>
              </w:rPr>
              <w:t>National Assembly</w:t>
            </w:r>
            <w:r w:rsidR="00540083">
              <w:rPr>
                <w:rFonts w:cstheme="minorHAnsi"/>
                <w:color w:val="185262"/>
              </w:rPr>
              <w:t>.</w:t>
            </w:r>
            <w:r w:rsidR="0079061D">
              <w:rPr>
                <w:rFonts w:cstheme="minorHAnsi"/>
                <w:color w:val="185262"/>
              </w:rPr>
              <w:t xml:space="preserve"> </w:t>
            </w:r>
          </w:p>
        </w:tc>
      </w:tr>
      <w:tr w:rsidR="009F59F2" w:rsidRPr="008711DF" w14:paraId="073BEB81" w14:textId="77777777" w:rsidTr="0027107B">
        <w:trPr>
          <w:trHeight w:val="135"/>
        </w:trPr>
        <w:tc>
          <w:tcPr>
            <w:tcW w:w="1781" w:type="pct"/>
            <w:vMerge w:val="restart"/>
            <w:shd w:val="clear" w:color="auto" w:fill="EAF6F3"/>
          </w:tcPr>
          <w:p w14:paraId="295BEA31"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lastRenderedPageBreak/>
              <w:t>Key action(s)</w:t>
            </w:r>
          </w:p>
        </w:tc>
        <w:tc>
          <w:tcPr>
            <w:tcW w:w="1176" w:type="pct"/>
            <w:vMerge w:val="restart"/>
            <w:shd w:val="clear" w:color="auto" w:fill="EAF6F3"/>
          </w:tcPr>
          <w:p w14:paraId="46341B23"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054" w:type="pct"/>
            <w:vMerge w:val="restart"/>
            <w:shd w:val="clear" w:color="auto" w:fill="EAF6F3"/>
          </w:tcPr>
          <w:p w14:paraId="5801F68A"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989" w:type="pct"/>
            <w:gridSpan w:val="2"/>
            <w:shd w:val="clear" w:color="auto" w:fill="EAF6F3"/>
          </w:tcPr>
          <w:p w14:paraId="5E5BEA64"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t>Tracking*</w:t>
            </w:r>
          </w:p>
        </w:tc>
      </w:tr>
      <w:tr w:rsidR="009F59F2" w:rsidRPr="008711DF" w14:paraId="0E78D43E" w14:textId="77777777" w:rsidTr="0027107B">
        <w:trPr>
          <w:trHeight w:val="135"/>
        </w:trPr>
        <w:tc>
          <w:tcPr>
            <w:tcW w:w="1781" w:type="pct"/>
            <w:vMerge/>
            <w:shd w:val="clear" w:color="auto" w:fill="F3F3F3"/>
          </w:tcPr>
          <w:p w14:paraId="20C659EE" w14:textId="77777777" w:rsidR="009F59F2" w:rsidRPr="008711DF" w:rsidRDefault="009F59F2" w:rsidP="0027107B">
            <w:pPr>
              <w:tabs>
                <w:tab w:val="left" w:pos="1080"/>
              </w:tabs>
              <w:spacing w:after="0" w:line="240" w:lineRule="auto"/>
              <w:jc w:val="both"/>
              <w:rPr>
                <w:rFonts w:cstheme="minorHAnsi"/>
                <w:color w:val="185262"/>
              </w:rPr>
            </w:pPr>
          </w:p>
        </w:tc>
        <w:tc>
          <w:tcPr>
            <w:tcW w:w="1176" w:type="pct"/>
            <w:vMerge/>
            <w:shd w:val="clear" w:color="auto" w:fill="F3F3F3"/>
          </w:tcPr>
          <w:p w14:paraId="7474BD6C" w14:textId="77777777" w:rsidR="009F59F2" w:rsidRPr="008711DF" w:rsidRDefault="009F59F2" w:rsidP="0027107B">
            <w:pPr>
              <w:tabs>
                <w:tab w:val="left" w:pos="1080"/>
              </w:tabs>
              <w:spacing w:after="0" w:line="240" w:lineRule="auto"/>
              <w:jc w:val="both"/>
              <w:rPr>
                <w:rFonts w:cstheme="minorHAnsi"/>
                <w:b/>
                <w:color w:val="185262"/>
              </w:rPr>
            </w:pPr>
          </w:p>
        </w:tc>
        <w:tc>
          <w:tcPr>
            <w:tcW w:w="1054" w:type="pct"/>
            <w:vMerge/>
            <w:shd w:val="clear" w:color="auto" w:fill="F3F3F3"/>
          </w:tcPr>
          <w:p w14:paraId="3D93E0C1" w14:textId="77777777" w:rsidR="009F59F2" w:rsidRPr="008711DF" w:rsidRDefault="009F59F2" w:rsidP="0027107B">
            <w:pPr>
              <w:tabs>
                <w:tab w:val="left" w:pos="1080"/>
              </w:tabs>
              <w:spacing w:after="0" w:line="240" w:lineRule="auto"/>
              <w:jc w:val="both"/>
              <w:rPr>
                <w:rFonts w:cstheme="minorHAnsi"/>
                <w:b/>
                <w:color w:val="185262"/>
              </w:rPr>
            </w:pPr>
          </w:p>
        </w:tc>
        <w:tc>
          <w:tcPr>
            <w:tcW w:w="506" w:type="pct"/>
          </w:tcPr>
          <w:p w14:paraId="6D222427"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t>Comments</w:t>
            </w:r>
          </w:p>
        </w:tc>
        <w:tc>
          <w:tcPr>
            <w:tcW w:w="483" w:type="pct"/>
          </w:tcPr>
          <w:p w14:paraId="51D1D66A" w14:textId="77777777" w:rsidR="009F59F2" w:rsidRPr="008711DF" w:rsidRDefault="009F59F2" w:rsidP="0027107B">
            <w:pPr>
              <w:tabs>
                <w:tab w:val="left" w:pos="1080"/>
              </w:tabs>
              <w:spacing w:after="0" w:line="240" w:lineRule="auto"/>
              <w:jc w:val="both"/>
              <w:rPr>
                <w:rFonts w:asciiTheme="majorHAnsi" w:eastAsiaTheme="majorEastAsia" w:hAnsiTheme="majorHAnsi" w:cstheme="minorHAnsi"/>
                <w:b/>
                <w:color w:val="185262"/>
                <w:sz w:val="21"/>
                <w:szCs w:val="21"/>
              </w:rPr>
            </w:pPr>
            <w:r w:rsidRPr="008711DF">
              <w:rPr>
                <w:rFonts w:cstheme="minorHAnsi"/>
                <w:b/>
                <w:color w:val="185262"/>
              </w:rPr>
              <w:t>Status</w:t>
            </w:r>
          </w:p>
          <w:p w14:paraId="7A1B9039"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t>(initiated, completed or no due date)</w:t>
            </w:r>
          </w:p>
        </w:tc>
      </w:tr>
      <w:tr w:rsidR="00405FD4" w:rsidRPr="008711DF" w14:paraId="6366DAF4" w14:textId="77777777" w:rsidTr="0027107B">
        <w:tc>
          <w:tcPr>
            <w:tcW w:w="1781" w:type="pct"/>
          </w:tcPr>
          <w:p w14:paraId="4C7319FA" w14:textId="724C35E6" w:rsidR="00405FD4" w:rsidRPr="008711DF" w:rsidRDefault="00405FD4" w:rsidP="00405FD4">
            <w:pPr>
              <w:tabs>
                <w:tab w:val="left" w:pos="1080"/>
              </w:tabs>
              <w:spacing w:after="0" w:line="240" w:lineRule="auto"/>
              <w:jc w:val="both"/>
              <w:rPr>
                <w:rFonts w:cstheme="minorHAnsi"/>
                <w:color w:val="185262"/>
              </w:rPr>
            </w:pPr>
            <w:r>
              <w:rPr>
                <w:rFonts w:cstheme="minorHAnsi"/>
                <w:color w:val="185262"/>
              </w:rPr>
              <w:t xml:space="preserve">4.2 </w:t>
            </w:r>
            <w:r w:rsidR="000766E2">
              <w:rPr>
                <w:rFonts w:cstheme="minorHAnsi"/>
                <w:color w:val="185262"/>
              </w:rPr>
              <w:t xml:space="preserve">Discussed and noted. </w:t>
            </w:r>
            <w:r w:rsidRPr="00680527">
              <w:rPr>
                <w:rFonts w:cstheme="minorHAnsi"/>
                <w:color w:val="185262"/>
              </w:rPr>
              <w:t xml:space="preserve">UNDP will address the recommendation </w:t>
            </w:r>
            <w:r>
              <w:rPr>
                <w:rFonts w:cstheme="minorHAnsi"/>
                <w:color w:val="185262"/>
              </w:rPr>
              <w:t xml:space="preserve">and </w:t>
            </w:r>
            <w:r w:rsidR="003C7937">
              <w:rPr>
                <w:rFonts w:cstheme="minorHAnsi"/>
                <w:color w:val="185262"/>
              </w:rPr>
              <w:t xml:space="preserve">consider </w:t>
            </w:r>
            <w:r>
              <w:rPr>
                <w:rFonts w:cstheme="minorHAnsi"/>
                <w:color w:val="185262"/>
              </w:rPr>
              <w:t>allocat</w:t>
            </w:r>
            <w:r w:rsidR="00174A48">
              <w:rPr>
                <w:rFonts w:cstheme="minorHAnsi"/>
                <w:color w:val="185262"/>
              </w:rPr>
              <w:t>ing</w:t>
            </w:r>
            <w:r>
              <w:rPr>
                <w:rFonts w:cstheme="minorHAnsi"/>
                <w:color w:val="185262"/>
              </w:rPr>
              <w:t xml:space="preserve"> more resources to the issue of accessibility of polling stations </w:t>
            </w:r>
            <w:r w:rsidRPr="00680527">
              <w:rPr>
                <w:rFonts w:cstheme="minorHAnsi"/>
                <w:color w:val="185262"/>
              </w:rPr>
              <w:t xml:space="preserve">in the design of its future electoral </w:t>
            </w:r>
            <w:r w:rsidR="00BF45D9">
              <w:rPr>
                <w:rFonts w:cstheme="minorHAnsi"/>
                <w:color w:val="185262"/>
              </w:rPr>
              <w:t>programme</w:t>
            </w:r>
            <w:r w:rsidRPr="00680527">
              <w:rPr>
                <w:rFonts w:cstheme="minorHAnsi"/>
                <w:color w:val="185262"/>
              </w:rPr>
              <w:t>.</w:t>
            </w:r>
          </w:p>
        </w:tc>
        <w:tc>
          <w:tcPr>
            <w:tcW w:w="1176" w:type="pct"/>
          </w:tcPr>
          <w:p w14:paraId="76B86249" w14:textId="77777777" w:rsidR="00405FD4" w:rsidRPr="008711DF" w:rsidRDefault="00405FD4" w:rsidP="00405FD4">
            <w:pPr>
              <w:tabs>
                <w:tab w:val="left" w:pos="1080"/>
              </w:tabs>
              <w:spacing w:after="0" w:line="240" w:lineRule="auto"/>
              <w:jc w:val="both"/>
              <w:rPr>
                <w:rFonts w:cstheme="minorHAnsi"/>
                <w:color w:val="185262"/>
              </w:rPr>
            </w:pPr>
            <w:r w:rsidRPr="00302D96">
              <w:rPr>
                <w:rFonts w:cstheme="minorHAnsi"/>
                <w:color w:val="185262"/>
              </w:rPr>
              <w:t>30 October 2020</w:t>
            </w:r>
          </w:p>
        </w:tc>
        <w:tc>
          <w:tcPr>
            <w:tcW w:w="1054" w:type="pct"/>
          </w:tcPr>
          <w:p w14:paraId="1A9F7BE3" w14:textId="77777777" w:rsidR="00405FD4" w:rsidRPr="008711DF" w:rsidRDefault="00405FD4" w:rsidP="00405FD4">
            <w:pPr>
              <w:tabs>
                <w:tab w:val="left" w:pos="1080"/>
              </w:tabs>
              <w:spacing w:after="0" w:line="240" w:lineRule="auto"/>
              <w:jc w:val="both"/>
              <w:rPr>
                <w:rFonts w:cstheme="minorHAnsi"/>
                <w:color w:val="185262"/>
              </w:rPr>
            </w:pPr>
            <w:r w:rsidRPr="005A505B">
              <w:rPr>
                <w:rFonts w:cstheme="minorHAnsi"/>
                <w:color w:val="185262"/>
              </w:rPr>
              <w:t>Project team</w:t>
            </w:r>
          </w:p>
        </w:tc>
        <w:tc>
          <w:tcPr>
            <w:tcW w:w="506" w:type="pct"/>
          </w:tcPr>
          <w:p w14:paraId="7360868F" w14:textId="77777777" w:rsidR="00405FD4" w:rsidRPr="008711DF" w:rsidRDefault="00405FD4" w:rsidP="00405FD4">
            <w:pPr>
              <w:tabs>
                <w:tab w:val="left" w:pos="1080"/>
              </w:tabs>
              <w:spacing w:after="0" w:line="240" w:lineRule="auto"/>
              <w:jc w:val="both"/>
              <w:rPr>
                <w:rFonts w:cstheme="minorHAnsi"/>
                <w:color w:val="185262"/>
              </w:rPr>
            </w:pPr>
          </w:p>
        </w:tc>
        <w:tc>
          <w:tcPr>
            <w:tcW w:w="483" w:type="pct"/>
          </w:tcPr>
          <w:p w14:paraId="591706A5" w14:textId="77777777" w:rsidR="00405FD4" w:rsidRPr="008711DF" w:rsidRDefault="00405FD4" w:rsidP="00405FD4">
            <w:pPr>
              <w:tabs>
                <w:tab w:val="left" w:pos="1080"/>
              </w:tabs>
              <w:spacing w:after="0" w:line="240" w:lineRule="auto"/>
              <w:jc w:val="both"/>
              <w:rPr>
                <w:rFonts w:cstheme="minorHAnsi"/>
                <w:color w:val="185262"/>
              </w:rPr>
            </w:pPr>
            <w:r>
              <w:rPr>
                <w:rFonts w:cstheme="minorHAnsi"/>
                <w:color w:val="185262"/>
              </w:rPr>
              <w:t>Complete</w:t>
            </w:r>
          </w:p>
        </w:tc>
      </w:tr>
      <w:tr w:rsidR="00405FD4" w:rsidRPr="008711DF" w14:paraId="680842A3" w14:textId="77777777" w:rsidTr="0027107B">
        <w:tc>
          <w:tcPr>
            <w:tcW w:w="1781" w:type="pct"/>
          </w:tcPr>
          <w:p w14:paraId="7BEABBDF" w14:textId="70BCBF7F" w:rsidR="00405FD4" w:rsidRPr="008711DF" w:rsidRDefault="00405FD4" w:rsidP="00405FD4">
            <w:pPr>
              <w:tabs>
                <w:tab w:val="left" w:pos="1080"/>
              </w:tabs>
              <w:spacing w:after="0" w:line="240" w:lineRule="auto"/>
              <w:jc w:val="both"/>
              <w:rPr>
                <w:rFonts w:cstheme="minorHAnsi"/>
                <w:color w:val="185262"/>
              </w:rPr>
            </w:pPr>
            <w:r>
              <w:rPr>
                <w:rFonts w:cstheme="minorHAnsi"/>
                <w:bCs/>
                <w:color w:val="185262"/>
              </w:rPr>
              <w:t>4</w:t>
            </w:r>
            <w:r w:rsidRPr="009E4AD8">
              <w:rPr>
                <w:rFonts w:cstheme="minorHAnsi"/>
                <w:bCs/>
                <w:color w:val="185262"/>
              </w:rPr>
              <w:t>.3</w:t>
            </w:r>
            <w:r>
              <w:rPr>
                <w:rFonts w:cstheme="minorHAnsi"/>
                <w:bCs/>
                <w:color w:val="185262"/>
              </w:rPr>
              <w:t xml:space="preserve"> </w:t>
            </w:r>
            <w:r w:rsidR="000766E2">
              <w:rPr>
                <w:rFonts w:cstheme="minorHAnsi"/>
                <w:color w:val="185262"/>
              </w:rPr>
              <w:t xml:space="preserve">Discussed and noted. </w:t>
            </w:r>
            <w:r>
              <w:rPr>
                <w:rFonts w:cstheme="minorHAnsi"/>
                <w:bCs/>
                <w:color w:val="185262"/>
              </w:rPr>
              <w:t xml:space="preserve">UNDP will </w:t>
            </w:r>
            <w:r w:rsidR="006B1A40">
              <w:rPr>
                <w:rFonts w:cstheme="minorHAnsi"/>
                <w:bCs/>
                <w:color w:val="185262"/>
              </w:rPr>
              <w:t xml:space="preserve">consider </w:t>
            </w:r>
            <w:r>
              <w:rPr>
                <w:rFonts w:cstheme="minorHAnsi"/>
                <w:bCs/>
                <w:color w:val="185262"/>
              </w:rPr>
              <w:t>us</w:t>
            </w:r>
            <w:r w:rsidR="006B1A40">
              <w:rPr>
                <w:rFonts w:cstheme="minorHAnsi"/>
                <w:bCs/>
                <w:color w:val="185262"/>
              </w:rPr>
              <w:t>ing</w:t>
            </w:r>
            <w:r>
              <w:rPr>
                <w:rFonts w:cstheme="minorHAnsi"/>
                <w:bCs/>
                <w:color w:val="185262"/>
              </w:rPr>
              <w:t xml:space="preserve"> the available data on voter participation as a baseline info for designing the voter education campaigns in </w:t>
            </w:r>
            <w:r w:rsidRPr="00680527">
              <w:rPr>
                <w:rFonts w:cstheme="minorHAnsi"/>
                <w:color w:val="185262"/>
              </w:rPr>
              <w:t>its future electoral pro</w:t>
            </w:r>
            <w:r w:rsidR="006D5FB4">
              <w:rPr>
                <w:rFonts w:cstheme="minorHAnsi"/>
                <w:color w:val="185262"/>
              </w:rPr>
              <w:t>gramme</w:t>
            </w:r>
            <w:r>
              <w:rPr>
                <w:rFonts w:cstheme="minorHAnsi"/>
                <w:bCs/>
                <w:color w:val="185262"/>
              </w:rPr>
              <w:t>.</w:t>
            </w:r>
          </w:p>
        </w:tc>
        <w:tc>
          <w:tcPr>
            <w:tcW w:w="1176" w:type="pct"/>
          </w:tcPr>
          <w:p w14:paraId="7736562A" w14:textId="77777777" w:rsidR="00405FD4" w:rsidRPr="008711DF" w:rsidRDefault="00405FD4" w:rsidP="00405FD4">
            <w:pPr>
              <w:tabs>
                <w:tab w:val="left" w:pos="1080"/>
              </w:tabs>
              <w:spacing w:after="0" w:line="240" w:lineRule="auto"/>
              <w:jc w:val="both"/>
              <w:rPr>
                <w:rFonts w:cstheme="minorHAnsi"/>
                <w:color w:val="185262"/>
              </w:rPr>
            </w:pPr>
            <w:r w:rsidRPr="00302D96">
              <w:rPr>
                <w:rFonts w:cstheme="minorHAnsi"/>
                <w:color w:val="185262"/>
              </w:rPr>
              <w:t>30 October 2020</w:t>
            </w:r>
          </w:p>
        </w:tc>
        <w:tc>
          <w:tcPr>
            <w:tcW w:w="1054" w:type="pct"/>
          </w:tcPr>
          <w:p w14:paraId="7A9488B5" w14:textId="77777777" w:rsidR="00405FD4" w:rsidRPr="008711DF" w:rsidRDefault="00405FD4" w:rsidP="00405FD4">
            <w:pPr>
              <w:tabs>
                <w:tab w:val="left" w:pos="1080"/>
              </w:tabs>
              <w:spacing w:after="0" w:line="240" w:lineRule="auto"/>
              <w:jc w:val="both"/>
              <w:rPr>
                <w:rFonts w:cstheme="minorHAnsi"/>
                <w:color w:val="185262"/>
              </w:rPr>
            </w:pPr>
            <w:r w:rsidRPr="005A505B">
              <w:rPr>
                <w:rFonts w:cstheme="minorHAnsi"/>
                <w:color w:val="185262"/>
              </w:rPr>
              <w:t>Project team</w:t>
            </w:r>
          </w:p>
        </w:tc>
        <w:tc>
          <w:tcPr>
            <w:tcW w:w="506" w:type="pct"/>
          </w:tcPr>
          <w:p w14:paraId="2F4D86E9" w14:textId="77777777" w:rsidR="00405FD4" w:rsidRPr="008711DF" w:rsidRDefault="00405FD4" w:rsidP="00405FD4">
            <w:pPr>
              <w:tabs>
                <w:tab w:val="left" w:pos="1080"/>
              </w:tabs>
              <w:spacing w:after="0" w:line="240" w:lineRule="auto"/>
              <w:jc w:val="both"/>
              <w:rPr>
                <w:rFonts w:cstheme="minorHAnsi"/>
                <w:color w:val="185262"/>
              </w:rPr>
            </w:pPr>
          </w:p>
        </w:tc>
        <w:tc>
          <w:tcPr>
            <w:tcW w:w="483" w:type="pct"/>
          </w:tcPr>
          <w:p w14:paraId="4C3D5590" w14:textId="77777777" w:rsidR="00405FD4" w:rsidRPr="008711DF" w:rsidRDefault="00405FD4" w:rsidP="00405FD4">
            <w:pPr>
              <w:tabs>
                <w:tab w:val="left" w:pos="1080"/>
              </w:tabs>
              <w:spacing w:after="0" w:line="240" w:lineRule="auto"/>
              <w:jc w:val="both"/>
              <w:rPr>
                <w:rFonts w:cstheme="minorHAnsi"/>
                <w:color w:val="185262"/>
              </w:rPr>
            </w:pPr>
            <w:r>
              <w:rPr>
                <w:rFonts w:cstheme="minorHAnsi"/>
                <w:color w:val="185262"/>
              </w:rPr>
              <w:t>Complete</w:t>
            </w:r>
          </w:p>
        </w:tc>
      </w:tr>
      <w:tr w:rsidR="00405FD4" w:rsidRPr="008711DF" w14:paraId="7DAC1942" w14:textId="77777777" w:rsidTr="0027107B">
        <w:tc>
          <w:tcPr>
            <w:tcW w:w="1781" w:type="pct"/>
          </w:tcPr>
          <w:p w14:paraId="1FF15271" w14:textId="77777777" w:rsidR="00405FD4" w:rsidRPr="008711DF" w:rsidRDefault="00405FD4" w:rsidP="00405FD4">
            <w:pPr>
              <w:tabs>
                <w:tab w:val="left" w:pos="1080"/>
              </w:tabs>
              <w:spacing w:after="0" w:line="240" w:lineRule="auto"/>
              <w:jc w:val="both"/>
              <w:rPr>
                <w:rFonts w:cstheme="minorHAnsi"/>
                <w:color w:val="185262"/>
              </w:rPr>
            </w:pPr>
            <w:r>
              <w:rPr>
                <w:rFonts w:cstheme="minorHAnsi"/>
                <w:bCs/>
                <w:color w:val="185262"/>
              </w:rPr>
              <w:t>4</w:t>
            </w:r>
            <w:r w:rsidRPr="009E4AD8">
              <w:rPr>
                <w:rFonts w:cstheme="minorHAnsi"/>
                <w:bCs/>
                <w:color w:val="185262"/>
              </w:rPr>
              <w:t>.4</w:t>
            </w:r>
            <w:r>
              <w:rPr>
                <w:rFonts w:cstheme="minorHAnsi"/>
                <w:bCs/>
                <w:color w:val="185262"/>
              </w:rPr>
              <w:t xml:space="preserve"> </w:t>
            </w:r>
            <w:r w:rsidR="00C96B59">
              <w:rPr>
                <w:rFonts w:cstheme="minorHAnsi"/>
                <w:color w:val="185262"/>
              </w:rPr>
              <w:t xml:space="preserve">Discussed and noted. </w:t>
            </w:r>
            <w:r>
              <w:rPr>
                <w:rFonts w:cstheme="minorHAnsi"/>
                <w:bCs/>
                <w:color w:val="185262"/>
              </w:rPr>
              <w:t>UNDP will explore possibilities of designing more inclusive and holistic voter education campaigns, with specific target of remote areas and women.</w:t>
            </w:r>
          </w:p>
        </w:tc>
        <w:tc>
          <w:tcPr>
            <w:tcW w:w="1176" w:type="pct"/>
          </w:tcPr>
          <w:p w14:paraId="07F469C2" w14:textId="77777777" w:rsidR="00405FD4" w:rsidRPr="00436A64" w:rsidRDefault="00405FD4" w:rsidP="00405FD4">
            <w:pPr>
              <w:tabs>
                <w:tab w:val="left" w:pos="1080"/>
              </w:tabs>
              <w:spacing w:after="0" w:line="240" w:lineRule="auto"/>
              <w:jc w:val="both"/>
              <w:rPr>
                <w:rFonts w:cstheme="minorHAnsi"/>
                <w:color w:val="185262"/>
              </w:rPr>
            </w:pPr>
            <w:r w:rsidRPr="00302D96">
              <w:rPr>
                <w:rFonts w:cstheme="minorHAnsi"/>
                <w:color w:val="185262"/>
              </w:rPr>
              <w:t>30 October 2020</w:t>
            </w:r>
          </w:p>
        </w:tc>
        <w:tc>
          <w:tcPr>
            <w:tcW w:w="1054" w:type="pct"/>
          </w:tcPr>
          <w:p w14:paraId="4689ED80" w14:textId="77777777" w:rsidR="00405FD4" w:rsidRDefault="00405FD4" w:rsidP="00405FD4">
            <w:pPr>
              <w:tabs>
                <w:tab w:val="left" w:pos="1080"/>
              </w:tabs>
              <w:spacing w:after="0" w:line="240" w:lineRule="auto"/>
              <w:jc w:val="both"/>
              <w:rPr>
                <w:rFonts w:cstheme="minorHAnsi"/>
                <w:color w:val="185262"/>
              </w:rPr>
            </w:pPr>
            <w:r w:rsidRPr="005A505B">
              <w:rPr>
                <w:rFonts w:cstheme="minorHAnsi"/>
                <w:color w:val="185262"/>
              </w:rPr>
              <w:t>Project team</w:t>
            </w:r>
          </w:p>
        </w:tc>
        <w:tc>
          <w:tcPr>
            <w:tcW w:w="506" w:type="pct"/>
          </w:tcPr>
          <w:p w14:paraId="34691FEB" w14:textId="77777777" w:rsidR="00405FD4" w:rsidRPr="008711DF" w:rsidRDefault="00405FD4" w:rsidP="00405FD4">
            <w:pPr>
              <w:tabs>
                <w:tab w:val="left" w:pos="1080"/>
              </w:tabs>
              <w:spacing w:after="0" w:line="240" w:lineRule="auto"/>
              <w:jc w:val="both"/>
              <w:rPr>
                <w:rFonts w:cstheme="minorHAnsi"/>
                <w:color w:val="185262"/>
              </w:rPr>
            </w:pPr>
          </w:p>
        </w:tc>
        <w:tc>
          <w:tcPr>
            <w:tcW w:w="483" w:type="pct"/>
          </w:tcPr>
          <w:p w14:paraId="3FFA3ABC" w14:textId="77777777" w:rsidR="00405FD4" w:rsidRDefault="00405FD4" w:rsidP="00405FD4">
            <w:pPr>
              <w:tabs>
                <w:tab w:val="left" w:pos="1080"/>
              </w:tabs>
              <w:spacing w:after="0" w:line="240" w:lineRule="auto"/>
              <w:jc w:val="both"/>
              <w:rPr>
                <w:rFonts w:cstheme="minorHAnsi"/>
                <w:color w:val="185262"/>
              </w:rPr>
            </w:pPr>
            <w:r>
              <w:rPr>
                <w:rFonts w:cstheme="minorHAnsi"/>
                <w:color w:val="185262"/>
              </w:rPr>
              <w:t>Complete</w:t>
            </w:r>
          </w:p>
        </w:tc>
      </w:tr>
      <w:tr w:rsidR="00405FD4" w:rsidRPr="008711DF" w14:paraId="7047CD38" w14:textId="77777777" w:rsidTr="0027107B">
        <w:tc>
          <w:tcPr>
            <w:tcW w:w="1781" w:type="pct"/>
          </w:tcPr>
          <w:p w14:paraId="4E51E672" w14:textId="77777777" w:rsidR="00405FD4" w:rsidRPr="008711DF" w:rsidRDefault="00C96B59" w:rsidP="00405FD4">
            <w:pPr>
              <w:tabs>
                <w:tab w:val="left" w:pos="1080"/>
              </w:tabs>
              <w:spacing w:after="0" w:line="240" w:lineRule="auto"/>
              <w:jc w:val="both"/>
              <w:rPr>
                <w:rFonts w:cstheme="minorHAnsi"/>
                <w:color w:val="185262"/>
              </w:rPr>
            </w:pPr>
            <w:r>
              <w:rPr>
                <w:rFonts w:cstheme="minorHAnsi"/>
                <w:bCs/>
                <w:color w:val="185262"/>
              </w:rPr>
              <w:t>4</w:t>
            </w:r>
            <w:r w:rsidRPr="009E4AD8">
              <w:rPr>
                <w:rFonts w:cstheme="minorHAnsi"/>
                <w:bCs/>
                <w:color w:val="185262"/>
              </w:rPr>
              <w:t xml:space="preserve">.6 </w:t>
            </w:r>
            <w:r>
              <w:rPr>
                <w:rFonts w:cstheme="minorHAnsi"/>
                <w:color w:val="185262"/>
              </w:rPr>
              <w:t>Discussed and noted. I</w:t>
            </w:r>
            <w:r w:rsidR="00405FD4">
              <w:rPr>
                <w:rFonts w:cstheme="minorHAnsi"/>
                <w:bCs/>
                <w:color w:val="185262"/>
              </w:rPr>
              <w:t xml:space="preserve">n its future projects, UNDP will </w:t>
            </w:r>
            <w:r w:rsidR="00362267">
              <w:rPr>
                <w:rFonts w:cstheme="minorHAnsi"/>
                <w:bCs/>
                <w:color w:val="185262"/>
              </w:rPr>
              <w:t xml:space="preserve">study the </w:t>
            </w:r>
            <w:r w:rsidR="0094124E">
              <w:rPr>
                <w:rFonts w:cstheme="minorHAnsi"/>
                <w:bCs/>
                <w:color w:val="185262"/>
              </w:rPr>
              <w:t xml:space="preserve">opportunity of </w:t>
            </w:r>
            <w:r w:rsidR="00405FD4">
              <w:rPr>
                <w:rFonts w:cstheme="minorHAnsi"/>
                <w:bCs/>
                <w:color w:val="185262"/>
              </w:rPr>
              <w:t>design</w:t>
            </w:r>
            <w:r w:rsidR="00362267">
              <w:rPr>
                <w:rFonts w:cstheme="minorHAnsi"/>
                <w:bCs/>
                <w:color w:val="185262"/>
              </w:rPr>
              <w:t>ing</w:t>
            </w:r>
            <w:r w:rsidR="00405FD4">
              <w:rPr>
                <w:rFonts w:cstheme="minorHAnsi"/>
                <w:bCs/>
                <w:color w:val="185262"/>
              </w:rPr>
              <w:t xml:space="preserve"> a similar course</w:t>
            </w:r>
            <w:r w:rsidR="00F45CA3">
              <w:rPr>
                <w:rFonts w:cstheme="minorHAnsi"/>
                <w:bCs/>
                <w:color w:val="185262"/>
              </w:rPr>
              <w:t>.</w:t>
            </w:r>
          </w:p>
        </w:tc>
        <w:tc>
          <w:tcPr>
            <w:tcW w:w="1176" w:type="pct"/>
          </w:tcPr>
          <w:p w14:paraId="37028BCA" w14:textId="77777777" w:rsidR="00405FD4" w:rsidRPr="00436A64" w:rsidRDefault="00405FD4" w:rsidP="00405FD4">
            <w:pPr>
              <w:tabs>
                <w:tab w:val="left" w:pos="1080"/>
              </w:tabs>
              <w:spacing w:after="0" w:line="240" w:lineRule="auto"/>
              <w:jc w:val="both"/>
              <w:rPr>
                <w:rFonts w:cstheme="minorHAnsi"/>
                <w:color w:val="185262"/>
              </w:rPr>
            </w:pPr>
            <w:r w:rsidRPr="00302D96">
              <w:rPr>
                <w:rFonts w:cstheme="minorHAnsi"/>
                <w:color w:val="185262"/>
              </w:rPr>
              <w:t>30 October 2020</w:t>
            </w:r>
          </w:p>
        </w:tc>
        <w:tc>
          <w:tcPr>
            <w:tcW w:w="1054" w:type="pct"/>
          </w:tcPr>
          <w:p w14:paraId="77B99F31" w14:textId="77777777" w:rsidR="00405FD4" w:rsidRDefault="00405FD4" w:rsidP="00405FD4">
            <w:pPr>
              <w:tabs>
                <w:tab w:val="left" w:pos="1080"/>
              </w:tabs>
              <w:spacing w:after="0" w:line="240" w:lineRule="auto"/>
              <w:jc w:val="both"/>
              <w:rPr>
                <w:rFonts w:cstheme="minorHAnsi"/>
                <w:color w:val="185262"/>
              </w:rPr>
            </w:pPr>
            <w:r w:rsidRPr="005A505B">
              <w:rPr>
                <w:rFonts w:cstheme="minorHAnsi"/>
                <w:color w:val="185262"/>
              </w:rPr>
              <w:t>Project team</w:t>
            </w:r>
          </w:p>
        </w:tc>
        <w:tc>
          <w:tcPr>
            <w:tcW w:w="506" w:type="pct"/>
          </w:tcPr>
          <w:p w14:paraId="271D20B3" w14:textId="77777777" w:rsidR="00405FD4" w:rsidRPr="008711DF" w:rsidRDefault="00405FD4" w:rsidP="00405FD4">
            <w:pPr>
              <w:tabs>
                <w:tab w:val="left" w:pos="1080"/>
              </w:tabs>
              <w:spacing w:after="0" w:line="240" w:lineRule="auto"/>
              <w:jc w:val="both"/>
              <w:rPr>
                <w:rFonts w:cstheme="minorHAnsi"/>
                <w:color w:val="185262"/>
              </w:rPr>
            </w:pPr>
          </w:p>
        </w:tc>
        <w:tc>
          <w:tcPr>
            <w:tcW w:w="483" w:type="pct"/>
          </w:tcPr>
          <w:p w14:paraId="237C3D49" w14:textId="77777777" w:rsidR="00405FD4" w:rsidRDefault="00405FD4" w:rsidP="00405FD4">
            <w:pPr>
              <w:tabs>
                <w:tab w:val="left" w:pos="1080"/>
              </w:tabs>
              <w:spacing w:after="0" w:line="240" w:lineRule="auto"/>
              <w:jc w:val="both"/>
              <w:rPr>
                <w:rFonts w:cstheme="minorHAnsi"/>
                <w:color w:val="185262"/>
              </w:rPr>
            </w:pPr>
            <w:r>
              <w:rPr>
                <w:rFonts w:cstheme="minorHAnsi"/>
                <w:color w:val="185262"/>
              </w:rPr>
              <w:t>Complete</w:t>
            </w:r>
          </w:p>
        </w:tc>
      </w:tr>
      <w:tr w:rsidR="009F59F2" w:rsidRPr="004C66FD" w14:paraId="37F633E1" w14:textId="77777777" w:rsidTr="0027107B">
        <w:tc>
          <w:tcPr>
            <w:tcW w:w="5000" w:type="pct"/>
            <w:gridSpan w:val="5"/>
            <w:shd w:val="clear" w:color="auto" w:fill="EAF6F3"/>
          </w:tcPr>
          <w:p w14:paraId="0D98C3ED" w14:textId="77777777" w:rsidR="009F59F2" w:rsidRPr="009F59F2" w:rsidRDefault="009F59F2" w:rsidP="009F59F2">
            <w:pPr>
              <w:pBdr>
                <w:top w:val="nil"/>
                <w:left w:val="nil"/>
                <w:bottom w:val="nil"/>
                <w:right w:val="nil"/>
                <w:between w:val="nil"/>
              </w:pBdr>
              <w:spacing w:line="276" w:lineRule="auto"/>
              <w:jc w:val="both"/>
              <w:rPr>
                <w:rFonts w:cstheme="minorHAnsi"/>
                <w:b/>
                <w:color w:val="185262"/>
              </w:rPr>
            </w:pPr>
            <w:r w:rsidRPr="009C57D5">
              <w:rPr>
                <w:rFonts w:cstheme="minorHAnsi"/>
                <w:b/>
                <w:color w:val="185262"/>
              </w:rPr>
              <w:t xml:space="preserve">Evaluation recommendation </w:t>
            </w:r>
            <w:r w:rsidR="00DA1142">
              <w:rPr>
                <w:rFonts w:cstheme="minorHAnsi"/>
                <w:b/>
                <w:color w:val="185262"/>
              </w:rPr>
              <w:t>5</w:t>
            </w:r>
            <w:r w:rsidRPr="009C57D5">
              <w:rPr>
                <w:rFonts w:cstheme="minorHAnsi"/>
                <w:b/>
                <w:color w:val="185262"/>
              </w:rPr>
              <w:t>. EFFECTIVENES</w:t>
            </w:r>
            <w:r>
              <w:rPr>
                <w:rFonts w:cstheme="minorHAnsi"/>
                <w:b/>
                <w:color w:val="185262"/>
              </w:rPr>
              <w:t xml:space="preserve">S in relation to </w:t>
            </w:r>
            <w:r w:rsidRPr="009C57D5">
              <w:rPr>
                <w:rFonts w:cstheme="minorHAnsi"/>
                <w:b/>
                <w:color w:val="185262"/>
              </w:rPr>
              <w:t xml:space="preserve">Project Objective </w:t>
            </w:r>
            <w:r>
              <w:rPr>
                <w:rFonts w:cstheme="minorHAnsi"/>
                <w:b/>
                <w:color w:val="185262"/>
              </w:rPr>
              <w:t>3</w:t>
            </w:r>
            <w:r w:rsidRPr="009C57D5">
              <w:rPr>
                <w:rFonts w:cstheme="minorHAnsi"/>
                <w:b/>
                <w:color w:val="185262"/>
              </w:rPr>
              <w:t xml:space="preserve"> on </w:t>
            </w:r>
            <w:r w:rsidRPr="009F59F2">
              <w:rPr>
                <w:rFonts w:cstheme="minorHAnsi"/>
                <w:b/>
                <w:bCs/>
                <w:color w:val="185262"/>
                <w:lang w:val="en-US"/>
              </w:rPr>
              <w:t>Capacity of the Central Electoral Commission strengthened</w:t>
            </w:r>
          </w:p>
          <w:p w14:paraId="38A101D6" w14:textId="77777777" w:rsidR="000D15DC" w:rsidRDefault="00D9368D" w:rsidP="000D15DC">
            <w:pPr>
              <w:pStyle w:val="ListParagraph"/>
              <w:numPr>
                <w:ilvl w:val="1"/>
                <w:numId w:val="39"/>
              </w:numPr>
              <w:spacing w:after="0" w:line="240" w:lineRule="auto"/>
              <w:jc w:val="both"/>
              <w:rPr>
                <w:rFonts w:cstheme="minorHAnsi"/>
                <w:bCs/>
                <w:color w:val="185262"/>
              </w:rPr>
            </w:pPr>
            <w:r w:rsidRPr="000D15DC">
              <w:rPr>
                <w:rFonts w:cstheme="minorHAnsi"/>
                <w:bCs/>
                <w:color w:val="185262"/>
              </w:rPr>
              <w:t>Work with the G</w:t>
            </w:r>
            <w:r w:rsidR="009D19E3" w:rsidRPr="000D15DC">
              <w:rPr>
                <w:rFonts w:cstheme="minorHAnsi"/>
                <w:bCs/>
                <w:color w:val="185262"/>
              </w:rPr>
              <w:t xml:space="preserve">overnment of </w:t>
            </w:r>
            <w:r w:rsidRPr="000D15DC">
              <w:rPr>
                <w:rFonts w:cstheme="minorHAnsi"/>
                <w:bCs/>
                <w:color w:val="185262"/>
              </w:rPr>
              <w:t>A</w:t>
            </w:r>
            <w:r w:rsidR="009D19E3" w:rsidRPr="000D15DC">
              <w:rPr>
                <w:rFonts w:cstheme="minorHAnsi"/>
                <w:bCs/>
                <w:color w:val="185262"/>
              </w:rPr>
              <w:t>rmenia</w:t>
            </w:r>
            <w:r w:rsidRPr="000D15DC">
              <w:rPr>
                <w:rFonts w:cstheme="minorHAnsi"/>
                <w:bCs/>
                <w:color w:val="185262"/>
              </w:rPr>
              <w:t xml:space="preserve"> and the National Assembly </w:t>
            </w:r>
            <w:r w:rsidR="009D19E3" w:rsidRPr="000D15DC">
              <w:rPr>
                <w:rFonts w:cstheme="minorHAnsi"/>
                <w:bCs/>
                <w:color w:val="185262"/>
              </w:rPr>
              <w:t xml:space="preserve">of Armenia </w:t>
            </w:r>
            <w:r w:rsidRPr="000D15DC">
              <w:rPr>
                <w:rFonts w:cstheme="minorHAnsi"/>
                <w:bCs/>
                <w:color w:val="185262"/>
              </w:rPr>
              <w:t xml:space="preserve">to promote the finalization of the electoral reform agenda. This will define the country’s vision for the future of the Electoral Management Bodies </w:t>
            </w:r>
            <w:r w:rsidR="006D5FB4">
              <w:rPr>
                <w:rFonts w:cstheme="minorHAnsi"/>
                <w:bCs/>
                <w:color w:val="185262"/>
              </w:rPr>
              <w:t xml:space="preserve">(EMBs) </w:t>
            </w:r>
            <w:r w:rsidRPr="000D15DC">
              <w:rPr>
                <w:rFonts w:cstheme="minorHAnsi"/>
                <w:bCs/>
                <w:color w:val="185262"/>
              </w:rPr>
              <w:t>and lay a foundation for a long term and more strategic approach towards the institutional capacity building.</w:t>
            </w:r>
          </w:p>
          <w:p w14:paraId="13D04510" w14:textId="77777777" w:rsidR="009F59F2" w:rsidRPr="000D15DC" w:rsidRDefault="00D9368D" w:rsidP="000D15DC">
            <w:pPr>
              <w:pStyle w:val="ListParagraph"/>
              <w:numPr>
                <w:ilvl w:val="1"/>
                <w:numId w:val="39"/>
              </w:numPr>
              <w:spacing w:after="0" w:line="240" w:lineRule="auto"/>
              <w:jc w:val="both"/>
              <w:rPr>
                <w:rFonts w:cstheme="minorHAnsi"/>
                <w:bCs/>
                <w:color w:val="185262"/>
              </w:rPr>
            </w:pPr>
            <w:r w:rsidRPr="000D15DC">
              <w:rPr>
                <w:rFonts w:cstheme="minorHAnsi"/>
                <w:bCs/>
                <w:color w:val="185262"/>
              </w:rPr>
              <w:t>Continue supporting the CEC by finalizing the Commission’s Strategic Plan and further developing the educational and e-management platforms.</w:t>
            </w:r>
            <w:r w:rsidRPr="000D15DC">
              <w:rPr>
                <w:color w:val="000000"/>
              </w:rPr>
              <w:t xml:space="preserve">   </w:t>
            </w:r>
          </w:p>
        </w:tc>
      </w:tr>
      <w:tr w:rsidR="009F59F2" w:rsidRPr="00436A64" w14:paraId="382BF913" w14:textId="77777777" w:rsidTr="0027107B">
        <w:tc>
          <w:tcPr>
            <w:tcW w:w="5000" w:type="pct"/>
            <w:gridSpan w:val="5"/>
            <w:shd w:val="clear" w:color="auto" w:fill="EAF6F3"/>
          </w:tcPr>
          <w:p w14:paraId="7B3119FF" w14:textId="5EB36B59" w:rsidR="009F59F2" w:rsidRPr="00436A64" w:rsidRDefault="009F59F2" w:rsidP="0027107B">
            <w:pPr>
              <w:tabs>
                <w:tab w:val="left" w:pos="1080"/>
              </w:tabs>
              <w:spacing w:after="0" w:line="240" w:lineRule="auto"/>
              <w:jc w:val="both"/>
              <w:rPr>
                <w:rFonts w:cstheme="minorHAnsi"/>
                <w:bCs/>
                <w:color w:val="185262"/>
              </w:rPr>
            </w:pPr>
            <w:r w:rsidRPr="008711DF">
              <w:rPr>
                <w:rFonts w:cstheme="minorHAnsi"/>
                <w:b/>
                <w:color w:val="185262"/>
              </w:rPr>
              <w:lastRenderedPageBreak/>
              <w:t>Management response:</w:t>
            </w:r>
            <w:r>
              <w:rPr>
                <w:rFonts w:cstheme="minorHAnsi"/>
                <w:b/>
                <w:color w:val="185262"/>
              </w:rPr>
              <w:t xml:space="preserve"> </w:t>
            </w:r>
            <w:r w:rsidR="00987357" w:rsidRPr="00987357">
              <w:rPr>
                <w:rFonts w:cstheme="minorHAnsi"/>
                <w:bCs/>
                <w:color w:val="185262"/>
              </w:rPr>
              <w:t>Partially accepted.</w:t>
            </w:r>
            <w:r w:rsidR="00987357" w:rsidRPr="00E507FF">
              <w:rPr>
                <w:rFonts w:cstheme="minorHAnsi"/>
                <w:bCs/>
                <w:color w:val="185262"/>
              </w:rPr>
              <w:t xml:space="preserve"> </w:t>
            </w:r>
            <w:r w:rsidR="006D5FB4">
              <w:rPr>
                <w:rFonts w:cstheme="minorHAnsi"/>
                <w:bCs/>
                <w:color w:val="185262"/>
              </w:rPr>
              <w:t xml:space="preserve">Recommendation 5.1 is noted as a reference for the next generation of UNDP electoral support programmes.  </w:t>
            </w:r>
            <w:r w:rsidR="00E507FF" w:rsidRPr="00E507FF">
              <w:rPr>
                <w:rFonts w:cstheme="minorHAnsi"/>
                <w:bCs/>
                <w:color w:val="185262"/>
              </w:rPr>
              <w:t xml:space="preserve">Recommendation </w:t>
            </w:r>
            <w:r w:rsidR="00B12289">
              <w:rPr>
                <w:rFonts w:cstheme="minorHAnsi"/>
                <w:bCs/>
                <w:color w:val="185262"/>
              </w:rPr>
              <w:t>5</w:t>
            </w:r>
            <w:r w:rsidR="00E507FF" w:rsidRPr="00E507FF">
              <w:rPr>
                <w:rFonts w:cstheme="minorHAnsi"/>
                <w:bCs/>
                <w:color w:val="185262"/>
              </w:rPr>
              <w:t xml:space="preserve">.2 has been fully addressed already within the </w:t>
            </w:r>
            <w:r w:rsidR="009D19E3">
              <w:rPr>
                <w:rFonts w:cstheme="minorHAnsi"/>
                <w:bCs/>
                <w:color w:val="185262"/>
              </w:rPr>
              <w:t xml:space="preserve">scope </w:t>
            </w:r>
            <w:r w:rsidR="00A547F1">
              <w:rPr>
                <w:rFonts w:cstheme="minorHAnsi"/>
                <w:bCs/>
                <w:color w:val="185262"/>
              </w:rPr>
              <w:t xml:space="preserve">of </w:t>
            </w:r>
            <w:r w:rsidR="00E507FF">
              <w:rPr>
                <w:rFonts w:cstheme="minorHAnsi"/>
                <w:bCs/>
                <w:color w:val="185262"/>
              </w:rPr>
              <w:t>E</w:t>
            </w:r>
            <w:r w:rsidR="00731D71">
              <w:rPr>
                <w:rFonts w:cstheme="minorHAnsi"/>
                <w:bCs/>
                <w:color w:val="185262"/>
              </w:rPr>
              <w:t>SPA</w:t>
            </w:r>
            <w:r w:rsidR="006D5FB4">
              <w:rPr>
                <w:rFonts w:cstheme="minorHAnsi"/>
                <w:bCs/>
                <w:color w:val="185262"/>
              </w:rPr>
              <w:t xml:space="preserve"> </w:t>
            </w:r>
            <w:r w:rsidR="00E507FF">
              <w:rPr>
                <w:rFonts w:cstheme="minorHAnsi"/>
                <w:bCs/>
                <w:color w:val="185262"/>
              </w:rPr>
              <w:t>2. Please see</w:t>
            </w:r>
            <w:r w:rsidR="00A547F1">
              <w:rPr>
                <w:rFonts w:cstheme="minorHAnsi"/>
                <w:bCs/>
                <w:color w:val="185262"/>
              </w:rPr>
              <w:t xml:space="preserve"> </w:t>
            </w:r>
            <w:r w:rsidR="00731D71">
              <w:rPr>
                <w:rFonts w:cstheme="minorHAnsi"/>
                <w:bCs/>
                <w:color w:val="185262"/>
              </w:rPr>
              <w:t xml:space="preserve">the </w:t>
            </w:r>
            <w:r w:rsidR="00A547F1">
              <w:rPr>
                <w:rFonts w:cstheme="minorHAnsi"/>
                <w:bCs/>
                <w:color w:val="185262"/>
              </w:rPr>
              <w:t xml:space="preserve">action </w:t>
            </w:r>
            <w:r w:rsidR="00E507FF">
              <w:rPr>
                <w:rFonts w:cstheme="minorHAnsi"/>
                <w:bCs/>
                <w:color w:val="185262"/>
              </w:rPr>
              <w:t>below.</w:t>
            </w:r>
          </w:p>
          <w:p w14:paraId="25BF54FB" w14:textId="77777777" w:rsidR="009F59F2" w:rsidRPr="00436A64" w:rsidRDefault="009F59F2" w:rsidP="00987357">
            <w:pPr>
              <w:tabs>
                <w:tab w:val="left" w:pos="1080"/>
              </w:tabs>
              <w:spacing w:after="0" w:line="240" w:lineRule="auto"/>
              <w:jc w:val="both"/>
              <w:rPr>
                <w:rFonts w:cstheme="minorHAnsi"/>
                <w:color w:val="185262"/>
              </w:rPr>
            </w:pPr>
          </w:p>
        </w:tc>
      </w:tr>
      <w:tr w:rsidR="009F59F2" w:rsidRPr="008711DF" w14:paraId="741CF5FD" w14:textId="77777777" w:rsidTr="0027107B">
        <w:trPr>
          <w:trHeight w:val="135"/>
        </w:trPr>
        <w:tc>
          <w:tcPr>
            <w:tcW w:w="1781" w:type="pct"/>
            <w:vMerge w:val="restart"/>
            <w:shd w:val="clear" w:color="auto" w:fill="EAF6F3"/>
          </w:tcPr>
          <w:p w14:paraId="09FF2A38"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t>Key action(s)</w:t>
            </w:r>
          </w:p>
        </w:tc>
        <w:tc>
          <w:tcPr>
            <w:tcW w:w="1176" w:type="pct"/>
            <w:vMerge w:val="restart"/>
            <w:shd w:val="clear" w:color="auto" w:fill="EAF6F3"/>
          </w:tcPr>
          <w:p w14:paraId="1D03516E"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054" w:type="pct"/>
            <w:vMerge w:val="restart"/>
            <w:shd w:val="clear" w:color="auto" w:fill="EAF6F3"/>
          </w:tcPr>
          <w:p w14:paraId="2357AD73"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989" w:type="pct"/>
            <w:gridSpan w:val="2"/>
            <w:shd w:val="clear" w:color="auto" w:fill="EAF6F3"/>
          </w:tcPr>
          <w:p w14:paraId="75A5C900"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t>Tracking*</w:t>
            </w:r>
          </w:p>
        </w:tc>
      </w:tr>
      <w:tr w:rsidR="009F59F2" w:rsidRPr="008711DF" w14:paraId="05E4CA31" w14:textId="77777777" w:rsidTr="0027107B">
        <w:trPr>
          <w:trHeight w:val="135"/>
        </w:trPr>
        <w:tc>
          <w:tcPr>
            <w:tcW w:w="1781" w:type="pct"/>
            <w:vMerge/>
            <w:shd w:val="clear" w:color="auto" w:fill="F3F3F3"/>
          </w:tcPr>
          <w:p w14:paraId="1615E7D2" w14:textId="77777777" w:rsidR="009F59F2" w:rsidRPr="008711DF" w:rsidRDefault="009F59F2" w:rsidP="0027107B">
            <w:pPr>
              <w:tabs>
                <w:tab w:val="left" w:pos="1080"/>
              </w:tabs>
              <w:spacing w:after="0" w:line="240" w:lineRule="auto"/>
              <w:jc w:val="both"/>
              <w:rPr>
                <w:rFonts w:cstheme="minorHAnsi"/>
                <w:color w:val="185262"/>
              </w:rPr>
            </w:pPr>
          </w:p>
        </w:tc>
        <w:tc>
          <w:tcPr>
            <w:tcW w:w="1176" w:type="pct"/>
            <w:vMerge/>
            <w:shd w:val="clear" w:color="auto" w:fill="F3F3F3"/>
          </w:tcPr>
          <w:p w14:paraId="616B0EF8" w14:textId="77777777" w:rsidR="009F59F2" w:rsidRPr="008711DF" w:rsidRDefault="009F59F2" w:rsidP="0027107B">
            <w:pPr>
              <w:tabs>
                <w:tab w:val="left" w:pos="1080"/>
              </w:tabs>
              <w:spacing w:after="0" w:line="240" w:lineRule="auto"/>
              <w:jc w:val="both"/>
              <w:rPr>
                <w:rFonts w:cstheme="minorHAnsi"/>
                <w:b/>
                <w:color w:val="185262"/>
              </w:rPr>
            </w:pPr>
          </w:p>
        </w:tc>
        <w:tc>
          <w:tcPr>
            <w:tcW w:w="1054" w:type="pct"/>
            <w:vMerge/>
            <w:shd w:val="clear" w:color="auto" w:fill="F3F3F3"/>
          </w:tcPr>
          <w:p w14:paraId="632A3C53" w14:textId="77777777" w:rsidR="009F59F2" w:rsidRPr="008711DF" w:rsidRDefault="009F59F2" w:rsidP="0027107B">
            <w:pPr>
              <w:tabs>
                <w:tab w:val="left" w:pos="1080"/>
              </w:tabs>
              <w:spacing w:after="0" w:line="240" w:lineRule="auto"/>
              <w:jc w:val="both"/>
              <w:rPr>
                <w:rFonts w:cstheme="minorHAnsi"/>
                <w:b/>
                <w:color w:val="185262"/>
              </w:rPr>
            </w:pPr>
          </w:p>
        </w:tc>
        <w:tc>
          <w:tcPr>
            <w:tcW w:w="506" w:type="pct"/>
          </w:tcPr>
          <w:p w14:paraId="66591C22"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t>Comments</w:t>
            </w:r>
          </w:p>
        </w:tc>
        <w:tc>
          <w:tcPr>
            <w:tcW w:w="483" w:type="pct"/>
          </w:tcPr>
          <w:p w14:paraId="03993858" w14:textId="77777777" w:rsidR="009F59F2" w:rsidRPr="008711DF" w:rsidRDefault="009F59F2" w:rsidP="0027107B">
            <w:pPr>
              <w:tabs>
                <w:tab w:val="left" w:pos="1080"/>
              </w:tabs>
              <w:spacing w:after="0" w:line="240" w:lineRule="auto"/>
              <w:jc w:val="both"/>
              <w:rPr>
                <w:rFonts w:asciiTheme="majorHAnsi" w:eastAsiaTheme="majorEastAsia" w:hAnsiTheme="majorHAnsi" w:cstheme="minorHAnsi"/>
                <w:b/>
                <w:color w:val="185262"/>
                <w:sz w:val="21"/>
                <w:szCs w:val="21"/>
              </w:rPr>
            </w:pPr>
            <w:r w:rsidRPr="008711DF">
              <w:rPr>
                <w:rFonts w:cstheme="minorHAnsi"/>
                <w:b/>
                <w:color w:val="185262"/>
              </w:rPr>
              <w:t>Status</w:t>
            </w:r>
          </w:p>
          <w:p w14:paraId="28134257" w14:textId="77777777" w:rsidR="009F59F2" w:rsidRPr="008711DF" w:rsidRDefault="009F59F2" w:rsidP="0027107B">
            <w:pPr>
              <w:tabs>
                <w:tab w:val="left" w:pos="1080"/>
              </w:tabs>
              <w:spacing w:after="0" w:line="240" w:lineRule="auto"/>
              <w:jc w:val="both"/>
              <w:rPr>
                <w:rFonts w:cstheme="minorHAnsi"/>
                <w:b/>
                <w:color w:val="185262"/>
              </w:rPr>
            </w:pPr>
            <w:r w:rsidRPr="008711DF">
              <w:rPr>
                <w:rFonts w:cstheme="minorHAnsi"/>
                <w:b/>
                <w:color w:val="185262"/>
              </w:rPr>
              <w:t>(initiated, completed or no due date)</w:t>
            </w:r>
          </w:p>
        </w:tc>
      </w:tr>
      <w:tr w:rsidR="00EA37E3" w:rsidRPr="008711DF" w14:paraId="104066DB" w14:textId="77777777" w:rsidTr="0027107B">
        <w:tc>
          <w:tcPr>
            <w:tcW w:w="1781" w:type="pct"/>
          </w:tcPr>
          <w:p w14:paraId="1652CC65" w14:textId="77777777" w:rsidR="00EA37E3" w:rsidRDefault="00EA37E3" w:rsidP="00EA37E3">
            <w:pPr>
              <w:tabs>
                <w:tab w:val="left" w:pos="1080"/>
              </w:tabs>
              <w:spacing w:after="0" w:line="240" w:lineRule="auto"/>
              <w:jc w:val="both"/>
              <w:rPr>
                <w:rFonts w:cstheme="minorHAnsi"/>
                <w:color w:val="185262"/>
              </w:rPr>
            </w:pPr>
            <w:r w:rsidRPr="003933B3">
              <w:rPr>
                <w:rFonts w:cstheme="minorHAnsi"/>
                <w:bCs/>
                <w:color w:val="185262"/>
              </w:rPr>
              <w:t xml:space="preserve">5.2  </w:t>
            </w:r>
            <w:r>
              <w:rPr>
                <w:color w:val="000000"/>
              </w:rPr>
              <w:t xml:space="preserve"> </w:t>
            </w:r>
            <w:r w:rsidRPr="00C402C2">
              <w:rPr>
                <w:rFonts w:cstheme="minorHAnsi"/>
                <w:bCs/>
                <w:color w:val="185262"/>
              </w:rPr>
              <w:t xml:space="preserve">ESPA2 initiated the feasibility study </w:t>
            </w:r>
            <w:r w:rsidR="00C97E1E">
              <w:rPr>
                <w:rFonts w:cstheme="minorHAnsi"/>
                <w:bCs/>
                <w:color w:val="185262"/>
              </w:rPr>
              <w:t xml:space="preserve">as </w:t>
            </w:r>
            <w:r w:rsidRPr="00C402C2">
              <w:rPr>
                <w:rFonts w:cstheme="minorHAnsi"/>
                <w:bCs/>
                <w:color w:val="185262"/>
              </w:rPr>
              <w:t>described in action 2.1</w:t>
            </w:r>
            <w:r w:rsidR="00C97E1E">
              <w:rPr>
                <w:rFonts w:cstheme="minorHAnsi"/>
                <w:bCs/>
                <w:color w:val="185262"/>
              </w:rPr>
              <w:t xml:space="preserve"> above. </w:t>
            </w:r>
            <w:r w:rsidRPr="00C402C2">
              <w:rPr>
                <w:rFonts w:cstheme="minorHAnsi"/>
                <w:bCs/>
                <w:color w:val="185262"/>
              </w:rPr>
              <w:t>E-learning, VAD database, PEC member registration and certification system have been initiated by ESPA and are being further developed by ESPA2 as a part of improved CEC electronic election management system (EMR).</w:t>
            </w:r>
          </w:p>
        </w:tc>
        <w:tc>
          <w:tcPr>
            <w:tcW w:w="1176" w:type="pct"/>
          </w:tcPr>
          <w:p w14:paraId="0177F0F9" w14:textId="77777777" w:rsidR="00EA37E3" w:rsidRPr="008711DF" w:rsidRDefault="00EA37E3" w:rsidP="00EA37E3">
            <w:pPr>
              <w:tabs>
                <w:tab w:val="left" w:pos="1080"/>
              </w:tabs>
              <w:spacing w:after="0" w:line="240" w:lineRule="auto"/>
              <w:jc w:val="both"/>
              <w:rPr>
                <w:rFonts w:cstheme="minorHAnsi"/>
                <w:color w:val="185262"/>
              </w:rPr>
            </w:pPr>
            <w:r>
              <w:rPr>
                <w:rFonts w:cstheme="minorHAnsi"/>
                <w:color w:val="185262"/>
              </w:rPr>
              <w:t>June 2021</w:t>
            </w:r>
          </w:p>
        </w:tc>
        <w:tc>
          <w:tcPr>
            <w:tcW w:w="1054" w:type="pct"/>
          </w:tcPr>
          <w:p w14:paraId="71642F5C" w14:textId="77777777" w:rsidR="00EA37E3" w:rsidRPr="008711DF" w:rsidRDefault="00EA37E3" w:rsidP="00EA37E3">
            <w:pPr>
              <w:tabs>
                <w:tab w:val="left" w:pos="1080"/>
              </w:tabs>
              <w:spacing w:after="0" w:line="240" w:lineRule="auto"/>
              <w:jc w:val="both"/>
              <w:rPr>
                <w:rFonts w:cstheme="minorHAnsi"/>
                <w:color w:val="185262"/>
              </w:rPr>
            </w:pPr>
            <w:r>
              <w:rPr>
                <w:rFonts w:cstheme="minorHAnsi"/>
                <w:color w:val="185262"/>
              </w:rPr>
              <w:t>Project team</w:t>
            </w:r>
          </w:p>
        </w:tc>
        <w:tc>
          <w:tcPr>
            <w:tcW w:w="506" w:type="pct"/>
          </w:tcPr>
          <w:p w14:paraId="2B79D163" w14:textId="77777777" w:rsidR="00EA37E3" w:rsidRPr="008711DF" w:rsidRDefault="00EA37E3" w:rsidP="00EA37E3">
            <w:pPr>
              <w:tabs>
                <w:tab w:val="left" w:pos="1080"/>
              </w:tabs>
              <w:spacing w:after="0" w:line="240" w:lineRule="auto"/>
              <w:jc w:val="both"/>
              <w:rPr>
                <w:rFonts w:cstheme="minorHAnsi"/>
                <w:color w:val="185262"/>
              </w:rPr>
            </w:pPr>
          </w:p>
        </w:tc>
        <w:tc>
          <w:tcPr>
            <w:tcW w:w="483" w:type="pct"/>
          </w:tcPr>
          <w:p w14:paraId="7B6296CE" w14:textId="77777777" w:rsidR="00EA37E3" w:rsidRPr="008711DF" w:rsidRDefault="00EA37E3" w:rsidP="00EA37E3">
            <w:pPr>
              <w:tabs>
                <w:tab w:val="left" w:pos="1080"/>
              </w:tabs>
              <w:spacing w:after="0" w:line="240" w:lineRule="auto"/>
              <w:jc w:val="both"/>
              <w:rPr>
                <w:rFonts w:cstheme="minorHAnsi"/>
                <w:color w:val="185262"/>
              </w:rPr>
            </w:pPr>
            <w:r>
              <w:rPr>
                <w:rFonts w:cstheme="minorHAnsi"/>
                <w:color w:val="185262"/>
              </w:rPr>
              <w:t>Initiated</w:t>
            </w:r>
          </w:p>
        </w:tc>
      </w:tr>
      <w:tr w:rsidR="00E507FF" w:rsidRPr="008711DF" w14:paraId="23F6BB24" w14:textId="77777777" w:rsidTr="005F2CF8">
        <w:tc>
          <w:tcPr>
            <w:tcW w:w="5000" w:type="pct"/>
            <w:gridSpan w:val="5"/>
            <w:shd w:val="clear" w:color="auto" w:fill="EAF6F3"/>
          </w:tcPr>
          <w:p w14:paraId="11B6A984" w14:textId="77777777" w:rsidR="00E507FF" w:rsidRPr="00CB57B1" w:rsidRDefault="00E507FF" w:rsidP="005F2CF8">
            <w:pPr>
              <w:pBdr>
                <w:top w:val="nil"/>
                <w:left w:val="nil"/>
                <w:bottom w:val="nil"/>
                <w:right w:val="nil"/>
                <w:between w:val="nil"/>
              </w:pBdr>
              <w:spacing w:after="0" w:line="276" w:lineRule="auto"/>
              <w:jc w:val="both"/>
              <w:rPr>
                <w:color w:val="000000"/>
              </w:rPr>
            </w:pPr>
            <w:r w:rsidRPr="008711DF">
              <w:rPr>
                <w:rFonts w:cstheme="minorHAnsi"/>
                <w:b/>
                <w:color w:val="185262"/>
              </w:rPr>
              <w:t xml:space="preserve">Evaluation recommendation </w:t>
            </w:r>
            <w:r>
              <w:rPr>
                <w:rFonts w:cstheme="minorHAnsi"/>
                <w:b/>
                <w:color w:val="185262"/>
              </w:rPr>
              <w:t>6</w:t>
            </w:r>
            <w:r w:rsidRPr="008711DF">
              <w:rPr>
                <w:rFonts w:cstheme="minorHAnsi"/>
                <w:b/>
                <w:color w:val="185262"/>
              </w:rPr>
              <w:t>.</w:t>
            </w:r>
            <w:r>
              <w:rPr>
                <w:rFonts w:cstheme="minorHAnsi"/>
                <w:b/>
                <w:color w:val="185262"/>
              </w:rPr>
              <w:t xml:space="preserve"> </w:t>
            </w:r>
            <w:r w:rsidR="00F66FE4">
              <w:rPr>
                <w:rFonts w:cstheme="minorHAnsi"/>
                <w:b/>
                <w:color w:val="185262"/>
              </w:rPr>
              <w:t>SUSTAINABILITY</w:t>
            </w:r>
            <w:r>
              <w:rPr>
                <w:rFonts w:cstheme="minorHAnsi"/>
                <w:b/>
                <w:color w:val="185262"/>
              </w:rPr>
              <w:t xml:space="preserve">: </w:t>
            </w:r>
          </w:p>
          <w:p w14:paraId="2791EB25" w14:textId="77777777" w:rsidR="00E507FF" w:rsidRPr="00DD4121" w:rsidRDefault="002C2197" w:rsidP="00DD4121">
            <w:pPr>
              <w:spacing w:line="256" w:lineRule="auto"/>
              <w:jc w:val="both"/>
              <w:rPr>
                <w:b/>
              </w:rPr>
            </w:pPr>
            <w:r w:rsidRPr="002C2197">
              <w:rPr>
                <w:rFonts w:cstheme="minorHAnsi"/>
                <w:bCs/>
                <w:color w:val="185262"/>
              </w:rPr>
              <w:t>M</w:t>
            </w:r>
            <w:r w:rsidR="00DD4121" w:rsidRPr="002C2197">
              <w:rPr>
                <w:rFonts w:cstheme="minorHAnsi"/>
                <w:bCs/>
                <w:color w:val="185262"/>
              </w:rPr>
              <w:t xml:space="preserve">ake sure commitments and procedures are documented and integrated into the operational regulations of </w:t>
            </w:r>
            <w:r w:rsidR="006D5FB4">
              <w:rPr>
                <w:rFonts w:cstheme="minorHAnsi"/>
                <w:bCs/>
                <w:color w:val="185262"/>
              </w:rPr>
              <w:t xml:space="preserve">the </w:t>
            </w:r>
            <w:r w:rsidR="00DD4121" w:rsidRPr="002C2197">
              <w:rPr>
                <w:rFonts w:cstheme="minorHAnsi"/>
                <w:bCs/>
                <w:color w:val="185262"/>
              </w:rPr>
              <w:t>state bodies</w:t>
            </w:r>
            <w:r w:rsidR="00DD4121">
              <w:t>.</w:t>
            </w:r>
          </w:p>
        </w:tc>
      </w:tr>
      <w:tr w:rsidR="00E507FF" w:rsidRPr="008711DF" w14:paraId="68511844" w14:textId="77777777" w:rsidTr="005F2CF8">
        <w:tc>
          <w:tcPr>
            <w:tcW w:w="5000" w:type="pct"/>
            <w:gridSpan w:val="5"/>
            <w:shd w:val="clear" w:color="auto" w:fill="EAF6F3"/>
          </w:tcPr>
          <w:p w14:paraId="4B761F9B" w14:textId="77777777" w:rsidR="00E507FF" w:rsidRPr="00436A64" w:rsidRDefault="00E507FF" w:rsidP="005F2CF8">
            <w:pPr>
              <w:tabs>
                <w:tab w:val="left" w:pos="1080"/>
              </w:tabs>
              <w:spacing w:after="0" w:line="240" w:lineRule="auto"/>
              <w:jc w:val="both"/>
              <w:rPr>
                <w:rFonts w:cstheme="minorHAnsi"/>
                <w:bCs/>
                <w:color w:val="185262"/>
              </w:rPr>
            </w:pPr>
            <w:r w:rsidRPr="008711DF">
              <w:rPr>
                <w:rFonts w:cstheme="minorHAnsi"/>
                <w:b/>
                <w:color w:val="185262"/>
              </w:rPr>
              <w:t>Management response:</w:t>
            </w:r>
            <w:r>
              <w:rPr>
                <w:rFonts w:cstheme="minorHAnsi"/>
                <w:b/>
                <w:color w:val="185262"/>
              </w:rPr>
              <w:t xml:space="preserve"> </w:t>
            </w:r>
            <w:r w:rsidR="00E02F9E">
              <w:rPr>
                <w:rFonts w:cstheme="minorHAnsi"/>
                <w:bCs/>
                <w:color w:val="185262"/>
              </w:rPr>
              <w:t xml:space="preserve"> Recommendation is partially accepted. Many procedures </w:t>
            </w:r>
            <w:r w:rsidR="00007C3A">
              <w:rPr>
                <w:rFonts w:cstheme="minorHAnsi"/>
                <w:bCs/>
                <w:color w:val="185262"/>
              </w:rPr>
              <w:t>have been already</w:t>
            </w:r>
            <w:r w:rsidR="00E02F9E">
              <w:rPr>
                <w:rFonts w:cstheme="minorHAnsi"/>
                <w:bCs/>
                <w:color w:val="185262"/>
              </w:rPr>
              <w:t xml:space="preserve"> </w:t>
            </w:r>
            <w:r w:rsidR="003600A9">
              <w:rPr>
                <w:rFonts w:cstheme="minorHAnsi"/>
                <w:bCs/>
                <w:color w:val="185262"/>
              </w:rPr>
              <w:t xml:space="preserve">incorporated in </w:t>
            </w:r>
            <w:r w:rsidR="002059D4">
              <w:rPr>
                <w:rFonts w:cstheme="minorHAnsi"/>
                <w:bCs/>
                <w:color w:val="185262"/>
              </w:rPr>
              <w:t xml:space="preserve">the </w:t>
            </w:r>
            <w:r w:rsidR="00E02F9E">
              <w:rPr>
                <w:rFonts w:cstheme="minorHAnsi"/>
                <w:bCs/>
                <w:color w:val="185262"/>
              </w:rPr>
              <w:t>CEC decisions.</w:t>
            </w:r>
          </w:p>
          <w:p w14:paraId="0DA75ABF" w14:textId="77777777" w:rsidR="00E507FF" w:rsidRPr="00436A64" w:rsidRDefault="00E507FF" w:rsidP="005F2CF8">
            <w:pPr>
              <w:tabs>
                <w:tab w:val="left" w:pos="1080"/>
              </w:tabs>
              <w:spacing w:after="0" w:line="240" w:lineRule="auto"/>
              <w:jc w:val="both"/>
              <w:rPr>
                <w:rFonts w:cstheme="minorHAnsi"/>
                <w:color w:val="185262"/>
              </w:rPr>
            </w:pPr>
          </w:p>
        </w:tc>
      </w:tr>
      <w:tr w:rsidR="00E507FF" w:rsidRPr="008711DF" w14:paraId="1A9B7260" w14:textId="77777777" w:rsidTr="005F2CF8">
        <w:trPr>
          <w:trHeight w:val="135"/>
        </w:trPr>
        <w:tc>
          <w:tcPr>
            <w:tcW w:w="1781" w:type="pct"/>
            <w:vMerge w:val="restart"/>
            <w:shd w:val="clear" w:color="auto" w:fill="EAF6F3"/>
          </w:tcPr>
          <w:p w14:paraId="0A1CE277" w14:textId="77777777" w:rsidR="00E507FF" w:rsidRPr="008711DF" w:rsidRDefault="00E507FF" w:rsidP="005F2CF8">
            <w:pPr>
              <w:tabs>
                <w:tab w:val="left" w:pos="1080"/>
              </w:tabs>
              <w:spacing w:after="0" w:line="240" w:lineRule="auto"/>
              <w:jc w:val="both"/>
              <w:rPr>
                <w:rFonts w:cstheme="minorHAnsi"/>
                <w:b/>
                <w:color w:val="185262"/>
              </w:rPr>
            </w:pPr>
            <w:r w:rsidRPr="008711DF">
              <w:rPr>
                <w:rFonts w:cstheme="minorHAnsi"/>
                <w:b/>
                <w:color w:val="185262"/>
              </w:rPr>
              <w:t>Key action(s)</w:t>
            </w:r>
          </w:p>
        </w:tc>
        <w:tc>
          <w:tcPr>
            <w:tcW w:w="1176" w:type="pct"/>
            <w:vMerge w:val="restart"/>
            <w:shd w:val="clear" w:color="auto" w:fill="EAF6F3"/>
          </w:tcPr>
          <w:p w14:paraId="1128A914" w14:textId="77777777" w:rsidR="00E507FF" w:rsidRPr="008711DF" w:rsidRDefault="00E507FF" w:rsidP="005F2CF8">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054" w:type="pct"/>
            <w:vMerge w:val="restart"/>
            <w:shd w:val="clear" w:color="auto" w:fill="EAF6F3"/>
          </w:tcPr>
          <w:p w14:paraId="5FEB206E" w14:textId="77777777" w:rsidR="00E507FF" w:rsidRPr="008711DF" w:rsidRDefault="00E507FF" w:rsidP="005F2CF8">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989" w:type="pct"/>
            <w:gridSpan w:val="2"/>
            <w:shd w:val="clear" w:color="auto" w:fill="EAF6F3"/>
          </w:tcPr>
          <w:p w14:paraId="5A4816B1" w14:textId="77777777" w:rsidR="00E507FF" w:rsidRPr="008711DF" w:rsidRDefault="00E507FF" w:rsidP="005F2CF8">
            <w:pPr>
              <w:tabs>
                <w:tab w:val="left" w:pos="1080"/>
              </w:tabs>
              <w:spacing w:after="0" w:line="240" w:lineRule="auto"/>
              <w:jc w:val="both"/>
              <w:rPr>
                <w:rFonts w:cstheme="minorHAnsi"/>
                <w:b/>
                <w:color w:val="185262"/>
              </w:rPr>
            </w:pPr>
            <w:r w:rsidRPr="008711DF">
              <w:rPr>
                <w:rFonts w:cstheme="minorHAnsi"/>
                <w:b/>
                <w:color w:val="185262"/>
              </w:rPr>
              <w:t>Tracking*</w:t>
            </w:r>
          </w:p>
        </w:tc>
      </w:tr>
      <w:tr w:rsidR="00E507FF" w:rsidRPr="008711DF" w14:paraId="698ACD7C" w14:textId="77777777" w:rsidTr="005F2CF8">
        <w:trPr>
          <w:trHeight w:val="135"/>
        </w:trPr>
        <w:tc>
          <w:tcPr>
            <w:tcW w:w="1781" w:type="pct"/>
            <w:vMerge/>
            <w:shd w:val="clear" w:color="auto" w:fill="F3F3F3"/>
          </w:tcPr>
          <w:p w14:paraId="587F79D5" w14:textId="77777777" w:rsidR="00E507FF" w:rsidRPr="008711DF" w:rsidRDefault="00E507FF" w:rsidP="005F2CF8">
            <w:pPr>
              <w:tabs>
                <w:tab w:val="left" w:pos="1080"/>
              </w:tabs>
              <w:spacing w:after="0" w:line="240" w:lineRule="auto"/>
              <w:jc w:val="both"/>
              <w:rPr>
                <w:rFonts w:cstheme="minorHAnsi"/>
                <w:color w:val="185262"/>
              </w:rPr>
            </w:pPr>
          </w:p>
        </w:tc>
        <w:tc>
          <w:tcPr>
            <w:tcW w:w="1176" w:type="pct"/>
            <w:vMerge/>
            <w:shd w:val="clear" w:color="auto" w:fill="F3F3F3"/>
          </w:tcPr>
          <w:p w14:paraId="2D71B99F" w14:textId="77777777" w:rsidR="00E507FF" w:rsidRPr="008711DF" w:rsidRDefault="00E507FF" w:rsidP="005F2CF8">
            <w:pPr>
              <w:tabs>
                <w:tab w:val="left" w:pos="1080"/>
              </w:tabs>
              <w:spacing w:after="0" w:line="240" w:lineRule="auto"/>
              <w:jc w:val="both"/>
              <w:rPr>
                <w:rFonts w:cstheme="minorHAnsi"/>
                <w:b/>
                <w:color w:val="185262"/>
              </w:rPr>
            </w:pPr>
          </w:p>
        </w:tc>
        <w:tc>
          <w:tcPr>
            <w:tcW w:w="1054" w:type="pct"/>
            <w:vMerge/>
            <w:shd w:val="clear" w:color="auto" w:fill="F3F3F3"/>
          </w:tcPr>
          <w:p w14:paraId="7EEAC90C" w14:textId="77777777" w:rsidR="00E507FF" w:rsidRPr="008711DF" w:rsidRDefault="00E507FF" w:rsidP="005F2CF8">
            <w:pPr>
              <w:tabs>
                <w:tab w:val="left" w:pos="1080"/>
              </w:tabs>
              <w:spacing w:after="0" w:line="240" w:lineRule="auto"/>
              <w:jc w:val="both"/>
              <w:rPr>
                <w:rFonts w:cstheme="minorHAnsi"/>
                <w:b/>
                <w:color w:val="185262"/>
              </w:rPr>
            </w:pPr>
          </w:p>
        </w:tc>
        <w:tc>
          <w:tcPr>
            <w:tcW w:w="506" w:type="pct"/>
          </w:tcPr>
          <w:p w14:paraId="102FCBB8" w14:textId="77777777" w:rsidR="00E507FF" w:rsidRPr="008711DF" w:rsidRDefault="00E507FF" w:rsidP="005F2CF8">
            <w:pPr>
              <w:tabs>
                <w:tab w:val="left" w:pos="1080"/>
              </w:tabs>
              <w:spacing w:after="0" w:line="240" w:lineRule="auto"/>
              <w:jc w:val="both"/>
              <w:rPr>
                <w:rFonts w:cstheme="minorHAnsi"/>
                <w:b/>
                <w:color w:val="185262"/>
              </w:rPr>
            </w:pPr>
            <w:r w:rsidRPr="008711DF">
              <w:rPr>
                <w:rFonts w:cstheme="minorHAnsi"/>
                <w:b/>
                <w:color w:val="185262"/>
              </w:rPr>
              <w:t>Comments</w:t>
            </w:r>
          </w:p>
        </w:tc>
        <w:tc>
          <w:tcPr>
            <w:tcW w:w="483" w:type="pct"/>
          </w:tcPr>
          <w:p w14:paraId="14A71D26" w14:textId="77777777" w:rsidR="00E507FF" w:rsidRPr="008711DF" w:rsidRDefault="00E507FF" w:rsidP="005F2CF8">
            <w:pPr>
              <w:tabs>
                <w:tab w:val="left" w:pos="1080"/>
              </w:tabs>
              <w:spacing w:after="0" w:line="240" w:lineRule="auto"/>
              <w:jc w:val="both"/>
              <w:rPr>
                <w:rFonts w:asciiTheme="majorHAnsi" w:eastAsiaTheme="majorEastAsia" w:hAnsiTheme="majorHAnsi" w:cstheme="minorHAnsi"/>
                <w:b/>
                <w:color w:val="185262"/>
                <w:sz w:val="21"/>
                <w:szCs w:val="21"/>
              </w:rPr>
            </w:pPr>
            <w:r w:rsidRPr="008711DF">
              <w:rPr>
                <w:rFonts w:cstheme="minorHAnsi"/>
                <w:b/>
                <w:color w:val="185262"/>
              </w:rPr>
              <w:t>Status</w:t>
            </w:r>
          </w:p>
          <w:p w14:paraId="6A160355" w14:textId="77777777" w:rsidR="00E507FF" w:rsidRPr="008711DF" w:rsidRDefault="00E507FF" w:rsidP="005F2CF8">
            <w:pPr>
              <w:tabs>
                <w:tab w:val="left" w:pos="1080"/>
              </w:tabs>
              <w:spacing w:after="0" w:line="240" w:lineRule="auto"/>
              <w:jc w:val="both"/>
              <w:rPr>
                <w:rFonts w:cstheme="minorHAnsi"/>
                <w:b/>
                <w:color w:val="185262"/>
              </w:rPr>
            </w:pPr>
            <w:r w:rsidRPr="008711DF">
              <w:rPr>
                <w:rFonts w:cstheme="minorHAnsi"/>
                <w:b/>
                <w:color w:val="185262"/>
              </w:rPr>
              <w:t>(initiated, completed or no due date)</w:t>
            </w:r>
          </w:p>
        </w:tc>
      </w:tr>
      <w:tr w:rsidR="00240C9B" w:rsidRPr="008711DF" w14:paraId="6279D7B5" w14:textId="77777777" w:rsidTr="005F2CF8">
        <w:tc>
          <w:tcPr>
            <w:tcW w:w="1781" w:type="pct"/>
          </w:tcPr>
          <w:p w14:paraId="0CFA06AF" w14:textId="77777777" w:rsidR="00240C9B" w:rsidRPr="008711DF" w:rsidRDefault="00240C9B" w:rsidP="00240C9B">
            <w:pPr>
              <w:tabs>
                <w:tab w:val="left" w:pos="1080"/>
              </w:tabs>
              <w:spacing w:after="0" w:line="240" w:lineRule="auto"/>
              <w:jc w:val="both"/>
              <w:rPr>
                <w:rFonts w:cstheme="minorHAnsi"/>
                <w:color w:val="185262"/>
              </w:rPr>
            </w:pPr>
            <w:r>
              <w:rPr>
                <w:rFonts w:cstheme="minorHAnsi"/>
                <w:color w:val="185262"/>
              </w:rPr>
              <w:t xml:space="preserve">6.1 </w:t>
            </w:r>
            <w:r w:rsidR="00C6125A">
              <w:rPr>
                <w:rFonts w:cstheme="minorHAnsi"/>
                <w:color w:val="185262"/>
              </w:rPr>
              <w:t xml:space="preserve">UNDP will explore </w:t>
            </w:r>
            <w:r w:rsidR="007E46DE">
              <w:rPr>
                <w:rFonts w:cstheme="minorHAnsi"/>
                <w:color w:val="185262"/>
              </w:rPr>
              <w:t xml:space="preserve">if additional procedures and commitments will be possible to </w:t>
            </w:r>
            <w:r w:rsidR="00127832">
              <w:rPr>
                <w:rFonts w:cstheme="minorHAnsi"/>
                <w:color w:val="185262"/>
              </w:rPr>
              <w:t xml:space="preserve">fix in CEC decisions. </w:t>
            </w:r>
          </w:p>
        </w:tc>
        <w:tc>
          <w:tcPr>
            <w:tcW w:w="1176" w:type="pct"/>
          </w:tcPr>
          <w:p w14:paraId="6EDF2BFB" w14:textId="77777777" w:rsidR="00240C9B" w:rsidRPr="008711DF" w:rsidRDefault="00240C9B" w:rsidP="00240C9B">
            <w:pPr>
              <w:tabs>
                <w:tab w:val="left" w:pos="1080"/>
              </w:tabs>
              <w:spacing w:after="0" w:line="240" w:lineRule="auto"/>
              <w:jc w:val="both"/>
              <w:rPr>
                <w:rFonts w:cstheme="minorHAnsi"/>
                <w:color w:val="185262"/>
              </w:rPr>
            </w:pPr>
            <w:r w:rsidRPr="00302D96">
              <w:rPr>
                <w:rFonts w:cstheme="minorHAnsi"/>
                <w:color w:val="185262"/>
              </w:rPr>
              <w:t>3</w:t>
            </w:r>
            <w:r w:rsidR="00C6125A">
              <w:rPr>
                <w:rFonts w:cstheme="minorHAnsi"/>
                <w:color w:val="185262"/>
              </w:rPr>
              <w:t xml:space="preserve">0 June </w:t>
            </w:r>
            <w:r w:rsidRPr="00302D96">
              <w:rPr>
                <w:rFonts w:cstheme="minorHAnsi"/>
                <w:color w:val="185262"/>
              </w:rPr>
              <w:t>202</w:t>
            </w:r>
            <w:r w:rsidR="00C6125A">
              <w:rPr>
                <w:rFonts w:cstheme="minorHAnsi"/>
                <w:color w:val="185262"/>
              </w:rPr>
              <w:t>1</w:t>
            </w:r>
          </w:p>
        </w:tc>
        <w:tc>
          <w:tcPr>
            <w:tcW w:w="1054" w:type="pct"/>
          </w:tcPr>
          <w:p w14:paraId="02A7362C" w14:textId="77777777" w:rsidR="00240C9B" w:rsidRPr="008711DF" w:rsidRDefault="003D47EF" w:rsidP="00240C9B">
            <w:pPr>
              <w:tabs>
                <w:tab w:val="left" w:pos="1080"/>
              </w:tabs>
              <w:spacing w:after="0" w:line="240" w:lineRule="auto"/>
              <w:jc w:val="both"/>
              <w:rPr>
                <w:rFonts w:cstheme="minorHAnsi"/>
                <w:color w:val="185262"/>
              </w:rPr>
            </w:pPr>
            <w:r>
              <w:rPr>
                <w:rFonts w:cstheme="minorHAnsi"/>
                <w:color w:val="185262"/>
              </w:rPr>
              <w:t>UNDP Democratic Governance Portfolio</w:t>
            </w:r>
          </w:p>
        </w:tc>
        <w:tc>
          <w:tcPr>
            <w:tcW w:w="506" w:type="pct"/>
          </w:tcPr>
          <w:p w14:paraId="63D5DE5E" w14:textId="77777777" w:rsidR="00240C9B" w:rsidRPr="008711DF" w:rsidRDefault="00240C9B" w:rsidP="00240C9B">
            <w:pPr>
              <w:tabs>
                <w:tab w:val="left" w:pos="1080"/>
              </w:tabs>
              <w:spacing w:after="0" w:line="240" w:lineRule="auto"/>
              <w:jc w:val="both"/>
              <w:rPr>
                <w:rFonts w:cstheme="minorHAnsi"/>
                <w:color w:val="185262"/>
              </w:rPr>
            </w:pPr>
          </w:p>
        </w:tc>
        <w:tc>
          <w:tcPr>
            <w:tcW w:w="483" w:type="pct"/>
          </w:tcPr>
          <w:p w14:paraId="1EC0B8AF" w14:textId="13EF4919" w:rsidR="00240C9B" w:rsidRPr="008711DF" w:rsidRDefault="006D5FB4" w:rsidP="00240C9B">
            <w:pPr>
              <w:tabs>
                <w:tab w:val="left" w:pos="1080"/>
              </w:tabs>
              <w:spacing w:after="0" w:line="240" w:lineRule="auto"/>
              <w:jc w:val="both"/>
              <w:rPr>
                <w:rFonts w:cstheme="minorHAnsi"/>
                <w:color w:val="185262"/>
              </w:rPr>
            </w:pPr>
            <w:r>
              <w:rPr>
                <w:rFonts w:cstheme="minorHAnsi"/>
                <w:color w:val="185262"/>
              </w:rPr>
              <w:t>Initiated</w:t>
            </w:r>
          </w:p>
        </w:tc>
      </w:tr>
      <w:bookmarkEnd w:id="1"/>
    </w:tbl>
    <w:p w14:paraId="77551530" w14:textId="77777777" w:rsidR="00EA37E3" w:rsidRPr="008711DF" w:rsidRDefault="00EA37E3" w:rsidP="00E61BD7">
      <w:pPr>
        <w:spacing w:after="0" w:line="240" w:lineRule="auto"/>
        <w:jc w:val="both"/>
        <w:rPr>
          <w:rFonts w:cstheme="minorHAnsi"/>
          <w:vanish/>
          <w:color w:val="185262"/>
        </w:rPr>
      </w:pPr>
    </w:p>
    <w:sectPr w:rsidR="00EA37E3" w:rsidRPr="008711DF" w:rsidSect="00B024F1">
      <w:pgSz w:w="16838" w:h="11906" w:orient="landscape"/>
      <w:pgMar w:top="1440" w:right="1170" w:bottom="1440" w:left="1440" w:header="720" w:footer="720" w:gutter="0"/>
      <w:pgNumType w:start="49"/>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EC"/>
    <w:multiLevelType w:val="hybridMultilevel"/>
    <w:tmpl w:val="706EC8D0"/>
    <w:lvl w:ilvl="0" w:tplc="83B062EC">
      <w:start w:val="1"/>
      <w:numFmt w:val="decimal"/>
      <w:lvlText w:val="3.1.%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62A2B97"/>
    <w:multiLevelType w:val="multilevel"/>
    <w:tmpl w:val="7D00F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05086F"/>
    <w:multiLevelType w:val="hybridMultilevel"/>
    <w:tmpl w:val="7A56B63C"/>
    <w:lvl w:ilvl="0" w:tplc="9F5C081C">
      <w:start w:val="1"/>
      <w:numFmt w:val="decimal"/>
      <w:lvlText w:val="3.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7F4133"/>
    <w:multiLevelType w:val="multilevel"/>
    <w:tmpl w:val="03BED9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5953A2"/>
    <w:multiLevelType w:val="multilevel"/>
    <w:tmpl w:val="3924A096"/>
    <w:lvl w:ilvl="0">
      <w:start w:val="3"/>
      <w:numFmt w:val="decimal"/>
      <w:lvlText w:val="%1"/>
      <w:lvlJc w:val="left"/>
      <w:pPr>
        <w:ind w:left="443" w:hanging="443"/>
      </w:pPr>
      <w:rPr>
        <w:rFonts w:hint="default"/>
      </w:rPr>
    </w:lvl>
    <w:lvl w:ilvl="1">
      <w:start w:val="1"/>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0560B6"/>
    <w:multiLevelType w:val="multilevel"/>
    <w:tmpl w:val="CA4E8D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1EA01A77"/>
    <w:multiLevelType w:val="multilevel"/>
    <w:tmpl w:val="35AA41EE"/>
    <w:lvl w:ilvl="0">
      <w:start w:val="4"/>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18526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00" w:hanging="720"/>
      </w:pPr>
      <w:rPr>
        <w:rFonts w:hint="default"/>
        <w:b w:val="0"/>
        <w:bCs w:val="0"/>
        <w:i w:val="0"/>
        <w:iCs w:val="0"/>
        <w:caps w:val="0"/>
        <w:smallCaps w:val="0"/>
        <w:strike w:val="0"/>
        <w:dstrike w:val="0"/>
        <w:noProof w:val="0"/>
        <w:vanish w:val="0"/>
        <w:color w:val="1896A3"/>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0371D6F"/>
    <w:multiLevelType w:val="multilevel"/>
    <w:tmpl w:val="D55E07B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9A5949"/>
    <w:multiLevelType w:val="multilevel"/>
    <w:tmpl w:val="0B9CD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D468DD"/>
    <w:multiLevelType w:val="multilevel"/>
    <w:tmpl w:val="49C8D11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EE7F98"/>
    <w:multiLevelType w:val="multilevel"/>
    <w:tmpl w:val="A04031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0E0E26"/>
    <w:multiLevelType w:val="multilevel"/>
    <w:tmpl w:val="EECA48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E81A4C"/>
    <w:multiLevelType w:val="multilevel"/>
    <w:tmpl w:val="3D7E98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20424E"/>
    <w:multiLevelType w:val="multilevel"/>
    <w:tmpl w:val="DC6EF55C"/>
    <w:lvl w:ilvl="0">
      <w:start w:val="3"/>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2"/>
      <w:numFmt w:val="decimal"/>
      <w:lvlText w:val="%1.%2.%3"/>
      <w:lvlJc w:val="left"/>
      <w:pPr>
        <w:ind w:left="22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C83609"/>
    <w:multiLevelType w:val="multilevel"/>
    <w:tmpl w:val="765666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3E488B"/>
    <w:multiLevelType w:val="multilevel"/>
    <w:tmpl w:val="FF2275A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3349EA"/>
    <w:multiLevelType w:val="multilevel"/>
    <w:tmpl w:val="C704806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3F1D7E74"/>
    <w:multiLevelType w:val="multilevel"/>
    <w:tmpl w:val="E5F0E968"/>
    <w:lvl w:ilvl="0">
      <w:start w:val="3"/>
      <w:numFmt w:val="decimal"/>
      <w:lvlText w:val="%1"/>
      <w:lvlJc w:val="left"/>
      <w:pPr>
        <w:ind w:left="450" w:hanging="450"/>
      </w:pPr>
      <w:rPr>
        <w:rFonts w:hint="default"/>
      </w:rPr>
    </w:lvl>
    <w:lvl w:ilvl="1">
      <w:start w:val="2"/>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0FF2FCB"/>
    <w:multiLevelType w:val="multilevel"/>
    <w:tmpl w:val="17B0FF04"/>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9" w15:restartNumberingAfterBreak="0">
    <w:nsid w:val="43277F47"/>
    <w:multiLevelType w:val="multilevel"/>
    <w:tmpl w:val="2788E2E8"/>
    <w:lvl w:ilvl="0">
      <w:start w:val="3"/>
      <w:numFmt w:val="decimal"/>
      <w:lvlText w:val="%1"/>
      <w:lvlJc w:val="left"/>
      <w:pPr>
        <w:ind w:left="443" w:hanging="443"/>
      </w:pPr>
      <w:rPr>
        <w:rFonts w:hint="default"/>
      </w:rPr>
    </w:lvl>
    <w:lvl w:ilvl="1">
      <w:start w:val="3"/>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EC7FA3"/>
    <w:multiLevelType w:val="multilevel"/>
    <w:tmpl w:val="DB68D24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472355E8"/>
    <w:multiLevelType w:val="multilevel"/>
    <w:tmpl w:val="E5F0E968"/>
    <w:lvl w:ilvl="0">
      <w:start w:val="3"/>
      <w:numFmt w:val="decimal"/>
      <w:lvlText w:val="%1"/>
      <w:lvlJc w:val="left"/>
      <w:pPr>
        <w:ind w:left="450" w:hanging="450"/>
      </w:pPr>
      <w:rPr>
        <w:rFonts w:hint="default"/>
      </w:rPr>
    </w:lvl>
    <w:lvl w:ilvl="1">
      <w:start w:val="2"/>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8DE3AAA"/>
    <w:multiLevelType w:val="multilevel"/>
    <w:tmpl w:val="94C6F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A266611"/>
    <w:multiLevelType w:val="multilevel"/>
    <w:tmpl w:val="E4D8B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F3159C6"/>
    <w:multiLevelType w:val="multilevel"/>
    <w:tmpl w:val="AD60D512"/>
    <w:lvl w:ilvl="0">
      <w:start w:val="3"/>
      <w:numFmt w:val="decimal"/>
      <w:lvlText w:val="%1"/>
      <w:lvlJc w:val="left"/>
      <w:pPr>
        <w:ind w:left="443" w:hanging="443"/>
      </w:pPr>
      <w:rPr>
        <w:rFonts w:hint="default"/>
        <w:color w:val="auto"/>
      </w:rPr>
    </w:lvl>
    <w:lvl w:ilvl="1">
      <w:start w:val="3"/>
      <w:numFmt w:val="decimal"/>
      <w:lvlText w:val="%1.%2"/>
      <w:lvlJc w:val="left"/>
      <w:pPr>
        <w:ind w:left="443" w:hanging="4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51335A07"/>
    <w:multiLevelType w:val="multilevel"/>
    <w:tmpl w:val="F78C71C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F84D4C"/>
    <w:multiLevelType w:val="multilevel"/>
    <w:tmpl w:val="4F049A4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7" w15:restartNumberingAfterBreak="0">
    <w:nsid w:val="5EC21207"/>
    <w:multiLevelType w:val="multilevel"/>
    <w:tmpl w:val="AC5E2B54"/>
    <w:lvl w:ilvl="0">
      <w:start w:val="3"/>
      <w:numFmt w:val="decimal"/>
      <w:lvlText w:val="%1."/>
      <w:lvlJc w:val="left"/>
      <w:pPr>
        <w:ind w:left="510" w:hanging="510"/>
      </w:pPr>
      <w:rPr>
        <w:rFonts w:hint="default"/>
        <w:color w:val="auto"/>
      </w:rPr>
    </w:lvl>
    <w:lvl w:ilvl="1">
      <w:start w:val="1"/>
      <w:numFmt w:val="decimal"/>
      <w:lvlText w:val="%1.%2."/>
      <w:lvlJc w:val="left"/>
      <w:pPr>
        <w:ind w:left="690" w:hanging="51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8" w15:restartNumberingAfterBreak="0">
    <w:nsid w:val="5FCA0BE2"/>
    <w:multiLevelType w:val="multilevel"/>
    <w:tmpl w:val="F872E0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FB7731"/>
    <w:multiLevelType w:val="multilevel"/>
    <w:tmpl w:val="A958329A"/>
    <w:lvl w:ilvl="0">
      <w:start w:val="3"/>
      <w:numFmt w:val="decimal"/>
      <w:lvlText w:val="%1"/>
      <w:lvlJc w:val="left"/>
      <w:pPr>
        <w:ind w:left="443" w:hanging="443"/>
      </w:pPr>
      <w:rPr>
        <w:rFonts w:hint="default"/>
        <w:color w:val="auto"/>
      </w:rPr>
    </w:lvl>
    <w:lvl w:ilvl="1">
      <w:start w:val="2"/>
      <w:numFmt w:val="decimal"/>
      <w:lvlText w:val="%1.%2"/>
      <w:lvlJc w:val="left"/>
      <w:pPr>
        <w:ind w:left="443" w:hanging="4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0" w15:restartNumberingAfterBreak="0">
    <w:nsid w:val="672825E9"/>
    <w:multiLevelType w:val="multilevel"/>
    <w:tmpl w:val="45BEF48A"/>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6A562AAD"/>
    <w:multiLevelType w:val="multilevel"/>
    <w:tmpl w:val="DF14C7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1C1A46"/>
    <w:multiLevelType w:val="multilevel"/>
    <w:tmpl w:val="32A44E7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DF3F15"/>
    <w:multiLevelType w:val="hybridMultilevel"/>
    <w:tmpl w:val="7180B4FC"/>
    <w:lvl w:ilvl="0" w:tplc="7E84ECA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E2B51"/>
    <w:multiLevelType w:val="multilevel"/>
    <w:tmpl w:val="B3A0A00A"/>
    <w:lvl w:ilvl="0">
      <w:start w:val="3"/>
      <w:numFmt w:val="decimal"/>
      <w:lvlText w:val="%1"/>
      <w:lvlJc w:val="left"/>
      <w:pPr>
        <w:ind w:left="443" w:hanging="443"/>
      </w:pPr>
      <w:rPr>
        <w:rFonts w:hint="default"/>
      </w:rPr>
    </w:lvl>
    <w:lvl w:ilvl="1">
      <w:start w:val="2"/>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0386B6D"/>
    <w:multiLevelType w:val="multilevel"/>
    <w:tmpl w:val="14C2962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4F07AF"/>
    <w:multiLevelType w:val="multilevel"/>
    <w:tmpl w:val="006ECF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5C2526"/>
    <w:multiLevelType w:val="multilevel"/>
    <w:tmpl w:val="B6986E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5"/>
  </w:num>
  <w:num w:numId="3">
    <w:abstractNumId w:val="15"/>
  </w:num>
  <w:num w:numId="4">
    <w:abstractNumId w:val="33"/>
  </w:num>
  <w:num w:numId="5">
    <w:abstractNumId w:val="5"/>
  </w:num>
  <w:num w:numId="6">
    <w:abstractNumId w:val="7"/>
  </w:num>
  <w:num w:numId="7">
    <w:abstractNumId w:val="26"/>
  </w:num>
  <w:num w:numId="8">
    <w:abstractNumId w:val="16"/>
  </w:num>
  <w:num w:numId="9">
    <w:abstractNumId w:val="3"/>
  </w:num>
  <w:num w:numId="10">
    <w:abstractNumId w:val="22"/>
  </w:num>
  <w:num w:numId="11">
    <w:abstractNumId w:val="8"/>
  </w:num>
  <w:num w:numId="12">
    <w:abstractNumId w:val="10"/>
  </w:num>
  <w:num w:numId="13">
    <w:abstractNumId w:val="11"/>
  </w:num>
  <w:num w:numId="14">
    <w:abstractNumId w:val="27"/>
  </w:num>
  <w:num w:numId="15">
    <w:abstractNumId w:val="2"/>
  </w:num>
  <w:num w:numId="16">
    <w:abstractNumId w:val="21"/>
  </w:num>
  <w:num w:numId="17">
    <w:abstractNumId w:val="13"/>
  </w:num>
  <w:num w:numId="18">
    <w:abstractNumId w:val="0"/>
  </w:num>
  <w:num w:numId="19">
    <w:abstractNumId w:val="17"/>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7"/>
  </w:num>
  <w:num w:numId="25">
    <w:abstractNumId w:val="1"/>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30"/>
  </w:num>
  <w:num w:numId="28">
    <w:abstractNumId w:val="32"/>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29"/>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24"/>
  </w:num>
  <w:num w:numId="33">
    <w:abstractNumId w:val="19"/>
  </w:num>
  <w:num w:numId="34">
    <w:abstractNumId w:val="34"/>
  </w:num>
  <w:num w:numId="35">
    <w:abstractNumId w:val="4"/>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D7"/>
    <w:rsid w:val="0000082A"/>
    <w:rsid w:val="00000BD0"/>
    <w:rsid w:val="00007C3A"/>
    <w:rsid w:val="00011037"/>
    <w:rsid w:val="0001201D"/>
    <w:rsid w:val="0001716D"/>
    <w:rsid w:val="000231EC"/>
    <w:rsid w:val="00023F0A"/>
    <w:rsid w:val="000343C3"/>
    <w:rsid w:val="000408A8"/>
    <w:rsid w:val="00050522"/>
    <w:rsid w:val="000560F0"/>
    <w:rsid w:val="00065D5E"/>
    <w:rsid w:val="0007042C"/>
    <w:rsid w:val="000705CE"/>
    <w:rsid w:val="00071ADB"/>
    <w:rsid w:val="000766E2"/>
    <w:rsid w:val="00080DE6"/>
    <w:rsid w:val="00090B31"/>
    <w:rsid w:val="000A16AE"/>
    <w:rsid w:val="000A6206"/>
    <w:rsid w:val="000B0AE8"/>
    <w:rsid w:val="000C0274"/>
    <w:rsid w:val="000C0341"/>
    <w:rsid w:val="000C250A"/>
    <w:rsid w:val="000D03A2"/>
    <w:rsid w:val="000D15DC"/>
    <w:rsid w:val="000D42A3"/>
    <w:rsid w:val="000D6F95"/>
    <w:rsid w:val="000D7BC0"/>
    <w:rsid w:val="000E10F7"/>
    <w:rsid w:val="000E6EB1"/>
    <w:rsid w:val="000F3AB2"/>
    <w:rsid w:val="000F3E6D"/>
    <w:rsid w:val="000F4160"/>
    <w:rsid w:val="000F4532"/>
    <w:rsid w:val="000F4B1D"/>
    <w:rsid w:val="000F6338"/>
    <w:rsid w:val="001031AB"/>
    <w:rsid w:val="00110AC1"/>
    <w:rsid w:val="00120063"/>
    <w:rsid w:val="00124250"/>
    <w:rsid w:val="00127832"/>
    <w:rsid w:val="00131DC8"/>
    <w:rsid w:val="00135C15"/>
    <w:rsid w:val="001424FE"/>
    <w:rsid w:val="0014679B"/>
    <w:rsid w:val="00152147"/>
    <w:rsid w:val="00153AE7"/>
    <w:rsid w:val="00153B4E"/>
    <w:rsid w:val="001634A7"/>
    <w:rsid w:val="0017027E"/>
    <w:rsid w:val="001706F4"/>
    <w:rsid w:val="00170D2F"/>
    <w:rsid w:val="00171FC6"/>
    <w:rsid w:val="00174786"/>
    <w:rsid w:val="00174A48"/>
    <w:rsid w:val="00195121"/>
    <w:rsid w:val="00196ADB"/>
    <w:rsid w:val="00197ED8"/>
    <w:rsid w:val="001A10DE"/>
    <w:rsid w:val="001A71FF"/>
    <w:rsid w:val="001A7E48"/>
    <w:rsid w:val="001B0A37"/>
    <w:rsid w:val="001B1AFB"/>
    <w:rsid w:val="001B287C"/>
    <w:rsid w:val="001C2360"/>
    <w:rsid w:val="001C5BBE"/>
    <w:rsid w:val="001C7D6C"/>
    <w:rsid w:val="001D532F"/>
    <w:rsid w:val="001D7FD3"/>
    <w:rsid w:val="001E0443"/>
    <w:rsid w:val="001E58C7"/>
    <w:rsid w:val="001E705E"/>
    <w:rsid w:val="001F6ECC"/>
    <w:rsid w:val="00201C84"/>
    <w:rsid w:val="00203E44"/>
    <w:rsid w:val="002059D4"/>
    <w:rsid w:val="00206DFE"/>
    <w:rsid w:val="00211768"/>
    <w:rsid w:val="00215701"/>
    <w:rsid w:val="00221556"/>
    <w:rsid w:val="0022717A"/>
    <w:rsid w:val="00227E9F"/>
    <w:rsid w:val="002314AB"/>
    <w:rsid w:val="00231E72"/>
    <w:rsid w:val="0023568C"/>
    <w:rsid w:val="0023710D"/>
    <w:rsid w:val="00240C9B"/>
    <w:rsid w:val="00243BE8"/>
    <w:rsid w:val="00253848"/>
    <w:rsid w:val="0026163B"/>
    <w:rsid w:val="00263379"/>
    <w:rsid w:val="002651F1"/>
    <w:rsid w:val="00267077"/>
    <w:rsid w:val="00267EDA"/>
    <w:rsid w:val="0027107B"/>
    <w:rsid w:val="002723C1"/>
    <w:rsid w:val="00273E90"/>
    <w:rsid w:val="00280001"/>
    <w:rsid w:val="00282900"/>
    <w:rsid w:val="00283C36"/>
    <w:rsid w:val="00286B69"/>
    <w:rsid w:val="00293CEB"/>
    <w:rsid w:val="002965DA"/>
    <w:rsid w:val="002A2EA9"/>
    <w:rsid w:val="002A54E6"/>
    <w:rsid w:val="002B49CC"/>
    <w:rsid w:val="002B4A92"/>
    <w:rsid w:val="002C2197"/>
    <w:rsid w:val="002D0A6F"/>
    <w:rsid w:val="002D38AC"/>
    <w:rsid w:val="002E22A1"/>
    <w:rsid w:val="002E2776"/>
    <w:rsid w:val="002E70AB"/>
    <w:rsid w:val="002F2DED"/>
    <w:rsid w:val="002F3E46"/>
    <w:rsid w:val="002F6744"/>
    <w:rsid w:val="00300044"/>
    <w:rsid w:val="0030301C"/>
    <w:rsid w:val="00305F76"/>
    <w:rsid w:val="00311EB9"/>
    <w:rsid w:val="00320C29"/>
    <w:rsid w:val="00320EBA"/>
    <w:rsid w:val="003224E1"/>
    <w:rsid w:val="00324162"/>
    <w:rsid w:val="0033529C"/>
    <w:rsid w:val="00340381"/>
    <w:rsid w:val="0034040E"/>
    <w:rsid w:val="0034426C"/>
    <w:rsid w:val="003500A4"/>
    <w:rsid w:val="00356385"/>
    <w:rsid w:val="003600A9"/>
    <w:rsid w:val="00362267"/>
    <w:rsid w:val="00363939"/>
    <w:rsid w:val="00363A23"/>
    <w:rsid w:val="003671EB"/>
    <w:rsid w:val="003708B8"/>
    <w:rsid w:val="00376EFD"/>
    <w:rsid w:val="003810C2"/>
    <w:rsid w:val="00383073"/>
    <w:rsid w:val="0038784C"/>
    <w:rsid w:val="003936AA"/>
    <w:rsid w:val="003A36B7"/>
    <w:rsid w:val="003A4BBE"/>
    <w:rsid w:val="003A7F64"/>
    <w:rsid w:val="003B0AA1"/>
    <w:rsid w:val="003C1A12"/>
    <w:rsid w:val="003C75F3"/>
    <w:rsid w:val="003C7937"/>
    <w:rsid w:val="003D4278"/>
    <w:rsid w:val="003D47EF"/>
    <w:rsid w:val="003E37B6"/>
    <w:rsid w:val="003E5F1D"/>
    <w:rsid w:val="003E5F25"/>
    <w:rsid w:val="003F6DA6"/>
    <w:rsid w:val="00405FD4"/>
    <w:rsid w:val="0041225A"/>
    <w:rsid w:val="00413C7E"/>
    <w:rsid w:val="00414A7D"/>
    <w:rsid w:val="0041789F"/>
    <w:rsid w:val="004214C9"/>
    <w:rsid w:val="0042195E"/>
    <w:rsid w:val="0042488D"/>
    <w:rsid w:val="00424A01"/>
    <w:rsid w:val="00431A49"/>
    <w:rsid w:val="00432370"/>
    <w:rsid w:val="004352D2"/>
    <w:rsid w:val="00435F6B"/>
    <w:rsid w:val="00436A64"/>
    <w:rsid w:val="00440C98"/>
    <w:rsid w:val="004459A5"/>
    <w:rsid w:val="00446F75"/>
    <w:rsid w:val="00447731"/>
    <w:rsid w:val="004632B9"/>
    <w:rsid w:val="00464DDA"/>
    <w:rsid w:val="0046550B"/>
    <w:rsid w:val="00473B7B"/>
    <w:rsid w:val="00475E7F"/>
    <w:rsid w:val="004805FF"/>
    <w:rsid w:val="00485D39"/>
    <w:rsid w:val="00487F47"/>
    <w:rsid w:val="004930FC"/>
    <w:rsid w:val="00493D1B"/>
    <w:rsid w:val="004943B9"/>
    <w:rsid w:val="004A3463"/>
    <w:rsid w:val="004A3A25"/>
    <w:rsid w:val="004A7AD6"/>
    <w:rsid w:val="004B0854"/>
    <w:rsid w:val="004B5835"/>
    <w:rsid w:val="004B7D5C"/>
    <w:rsid w:val="004C5455"/>
    <w:rsid w:val="004C66FD"/>
    <w:rsid w:val="004C742F"/>
    <w:rsid w:val="004D74E2"/>
    <w:rsid w:val="004D759B"/>
    <w:rsid w:val="004D76F5"/>
    <w:rsid w:val="004F1340"/>
    <w:rsid w:val="00500413"/>
    <w:rsid w:val="005011B9"/>
    <w:rsid w:val="005025E9"/>
    <w:rsid w:val="0050340D"/>
    <w:rsid w:val="0051027B"/>
    <w:rsid w:val="00511DD6"/>
    <w:rsid w:val="00512504"/>
    <w:rsid w:val="00512BAA"/>
    <w:rsid w:val="00512E17"/>
    <w:rsid w:val="00517B62"/>
    <w:rsid w:val="0052519D"/>
    <w:rsid w:val="00527644"/>
    <w:rsid w:val="005308A2"/>
    <w:rsid w:val="005338D5"/>
    <w:rsid w:val="00534EBC"/>
    <w:rsid w:val="00536F63"/>
    <w:rsid w:val="00540083"/>
    <w:rsid w:val="00550046"/>
    <w:rsid w:val="00551529"/>
    <w:rsid w:val="00554F3E"/>
    <w:rsid w:val="0055538A"/>
    <w:rsid w:val="005555C5"/>
    <w:rsid w:val="00556EF5"/>
    <w:rsid w:val="0056097E"/>
    <w:rsid w:val="00560E3E"/>
    <w:rsid w:val="0056185B"/>
    <w:rsid w:val="00565ECA"/>
    <w:rsid w:val="00574694"/>
    <w:rsid w:val="005751E5"/>
    <w:rsid w:val="005819E2"/>
    <w:rsid w:val="00583350"/>
    <w:rsid w:val="00590297"/>
    <w:rsid w:val="005B70C9"/>
    <w:rsid w:val="005C6CF8"/>
    <w:rsid w:val="005D1FA2"/>
    <w:rsid w:val="005E100C"/>
    <w:rsid w:val="005E2605"/>
    <w:rsid w:val="005E3431"/>
    <w:rsid w:val="005F0A97"/>
    <w:rsid w:val="005F169A"/>
    <w:rsid w:val="00600876"/>
    <w:rsid w:val="006124A2"/>
    <w:rsid w:val="00614051"/>
    <w:rsid w:val="0061473B"/>
    <w:rsid w:val="00617B38"/>
    <w:rsid w:val="006246B4"/>
    <w:rsid w:val="00624DB3"/>
    <w:rsid w:val="00625102"/>
    <w:rsid w:val="00625C53"/>
    <w:rsid w:val="0062618B"/>
    <w:rsid w:val="00631B1B"/>
    <w:rsid w:val="006367CF"/>
    <w:rsid w:val="00640752"/>
    <w:rsid w:val="006534B0"/>
    <w:rsid w:val="0065627C"/>
    <w:rsid w:val="00656554"/>
    <w:rsid w:val="00661F71"/>
    <w:rsid w:val="006640A6"/>
    <w:rsid w:val="00665373"/>
    <w:rsid w:val="00670F57"/>
    <w:rsid w:val="00673BDD"/>
    <w:rsid w:val="00674640"/>
    <w:rsid w:val="006752BA"/>
    <w:rsid w:val="00682FE3"/>
    <w:rsid w:val="00690F2C"/>
    <w:rsid w:val="00694B02"/>
    <w:rsid w:val="00696AC4"/>
    <w:rsid w:val="006A2FFB"/>
    <w:rsid w:val="006A4F73"/>
    <w:rsid w:val="006B1A40"/>
    <w:rsid w:val="006B4AE2"/>
    <w:rsid w:val="006D400E"/>
    <w:rsid w:val="006D53A3"/>
    <w:rsid w:val="006D58B1"/>
    <w:rsid w:val="006D5FB4"/>
    <w:rsid w:val="00712CEF"/>
    <w:rsid w:val="00717CBA"/>
    <w:rsid w:val="00722B02"/>
    <w:rsid w:val="00726764"/>
    <w:rsid w:val="00731D71"/>
    <w:rsid w:val="00735C88"/>
    <w:rsid w:val="00737CFE"/>
    <w:rsid w:val="007414AE"/>
    <w:rsid w:val="007415AF"/>
    <w:rsid w:val="007437A3"/>
    <w:rsid w:val="00744E87"/>
    <w:rsid w:val="0074697D"/>
    <w:rsid w:val="00747047"/>
    <w:rsid w:val="007557B5"/>
    <w:rsid w:val="0076342B"/>
    <w:rsid w:val="00767640"/>
    <w:rsid w:val="00772BB7"/>
    <w:rsid w:val="007753C0"/>
    <w:rsid w:val="0077686A"/>
    <w:rsid w:val="007813FC"/>
    <w:rsid w:val="00785DC4"/>
    <w:rsid w:val="00787B51"/>
    <w:rsid w:val="007903C2"/>
    <w:rsid w:val="007903F3"/>
    <w:rsid w:val="0079061D"/>
    <w:rsid w:val="00792912"/>
    <w:rsid w:val="007933A1"/>
    <w:rsid w:val="007942ED"/>
    <w:rsid w:val="00794959"/>
    <w:rsid w:val="007A31C9"/>
    <w:rsid w:val="007B7B50"/>
    <w:rsid w:val="007C687A"/>
    <w:rsid w:val="007D1377"/>
    <w:rsid w:val="007D2069"/>
    <w:rsid w:val="007E46DE"/>
    <w:rsid w:val="007E6148"/>
    <w:rsid w:val="007F126B"/>
    <w:rsid w:val="007F669F"/>
    <w:rsid w:val="008010B4"/>
    <w:rsid w:val="00807242"/>
    <w:rsid w:val="00807BA5"/>
    <w:rsid w:val="00810F35"/>
    <w:rsid w:val="00813997"/>
    <w:rsid w:val="0082381E"/>
    <w:rsid w:val="0082578D"/>
    <w:rsid w:val="0083638A"/>
    <w:rsid w:val="00836E23"/>
    <w:rsid w:val="00842D52"/>
    <w:rsid w:val="00846758"/>
    <w:rsid w:val="00853ACA"/>
    <w:rsid w:val="008717D1"/>
    <w:rsid w:val="0087382D"/>
    <w:rsid w:val="008758F4"/>
    <w:rsid w:val="00881570"/>
    <w:rsid w:val="008819DC"/>
    <w:rsid w:val="0089149F"/>
    <w:rsid w:val="00892ED0"/>
    <w:rsid w:val="008A19A7"/>
    <w:rsid w:val="008A2DCD"/>
    <w:rsid w:val="008A38EC"/>
    <w:rsid w:val="008B6A4D"/>
    <w:rsid w:val="008B6F7C"/>
    <w:rsid w:val="008C0AFC"/>
    <w:rsid w:val="008C0F90"/>
    <w:rsid w:val="008F1C5D"/>
    <w:rsid w:val="008F3032"/>
    <w:rsid w:val="00913922"/>
    <w:rsid w:val="009139F6"/>
    <w:rsid w:val="009140A5"/>
    <w:rsid w:val="00925404"/>
    <w:rsid w:val="00931DF8"/>
    <w:rsid w:val="0094124E"/>
    <w:rsid w:val="009413DF"/>
    <w:rsid w:val="00941BB2"/>
    <w:rsid w:val="00941BCC"/>
    <w:rsid w:val="009437A1"/>
    <w:rsid w:val="0094753A"/>
    <w:rsid w:val="00954F6F"/>
    <w:rsid w:val="00955772"/>
    <w:rsid w:val="00955D2D"/>
    <w:rsid w:val="00960337"/>
    <w:rsid w:val="00964321"/>
    <w:rsid w:val="009660CD"/>
    <w:rsid w:val="00973A0A"/>
    <w:rsid w:val="0097719F"/>
    <w:rsid w:val="00977CB1"/>
    <w:rsid w:val="009801D5"/>
    <w:rsid w:val="00987357"/>
    <w:rsid w:val="00994B66"/>
    <w:rsid w:val="009961DB"/>
    <w:rsid w:val="0099659E"/>
    <w:rsid w:val="009A189B"/>
    <w:rsid w:val="009A6C34"/>
    <w:rsid w:val="009B0A02"/>
    <w:rsid w:val="009B0FF2"/>
    <w:rsid w:val="009B1047"/>
    <w:rsid w:val="009B14AE"/>
    <w:rsid w:val="009B1ECB"/>
    <w:rsid w:val="009B2C56"/>
    <w:rsid w:val="009B36EB"/>
    <w:rsid w:val="009C57D5"/>
    <w:rsid w:val="009C68E5"/>
    <w:rsid w:val="009D195C"/>
    <w:rsid w:val="009D19E3"/>
    <w:rsid w:val="009E38BD"/>
    <w:rsid w:val="009E4112"/>
    <w:rsid w:val="009E4205"/>
    <w:rsid w:val="009F0E7E"/>
    <w:rsid w:val="009F224F"/>
    <w:rsid w:val="009F59F2"/>
    <w:rsid w:val="00A00D17"/>
    <w:rsid w:val="00A02639"/>
    <w:rsid w:val="00A02AE2"/>
    <w:rsid w:val="00A037A9"/>
    <w:rsid w:val="00A074BF"/>
    <w:rsid w:val="00A125B5"/>
    <w:rsid w:val="00A16FFF"/>
    <w:rsid w:val="00A17046"/>
    <w:rsid w:val="00A20775"/>
    <w:rsid w:val="00A219E1"/>
    <w:rsid w:val="00A22DAA"/>
    <w:rsid w:val="00A23008"/>
    <w:rsid w:val="00A23F8B"/>
    <w:rsid w:val="00A349E9"/>
    <w:rsid w:val="00A416D2"/>
    <w:rsid w:val="00A4264E"/>
    <w:rsid w:val="00A43536"/>
    <w:rsid w:val="00A540BC"/>
    <w:rsid w:val="00A547F1"/>
    <w:rsid w:val="00A7186B"/>
    <w:rsid w:val="00A742FE"/>
    <w:rsid w:val="00A74B65"/>
    <w:rsid w:val="00A767CA"/>
    <w:rsid w:val="00A82EB0"/>
    <w:rsid w:val="00A84CC2"/>
    <w:rsid w:val="00A87204"/>
    <w:rsid w:val="00A91F48"/>
    <w:rsid w:val="00A951DF"/>
    <w:rsid w:val="00A958DC"/>
    <w:rsid w:val="00AA0C45"/>
    <w:rsid w:val="00AA0E45"/>
    <w:rsid w:val="00AA66E2"/>
    <w:rsid w:val="00AA6AFC"/>
    <w:rsid w:val="00AA7290"/>
    <w:rsid w:val="00AA7A3C"/>
    <w:rsid w:val="00AA7A81"/>
    <w:rsid w:val="00AB4B09"/>
    <w:rsid w:val="00AB4CF9"/>
    <w:rsid w:val="00AB5214"/>
    <w:rsid w:val="00AB6B2D"/>
    <w:rsid w:val="00AC7311"/>
    <w:rsid w:val="00AD0921"/>
    <w:rsid w:val="00AE077B"/>
    <w:rsid w:val="00AE0E18"/>
    <w:rsid w:val="00AE1BDF"/>
    <w:rsid w:val="00AE257B"/>
    <w:rsid w:val="00AE2BAB"/>
    <w:rsid w:val="00AE5E4C"/>
    <w:rsid w:val="00AE63D3"/>
    <w:rsid w:val="00AF24FB"/>
    <w:rsid w:val="00AF3A48"/>
    <w:rsid w:val="00B024F1"/>
    <w:rsid w:val="00B03A87"/>
    <w:rsid w:val="00B0491F"/>
    <w:rsid w:val="00B060B2"/>
    <w:rsid w:val="00B12289"/>
    <w:rsid w:val="00B15B37"/>
    <w:rsid w:val="00B16276"/>
    <w:rsid w:val="00B17B93"/>
    <w:rsid w:val="00B20794"/>
    <w:rsid w:val="00B21F9D"/>
    <w:rsid w:val="00B231B0"/>
    <w:rsid w:val="00B30856"/>
    <w:rsid w:val="00B335F1"/>
    <w:rsid w:val="00B34C9A"/>
    <w:rsid w:val="00B4724A"/>
    <w:rsid w:val="00B704FA"/>
    <w:rsid w:val="00B73A6D"/>
    <w:rsid w:val="00B7413C"/>
    <w:rsid w:val="00B74B54"/>
    <w:rsid w:val="00B76EB6"/>
    <w:rsid w:val="00BA0BC6"/>
    <w:rsid w:val="00BC2422"/>
    <w:rsid w:val="00BC5623"/>
    <w:rsid w:val="00BD18BA"/>
    <w:rsid w:val="00BD343D"/>
    <w:rsid w:val="00BD5118"/>
    <w:rsid w:val="00BD6053"/>
    <w:rsid w:val="00BE082B"/>
    <w:rsid w:val="00BE0919"/>
    <w:rsid w:val="00BE3536"/>
    <w:rsid w:val="00BF45D9"/>
    <w:rsid w:val="00BF72BE"/>
    <w:rsid w:val="00BF72BF"/>
    <w:rsid w:val="00C03987"/>
    <w:rsid w:val="00C04603"/>
    <w:rsid w:val="00C0588D"/>
    <w:rsid w:val="00C07CC4"/>
    <w:rsid w:val="00C21631"/>
    <w:rsid w:val="00C267F5"/>
    <w:rsid w:val="00C31300"/>
    <w:rsid w:val="00C32762"/>
    <w:rsid w:val="00C331A9"/>
    <w:rsid w:val="00C34CC8"/>
    <w:rsid w:val="00C36482"/>
    <w:rsid w:val="00C51AC4"/>
    <w:rsid w:val="00C53886"/>
    <w:rsid w:val="00C6125A"/>
    <w:rsid w:val="00C618EF"/>
    <w:rsid w:val="00C76435"/>
    <w:rsid w:val="00C7762C"/>
    <w:rsid w:val="00C77A34"/>
    <w:rsid w:val="00C809E9"/>
    <w:rsid w:val="00C81343"/>
    <w:rsid w:val="00C81616"/>
    <w:rsid w:val="00C81D87"/>
    <w:rsid w:val="00C84444"/>
    <w:rsid w:val="00C84C80"/>
    <w:rsid w:val="00C86FA5"/>
    <w:rsid w:val="00C907F8"/>
    <w:rsid w:val="00C94507"/>
    <w:rsid w:val="00C95214"/>
    <w:rsid w:val="00C96B59"/>
    <w:rsid w:val="00C97A80"/>
    <w:rsid w:val="00C97E1E"/>
    <w:rsid w:val="00CA1D7D"/>
    <w:rsid w:val="00CA29EC"/>
    <w:rsid w:val="00CA4B71"/>
    <w:rsid w:val="00CA7432"/>
    <w:rsid w:val="00CB3024"/>
    <w:rsid w:val="00CB57B1"/>
    <w:rsid w:val="00CB66DB"/>
    <w:rsid w:val="00CC08EE"/>
    <w:rsid w:val="00CC5981"/>
    <w:rsid w:val="00CD299D"/>
    <w:rsid w:val="00CE43B9"/>
    <w:rsid w:val="00CE5B70"/>
    <w:rsid w:val="00CE64CA"/>
    <w:rsid w:val="00CE65CD"/>
    <w:rsid w:val="00CF0118"/>
    <w:rsid w:val="00CF2D39"/>
    <w:rsid w:val="00CF4B12"/>
    <w:rsid w:val="00CF79ED"/>
    <w:rsid w:val="00D1446E"/>
    <w:rsid w:val="00D17B3D"/>
    <w:rsid w:val="00D206F6"/>
    <w:rsid w:val="00D212FA"/>
    <w:rsid w:val="00D23C7B"/>
    <w:rsid w:val="00D304B2"/>
    <w:rsid w:val="00D342CE"/>
    <w:rsid w:val="00D52B7F"/>
    <w:rsid w:val="00D54236"/>
    <w:rsid w:val="00D550AF"/>
    <w:rsid w:val="00D61278"/>
    <w:rsid w:val="00D64D13"/>
    <w:rsid w:val="00D722A9"/>
    <w:rsid w:val="00D72AC2"/>
    <w:rsid w:val="00D74263"/>
    <w:rsid w:val="00D7450B"/>
    <w:rsid w:val="00D8083B"/>
    <w:rsid w:val="00D84D28"/>
    <w:rsid w:val="00D8656B"/>
    <w:rsid w:val="00D9368D"/>
    <w:rsid w:val="00DA1142"/>
    <w:rsid w:val="00DA2907"/>
    <w:rsid w:val="00DA4052"/>
    <w:rsid w:val="00DA4C78"/>
    <w:rsid w:val="00DB2C47"/>
    <w:rsid w:val="00DB2C7C"/>
    <w:rsid w:val="00DB3050"/>
    <w:rsid w:val="00DB40B3"/>
    <w:rsid w:val="00DB49E0"/>
    <w:rsid w:val="00DC37F6"/>
    <w:rsid w:val="00DC736F"/>
    <w:rsid w:val="00DD4121"/>
    <w:rsid w:val="00DD4489"/>
    <w:rsid w:val="00DD5A50"/>
    <w:rsid w:val="00DD60D6"/>
    <w:rsid w:val="00DD786F"/>
    <w:rsid w:val="00DD7CBD"/>
    <w:rsid w:val="00DF2B7F"/>
    <w:rsid w:val="00DF2CA8"/>
    <w:rsid w:val="00DF518C"/>
    <w:rsid w:val="00DF5BDB"/>
    <w:rsid w:val="00DF6B04"/>
    <w:rsid w:val="00DF73CE"/>
    <w:rsid w:val="00E02F9E"/>
    <w:rsid w:val="00E05135"/>
    <w:rsid w:val="00E05CA3"/>
    <w:rsid w:val="00E05FA8"/>
    <w:rsid w:val="00E07EEB"/>
    <w:rsid w:val="00E108D5"/>
    <w:rsid w:val="00E25B5F"/>
    <w:rsid w:val="00E359DC"/>
    <w:rsid w:val="00E35A41"/>
    <w:rsid w:val="00E36D04"/>
    <w:rsid w:val="00E37AF4"/>
    <w:rsid w:val="00E41A18"/>
    <w:rsid w:val="00E45484"/>
    <w:rsid w:val="00E47E57"/>
    <w:rsid w:val="00E507FF"/>
    <w:rsid w:val="00E56696"/>
    <w:rsid w:val="00E614C6"/>
    <w:rsid w:val="00E61BD7"/>
    <w:rsid w:val="00E64850"/>
    <w:rsid w:val="00E65D78"/>
    <w:rsid w:val="00E70A21"/>
    <w:rsid w:val="00E73DE5"/>
    <w:rsid w:val="00E7595D"/>
    <w:rsid w:val="00E81D00"/>
    <w:rsid w:val="00E83454"/>
    <w:rsid w:val="00E85962"/>
    <w:rsid w:val="00E8704C"/>
    <w:rsid w:val="00E90992"/>
    <w:rsid w:val="00E90F43"/>
    <w:rsid w:val="00E94A23"/>
    <w:rsid w:val="00E9768B"/>
    <w:rsid w:val="00E97DB5"/>
    <w:rsid w:val="00EA37E3"/>
    <w:rsid w:val="00EA7D5D"/>
    <w:rsid w:val="00EB5E5E"/>
    <w:rsid w:val="00EB5F2A"/>
    <w:rsid w:val="00EB691E"/>
    <w:rsid w:val="00EC07FF"/>
    <w:rsid w:val="00EC1AF1"/>
    <w:rsid w:val="00EC2173"/>
    <w:rsid w:val="00EC7A86"/>
    <w:rsid w:val="00ED1308"/>
    <w:rsid w:val="00ED2DD5"/>
    <w:rsid w:val="00ED6695"/>
    <w:rsid w:val="00ED6F0D"/>
    <w:rsid w:val="00ED7A90"/>
    <w:rsid w:val="00EE0B3A"/>
    <w:rsid w:val="00EF1097"/>
    <w:rsid w:val="00EF57FD"/>
    <w:rsid w:val="00F023D7"/>
    <w:rsid w:val="00F03AA8"/>
    <w:rsid w:val="00F04370"/>
    <w:rsid w:val="00F14219"/>
    <w:rsid w:val="00F313CB"/>
    <w:rsid w:val="00F35A42"/>
    <w:rsid w:val="00F45CA3"/>
    <w:rsid w:val="00F46329"/>
    <w:rsid w:val="00F510C6"/>
    <w:rsid w:val="00F5159F"/>
    <w:rsid w:val="00F5390A"/>
    <w:rsid w:val="00F53A2C"/>
    <w:rsid w:val="00F62975"/>
    <w:rsid w:val="00F66FE4"/>
    <w:rsid w:val="00F755BC"/>
    <w:rsid w:val="00F75F6C"/>
    <w:rsid w:val="00F7716F"/>
    <w:rsid w:val="00F92954"/>
    <w:rsid w:val="00F92F5C"/>
    <w:rsid w:val="00F947F8"/>
    <w:rsid w:val="00F95302"/>
    <w:rsid w:val="00F97DC0"/>
    <w:rsid w:val="00FA72D4"/>
    <w:rsid w:val="00FA7B83"/>
    <w:rsid w:val="00FB21D6"/>
    <w:rsid w:val="00FB296F"/>
    <w:rsid w:val="00FB3834"/>
    <w:rsid w:val="00FB48D6"/>
    <w:rsid w:val="00FB6AF2"/>
    <w:rsid w:val="00FB7F54"/>
    <w:rsid w:val="00FC5D40"/>
    <w:rsid w:val="00FD1741"/>
    <w:rsid w:val="00FD5074"/>
    <w:rsid w:val="00FD5247"/>
    <w:rsid w:val="00FE0921"/>
    <w:rsid w:val="00FE14D3"/>
    <w:rsid w:val="00FE21FB"/>
    <w:rsid w:val="00FE2967"/>
    <w:rsid w:val="00FE2FA1"/>
    <w:rsid w:val="00FF1210"/>
    <w:rsid w:val="00FF418B"/>
    <w:rsid w:val="00FF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609E"/>
  <w15:chartTrackingRefBased/>
  <w15:docId w15:val="{3F69541E-0FFC-4BAE-9028-FAE2D1D6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D7"/>
    <w:rPr>
      <w:lang w:val="en-GB"/>
    </w:rPr>
  </w:style>
  <w:style w:type="paragraph" w:styleId="Heading1">
    <w:name w:val="heading 1"/>
    <w:basedOn w:val="Normal"/>
    <w:next w:val="Normal"/>
    <w:link w:val="Heading1Char"/>
    <w:uiPriority w:val="9"/>
    <w:qFormat/>
    <w:rsid w:val="00E61BD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1BD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1BD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61BD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61BD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61BD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61BD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61BD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1BD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BD7"/>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E61BD7"/>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E61BD7"/>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E61BD7"/>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E61BD7"/>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E61BD7"/>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E61BD7"/>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E61B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61BD7"/>
    <w:rPr>
      <w:rFonts w:asciiTheme="majorHAnsi" w:eastAsiaTheme="majorEastAsia" w:hAnsiTheme="majorHAnsi" w:cstheme="majorBidi"/>
      <w:i/>
      <w:iCs/>
      <w:color w:val="272727" w:themeColor="text1" w:themeTint="D8"/>
      <w:sz w:val="21"/>
      <w:szCs w:val="21"/>
      <w:lang w:val="en-GB"/>
    </w:rPr>
  </w:style>
  <w:style w:type="paragraph" w:customStyle="1" w:styleId="G-heading2">
    <w:name w:val="G-heading2"/>
    <w:basedOn w:val="Heading2"/>
    <w:link w:val="G-heading2Char"/>
    <w:qFormat/>
    <w:rsid w:val="00E61BD7"/>
    <w:pPr>
      <w:pBdr>
        <w:top w:val="nil"/>
        <w:left w:val="nil"/>
        <w:bottom w:val="nil"/>
        <w:right w:val="nil"/>
        <w:between w:val="nil"/>
        <w:bar w:val="nil"/>
      </w:pBdr>
    </w:pPr>
    <w:rPr>
      <w:rFonts w:ascii="Calibri" w:eastAsia="Calibri" w:hAnsi="Calibri" w:cs="Calibri"/>
      <w:b/>
      <w:color w:val="185262"/>
      <w:u w:color="374C80"/>
      <w:bdr w:val="nil"/>
      <w:lang w:eastAsia="zh-CN"/>
    </w:rPr>
  </w:style>
  <w:style w:type="character" w:customStyle="1" w:styleId="G-heading2Char">
    <w:name w:val="G-heading2 Char"/>
    <w:basedOn w:val="Heading2Char"/>
    <w:link w:val="G-heading2"/>
    <w:rsid w:val="00E61BD7"/>
    <w:rPr>
      <w:rFonts w:ascii="Calibri" w:eastAsia="Calibri" w:hAnsi="Calibri" w:cs="Calibri"/>
      <w:b/>
      <w:color w:val="185262"/>
      <w:sz w:val="26"/>
      <w:szCs w:val="26"/>
      <w:u w:color="374C80"/>
      <w:bdr w:val="nil"/>
      <w:lang w:val="en-GB" w:eastAsia="zh-CN"/>
    </w:rPr>
  </w:style>
  <w:style w:type="character" w:styleId="CommentReference">
    <w:name w:val="annotation reference"/>
    <w:basedOn w:val="DefaultParagraphFont"/>
    <w:uiPriority w:val="99"/>
    <w:semiHidden/>
    <w:unhideWhenUsed/>
    <w:rsid w:val="00D23C7B"/>
    <w:rPr>
      <w:sz w:val="16"/>
      <w:szCs w:val="16"/>
    </w:rPr>
  </w:style>
  <w:style w:type="paragraph" w:styleId="CommentText">
    <w:name w:val="annotation text"/>
    <w:basedOn w:val="Normal"/>
    <w:link w:val="CommentTextChar"/>
    <w:uiPriority w:val="99"/>
    <w:semiHidden/>
    <w:unhideWhenUsed/>
    <w:rsid w:val="00D23C7B"/>
    <w:pPr>
      <w:spacing w:line="240" w:lineRule="auto"/>
    </w:pPr>
    <w:rPr>
      <w:sz w:val="20"/>
      <w:szCs w:val="20"/>
    </w:rPr>
  </w:style>
  <w:style w:type="character" w:customStyle="1" w:styleId="CommentTextChar">
    <w:name w:val="Comment Text Char"/>
    <w:basedOn w:val="DefaultParagraphFont"/>
    <w:link w:val="CommentText"/>
    <w:uiPriority w:val="99"/>
    <w:semiHidden/>
    <w:rsid w:val="00D23C7B"/>
    <w:rPr>
      <w:sz w:val="20"/>
      <w:szCs w:val="20"/>
      <w:lang w:val="en-GB"/>
    </w:rPr>
  </w:style>
  <w:style w:type="paragraph" w:styleId="CommentSubject">
    <w:name w:val="annotation subject"/>
    <w:basedOn w:val="CommentText"/>
    <w:next w:val="CommentText"/>
    <w:link w:val="CommentSubjectChar"/>
    <w:uiPriority w:val="99"/>
    <w:semiHidden/>
    <w:unhideWhenUsed/>
    <w:rsid w:val="00D23C7B"/>
    <w:rPr>
      <w:b/>
      <w:bCs/>
    </w:rPr>
  </w:style>
  <w:style w:type="character" w:customStyle="1" w:styleId="CommentSubjectChar">
    <w:name w:val="Comment Subject Char"/>
    <w:basedOn w:val="CommentTextChar"/>
    <w:link w:val="CommentSubject"/>
    <w:uiPriority w:val="99"/>
    <w:semiHidden/>
    <w:rsid w:val="00D23C7B"/>
    <w:rPr>
      <w:b/>
      <w:bCs/>
      <w:sz w:val="20"/>
      <w:szCs w:val="20"/>
      <w:lang w:val="en-GB"/>
    </w:rPr>
  </w:style>
  <w:style w:type="paragraph" w:styleId="BalloonText">
    <w:name w:val="Balloon Text"/>
    <w:basedOn w:val="Normal"/>
    <w:link w:val="BalloonTextChar"/>
    <w:uiPriority w:val="99"/>
    <w:semiHidden/>
    <w:unhideWhenUsed/>
    <w:rsid w:val="00D23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C7B"/>
    <w:rPr>
      <w:rFonts w:ascii="Segoe UI" w:hAnsi="Segoe UI" w:cs="Segoe UI"/>
      <w:sz w:val="18"/>
      <w:szCs w:val="18"/>
      <w:lang w:val="en-GB"/>
    </w:rPr>
  </w:style>
  <w:style w:type="paragraph" w:styleId="ListParagraph">
    <w:name w:val="List Paragraph"/>
    <w:basedOn w:val="Normal"/>
    <w:uiPriority w:val="34"/>
    <w:qFormat/>
    <w:rsid w:val="00CB57B1"/>
    <w:pPr>
      <w:ind w:left="720"/>
      <w:contextualSpacing/>
    </w:pPr>
  </w:style>
  <w:style w:type="paragraph" w:styleId="NormalWeb">
    <w:name w:val="Normal (Web)"/>
    <w:basedOn w:val="Normal"/>
    <w:uiPriority w:val="99"/>
    <w:semiHidden/>
    <w:unhideWhenUsed/>
    <w:rsid w:val="009F59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F76E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3527">
      <w:bodyDiv w:val="1"/>
      <w:marLeft w:val="0"/>
      <w:marRight w:val="0"/>
      <w:marTop w:val="0"/>
      <w:marBottom w:val="0"/>
      <w:divBdr>
        <w:top w:val="none" w:sz="0" w:space="0" w:color="auto"/>
        <w:left w:val="none" w:sz="0" w:space="0" w:color="auto"/>
        <w:bottom w:val="none" w:sz="0" w:space="0" w:color="auto"/>
        <w:right w:val="none" w:sz="0" w:space="0" w:color="auto"/>
      </w:divBdr>
    </w:div>
    <w:div w:id="95565746">
      <w:bodyDiv w:val="1"/>
      <w:marLeft w:val="0"/>
      <w:marRight w:val="0"/>
      <w:marTop w:val="0"/>
      <w:marBottom w:val="0"/>
      <w:divBdr>
        <w:top w:val="none" w:sz="0" w:space="0" w:color="auto"/>
        <w:left w:val="none" w:sz="0" w:space="0" w:color="auto"/>
        <w:bottom w:val="none" w:sz="0" w:space="0" w:color="auto"/>
        <w:right w:val="none" w:sz="0" w:space="0" w:color="auto"/>
      </w:divBdr>
    </w:div>
    <w:div w:id="489176069">
      <w:bodyDiv w:val="1"/>
      <w:marLeft w:val="0"/>
      <w:marRight w:val="0"/>
      <w:marTop w:val="0"/>
      <w:marBottom w:val="0"/>
      <w:divBdr>
        <w:top w:val="none" w:sz="0" w:space="0" w:color="auto"/>
        <w:left w:val="none" w:sz="0" w:space="0" w:color="auto"/>
        <w:bottom w:val="none" w:sz="0" w:space="0" w:color="auto"/>
        <w:right w:val="none" w:sz="0" w:space="0" w:color="auto"/>
      </w:divBdr>
    </w:div>
    <w:div w:id="591738855">
      <w:bodyDiv w:val="1"/>
      <w:marLeft w:val="0"/>
      <w:marRight w:val="0"/>
      <w:marTop w:val="0"/>
      <w:marBottom w:val="0"/>
      <w:divBdr>
        <w:top w:val="none" w:sz="0" w:space="0" w:color="auto"/>
        <w:left w:val="none" w:sz="0" w:space="0" w:color="auto"/>
        <w:bottom w:val="none" w:sz="0" w:space="0" w:color="auto"/>
        <w:right w:val="none" w:sz="0" w:space="0" w:color="auto"/>
      </w:divBdr>
    </w:div>
    <w:div w:id="828911769">
      <w:bodyDiv w:val="1"/>
      <w:marLeft w:val="0"/>
      <w:marRight w:val="0"/>
      <w:marTop w:val="0"/>
      <w:marBottom w:val="0"/>
      <w:divBdr>
        <w:top w:val="none" w:sz="0" w:space="0" w:color="auto"/>
        <w:left w:val="none" w:sz="0" w:space="0" w:color="auto"/>
        <w:bottom w:val="none" w:sz="0" w:space="0" w:color="auto"/>
        <w:right w:val="none" w:sz="0" w:space="0" w:color="auto"/>
      </w:divBdr>
    </w:div>
    <w:div w:id="994601353">
      <w:bodyDiv w:val="1"/>
      <w:marLeft w:val="0"/>
      <w:marRight w:val="0"/>
      <w:marTop w:val="0"/>
      <w:marBottom w:val="0"/>
      <w:divBdr>
        <w:top w:val="none" w:sz="0" w:space="0" w:color="auto"/>
        <w:left w:val="none" w:sz="0" w:space="0" w:color="auto"/>
        <w:bottom w:val="none" w:sz="0" w:space="0" w:color="auto"/>
        <w:right w:val="none" w:sz="0" w:space="0" w:color="auto"/>
      </w:divBdr>
    </w:div>
    <w:div w:id="1155030887">
      <w:bodyDiv w:val="1"/>
      <w:marLeft w:val="0"/>
      <w:marRight w:val="0"/>
      <w:marTop w:val="0"/>
      <w:marBottom w:val="0"/>
      <w:divBdr>
        <w:top w:val="none" w:sz="0" w:space="0" w:color="auto"/>
        <w:left w:val="none" w:sz="0" w:space="0" w:color="auto"/>
        <w:bottom w:val="none" w:sz="0" w:space="0" w:color="auto"/>
        <w:right w:val="none" w:sz="0" w:space="0" w:color="auto"/>
      </w:divBdr>
    </w:div>
    <w:div w:id="1199704986">
      <w:bodyDiv w:val="1"/>
      <w:marLeft w:val="0"/>
      <w:marRight w:val="0"/>
      <w:marTop w:val="0"/>
      <w:marBottom w:val="0"/>
      <w:divBdr>
        <w:top w:val="none" w:sz="0" w:space="0" w:color="auto"/>
        <w:left w:val="none" w:sz="0" w:space="0" w:color="auto"/>
        <w:bottom w:val="none" w:sz="0" w:space="0" w:color="auto"/>
        <w:right w:val="none" w:sz="0" w:space="0" w:color="auto"/>
      </w:divBdr>
    </w:div>
    <w:div w:id="204913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557BE355D63498FCA50DB3C10CF23" ma:contentTypeVersion="13" ma:contentTypeDescription="Create a new document." ma:contentTypeScope="" ma:versionID="924775ee2aeaec1d9ab37e5d80a1dd63">
  <xsd:schema xmlns:xsd="http://www.w3.org/2001/XMLSchema" xmlns:xs="http://www.w3.org/2001/XMLSchema" xmlns:p="http://schemas.microsoft.com/office/2006/metadata/properties" xmlns:ns3="48901ceb-879b-4496-9cbc-fa3d11dfd925" xmlns:ns4="a070b734-abf8-4119-bb74-0cb2e8e5df0c" targetNamespace="http://schemas.microsoft.com/office/2006/metadata/properties" ma:root="true" ma:fieldsID="8182f0149d36bdcf478bce4731b76c05" ns3:_="" ns4:_="">
    <xsd:import namespace="48901ceb-879b-4496-9cbc-fa3d11dfd925"/>
    <xsd:import namespace="a070b734-abf8-4119-bb74-0cb2e8e5df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01ceb-879b-4496-9cbc-fa3d11dfd9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0b734-abf8-4119-bb74-0cb2e8e5df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157CFE1-5403-405C-A767-987568AE6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01ceb-879b-4496-9cbc-fa3d11dfd925"/>
    <ds:schemaRef ds:uri="a070b734-abf8-4119-bb74-0cb2e8e5d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52B39-17DC-4520-8312-6CAE7A62B73C}">
  <ds:schemaRefs>
    <ds:schemaRef ds:uri="http://schemas.microsoft.com/sharepoint/v3/contenttype/forms"/>
  </ds:schemaRefs>
</ds:datastoreItem>
</file>

<file path=customXml/itemProps3.xml><?xml version="1.0" encoding="utf-8"?>
<ds:datastoreItem xmlns:ds="http://schemas.openxmlformats.org/officeDocument/2006/customXml" ds:itemID="{041EF1DB-34C7-4D96-B906-F97DA2C11FE8}">
  <ds:schemaRefs>
    <ds:schemaRef ds:uri="48901ceb-879b-4496-9cbc-fa3d11dfd925"/>
    <ds:schemaRef ds:uri="http://schemas.microsoft.com/office/2006/metadata/properties"/>
    <ds:schemaRef ds:uri="http://schemas.microsoft.com/office/2006/documentManagement/types"/>
    <ds:schemaRef ds:uri="a070b734-abf8-4119-bb74-0cb2e8e5df0c"/>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C1535787-9EB5-4A41-BC19-A3F2FA61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Armine HOvhannisyan</cp:lastModifiedBy>
  <cp:revision>3</cp:revision>
  <dcterms:created xsi:type="dcterms:W3CDTF">2020-11-04T12:34:00Z</dcterms:created>
  <dcterms:modified xsi:type="dcterms:W3CDTF">2020-11-04T13:09:00Z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0x0101005F4557BE355D63498FCA50DB3C10CF23</vt:lpwstr>
  </property>
</Properties>
</file>